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中共轮台县委员会机构编制委员会办公室2024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bookmarkStart w:id="0" w:name="_GoBack"/>
      <w:bookmarkEnd w:id="0"/>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6B88913">
      <w:r>
        <w:br w:type="page"/>
      </w:r>
    </w:p>
    <w:p w14:paraId="411DE37A">
      <w:pPr>
        <w:spacing w:line="640" w:lineRule="exact"/>
        <w:jc w:val="center"/>
        <w:outlineLvl w:val="1"/>
      </w:pPr>
      <w:r>
        <w:rPr>
          <w:rFonts w:ascii="黑体" w:hAnsi="黑体" w:eastAsia="黑体"/>
          <w:sz w:val="32"/>
        </w:rPr>
        <w:t>第一部分 单位概况</w:t>
      </w:r>
    </w:p>
    <w:p w14:paraId="60D21725">
      <w:pPr>
        <w:spacing w:line="640" w:lineRule="exact"/>
        <w:ind w:firstLine="640"/>
        <w:jc w:val="both"/>
        <w:outlineLvl w:val="2"/>
      </w:pPr>
      <w:r>
        <w:rPr>
          <w:rFonts w:ascii="黑体" w:hAnsi="黑体" w:eastAsia="黑体"/>
          <w:sz w:val="32"/>
        </w:rPr>
        <w:t>一、主要职能</w:t>
      </w:r>
    </w:p>
    <w:p w14:paraId="09AB169C">
      <w:pPr>
        <w:spacing w:line="580" w:lineRule="exact"/>
        <w:ind w:firstLine="640"/>
        <w:jc w:val="both"/>
      </w:pPr>
      <w:r>
        <w:rPr>
          <w:rFonts w:ascii="仿宋_GB2312" w:hAnsi="仿宋_GB2312" w:eastAsia="仿宋_GB2312"/>
          <w:sz w:val="32"/>
        </w:rPr>
        <w:t>1.贯彻执行党中央、国务院和自治区、自治州党委、人民政府关于行政管理体制改革、机构改革和机构编制管理的方针、政策和法规。</w:t>
      </w:r>
    </w:p>
    <w:p w14:paraId="52F93688">
      <w:pPr>
        <w:spacing w:line="580" w:lineRule="exact"/>
        <w:ind w:firstLine="640"/>
        <w:jc w:val="both"/>
      </w:pPr>
      <w:r>
        <w:rPr>
          <w:rFonts w:ascii="仿宋_GB2312" w:hAnsi="仿宋_GB2312" w:eastAsia="仿宋_GB2312"/>
          <w:sz w:val="32"/>
        </w:rPr>
        <w:t>2.研究拟订全县行政管理体制改革、机构改革和机构编制管理的实施意见和办法，并负责组织实施。统一管理全县各级党政机关，人大、政协、法院、检察机关，各民主党派、人民团体机关及事业单位的机构编制工作。</w:t>
      </w:r>
    </w:p>
    <w:p w14:paraId="766CC75A">
      <w:pPr>
        <w:spacing w:line="580" w:lineRule="exact"/>
        <w:ind w:firstLine="640"/>
        <w:jc w:val="both"/>
      </w:pPr>
      <w:r>
        <w:rPr>
          <w:rFonts w:ascii="仿宋_GB2312" w:hAnsi="仿宋_GB2312" w:eastAsia="仿宋_GB2312"/>
          <w:sz w:val="32"/>
        </w:rPr>
        <w:t>3.组织实施事业单位登记管理工作，贯彻落实事业单位登记管理条例、办法，依法对全县事业单位登记管理工作进行指导和监督检查。</w:t>
      </w:r>
    </w:p>
    <w:p w14:paraId="7C190B2B">
      <w:pPr>
        <w:spacing w:line="580" w:lineRule="exact"/>
        <w:ind w:firstLine="640"/>
        <w:jc w:val="both"/>
      </w:pPr>
      <w:r>
        <w:rPr>
          <w:rFonts w:ascii="仿宋_GB2312" w:hAnsi="仿宋_GB2312" w:eastAsia="仿宋_GB2312"/>
          <w:sz w:val="32"/>
        </w:rPr>
        <w:t>4.承办县委和县委编委交办的其他事项。</w:t>
      </w:r>
    </w:p>
    <w:p w14:paraId="6CE39369">
      <w:pPr>
        <w:spacing w:line="640" w:lineRule="exact"/>
        <w:ind w:firstLine="640"/>
        <w:jc w:val="both"/>
        <w:outlineLvl w:val="2"/>
      </w:pPr>
      <w:r>
        <w:rPr>
          <w:rFonts w:ascii="黑体" w:hAnsi="黑体" w:eastAsia="黑体"/>
          <w:sz w:val="32"/>
        </w:rPr>
        <w:t>二、机构设置及人员情况</w:t>
      </w:r>
    </w:p>
    <w:p w14:paraId="7885DB01">
      <w:pPr>
        <w:spacing w:line="580" w:lineRule="exact"/>
        <w:ind w:firstLine="640"/>
        <w:jc w:val="both"/>
      </w:pPr>
      <w:r>
        <w:rPr>
          <w:rFonts w:ascii="仿宋_GB2312" w:hAnsi="仿宋_GB2312" w:eastAsia="仿宋_GB2312"/>
          <w:sz w:val="32"/>
        </w:rPr>
        <w:t>中共轮台县委员会机构编制委员会办公室2024年度，实有人数10人，其中：在职人员9人，减少1人；离休人员0人，增加0人；退休人员1人,增加0人。</w:t>
      </w:r>
    </w:p>
    <w:p w14:paraId="584A330E">
      <w:pPr>
        <w:spacing w:line="580" w:lineRule="exact"/>
        <w:ind w:firstLine="640"/>
        <w:jc w:val="both"/>
      </w:pPr>
      <w:r>
        <w:rPr>
          <w:rFonts w:ascii="仿宋_GB2312" w:hAnsi="仿宋_GB2312" w:eastAsia="仿宋_GB2312"/>
          <w:sz w:val="32"/>
        </w:rPr>
        <w:t>中共轮台县委员会机构编制委员会办公室无下属预算单位，下设2个科室，分别是：综合室、机关事业编制室。</w:t>
      </w:r>
    </w:p>
    <w:p w14:paraId="6E406139">
      <w:r>
        <w:br w:type="page"/>
      </w:r>
    </w:p>
    <w:p w14:paraId="73AE4385">
      <w:pPr>
        <w:spacing w:line="240" w:lineRule="auto"/>
        <w:jc w:val="center"/>
        <w:outlineLvl w:val="1"/>
      </w:pPr>
      <w:r>
        <w:rPr>
          <w:rFonts w:ascii="黑体" w:hAnsi="黑体" w:eastAsia="黑体"/>
          <w:sz w:val="32"/>
        </w:rPr>
        <w:t>第二部分 部门决算情况说明</w:t>
      </w:r>
    </w:p>
    <w:p w14:paraId="2D6B257D">
      <w:pPr>
        <w:spacing w:line="640" w:lineRule="exact"/>
        <w:ind w:firstLine="640"/>
        <w:jc w:val="both"/>
        <w:outlineLvl w:val="2"/>
      </w:pPr>
      <w:r>
        <w:rPr>
          <w:rFonts w:ascii="黑体" w:hAnsi="黑体" w:eastAsia="黑体"/>
          <w:sz w:val="32"/>
        </w:rPr>
        <w:t>一、收入支出决算总体情况说明</w:t>
      </w:r>
    </w:p>
    <w:p w14:paraId="4EDEA742">
      <w:pPr>
        <w:spacing w:line="580" w:lineRule="exact"/>
        <w:ind w:firstLine="640"/>
        <w:jc w:val="both"/>
      </w:pPr>
      <w:r>
        <w:rPr>
          <w:rFonts w:ascii="仿宋_GB2312" w:hAnsi="仿宋_GB2312" w:eastAsia="仿宋_GB2312"/>
          <w:b/>
          <w:sz w:val="32"/>
        </w:rPr>
        <w:t>2024年度收入总计118.40万元，</w:t>
      </w:r>
      <w:r>
        <w:rPr>
          <w:rFonts w:ascii="仿宋_GB2312" w:hAnsi="仿宋_GB2312" w:eastAsia="仿宋_GB2312"/>
          <w:b w:val="0"/>
          <w:sz w:val="32"/>
        </w:rPr>
        <w:t>其中：本年收入合计117.66万元，使用非财政拨款结余（含专用结余）0.00万元，年初结转和结余0.74万元。</w:t>
      </w:r>
    </w:p>
    <w:p w14:paraId="65F53580">
      <w:pPr>
        <w:spacing w:line="580" w:lineRule="exact"/>
        <w:ind w:firstLine="640"/>
        <w:jc w:val="both"/>
      </w:pPr>
      <w:r>
        <w:rPr>
          <w:rFonts w:ascii="仿宋_GB2312" w:hAnsi="仿宋_GB2312" w:eastAsia="仿宋_GB2312"/>
          <w:b/>
          <w:sz w:val="32"/>
        </w:rPr>
        <w:t>2024年度支出总计118.40万元，</w:t>
      </w:r>
      <w:r>
        <w:rPr>
          <w:rFonts w:ascii="仿宋_GB2312" w:hAnsi="仿宋_GB2312" w:eastAsia="仿宋_GB2312"/>
          <w:b w:val="0"/>
          <w:sz w:val="32"/>
        </w:rPr>
        <w:t>其中：本年支出合计117.66万元，结余分配0.00万元，年末结转和结余0.74万元。</w:t>
      </w:r>
    </w:p>
    <w:p w14:paraId="0103215B">
      <w:pPr>
        <w:spacing w:line="580" w:lineRule="exact"/>
        <w:ind w:firstLine="640"/>
        <w:jc w:val="both"/>
      </w:pPr>
      <w:r>
        <w:rPr>
          <w:rFonts w:ascii="仿宋_GB2312" w:hAnsi="仿宋_GB2312" w:eastAsia="仿宋_GB2312"/>
          <w:b w:val="0"/>
          <w:sz w:val="32"/>
        </w:rPr>
        <w:t>收入支出总体与上年相比，减少16.89万元，下降12.48%，主要原因是：本年在职人员减少，相关人员经费较上年减少。</w:t>
      </w:r>
    </w:p>
    <w:p w14:paraId="70ED1DED">
      <w:pPr>
        <w:spacing w:line="640" w:lineRule="exact"/>
        <w:ind w:firstLine="640"/>
        <w:jc w:val="both"/>
        <w:outlineLvl w:val="2"/>
      </w:pPr>
      <w:r>
        <w:rPr>
          <w:rFonts w:ascii="黑体" w:hAnsi="黑体" w:eastAsia="黑体"/>
          <w:sz w:val="32"/>
        </w:rPr>
        <w:t>二、收入决算情况说明</w:t>
      </w:r>
    </w:p>
    <w:p w14:paraId="294781B9">
      <w:pPr>
        <w:spacing w:line="580" w:lineRule="exact"/>
        <w:ind w:firstLine="640"/>
        <w:jc w:val="both"/>
      </w:pPr>
      <w:r>
        <w:rPr>
          <w:rFonts w:ascii="仿宋_GB2312" w:hAnsi="仿宋_GB2312" w:eastAsia="仿宋_GB2312"/>
          <w:b/>
          <w:sz w:val="32"/>
        </w:rPr>
        <w:t>本年收入117.66万元，</w:t>
      </w:r>
      <w:r>
        <w:rPr>
          <w:rFonts w:ascii="仿宋_GB2312" w:hAnsi="仿宋_GB2312" w:eastAsia="仿宋_GB2312"/>
          <w:b w:val="0"/>
          <w:sz w:val="32"/>
        </w:rPr>
        <w:t>其中：财政拨款收入117.65万元，占99.99%；上级补助收入0.00万元，占0.00%；事业收入0.00万元，占0.00%；经营收入0.00万元，占0.00%；附属单位上缴收入0.00万元，占0.00%；其他收入0.01万元，占0.008%。</w:t>
      </w:r>
    </w:p>
    <w:p w14:paraId="45E3FC07">
      <w:pPr>
        <w:spacing w:line="640" w:lineRule="exact"/>
        <w:ind w:firstLine="640"/>
        <w:jc w:val="both"/>
        <w:outlineLvl w:val="2"/>
      </w:pPr>
      <w:r>
        <w:rPr>
          <w:rFonts w:ascii="黑体" w:hAnsi="黑体" w:eastAsia="黑体"/>
          <w:sz w:val="32"/>
        </w:rPr>
        <w:t>三、支出决算情况说明</w:t>
      </w:r>
    </w:p>
    <w:p w14:paraId="65F4076C">
      <w:pPr>
        <w:spacing w:line="580" w:lineRule="exact"/>
        <w:ind w:firstLine="640"/>
        <w:jc w:val="both"/>
      </w:pPr>
      <w:r>
        <w:rPr>
          <w:rFonts w:ascii="仿宋_GB2312" w:hAnsi="仿宋_GB2312" w:eastAsia="仿宋_GB2312"/>
          <w:b/>
          <w:sz w:val="32"/>
        </w:rPr>
        <w:t>本年支出117.66万元，</w:t>
      </w:r>
      <w:r>
        <w:rPr>
          <w:rFonts w:ascii="仿宋_GB2312" w:hAnsi="仿宋_GB2312" w:eastAsia="仿宋_GB2312"/>
          <w:b w:val="0"/>
          <w:sz w:val="32"/>
        </w:rPr>
        <w:t>其中：基本支出117.66万元，占100.00%；项目支出0.00万元，占0.00%；上缴上级支出0.00万元，占0.00%；经营支出0.00万元，占0.00%；对附属单位补助支出0.00万元，占0.00%。</w:t>
      </w:r>
    </w:p>
    <w:p w14:paraId="69C68C3E">
      <w:pPr>
        <w:spacing w:line="640" w:lineRule="exact"/>
        <w:ind w:firstLine="640"/>
        <w:jc w:val="both"/>
        <w:outlineLvl w:val="2"/>
      </w:pPr>
      <w:r>
        <w:rPr>
          <w:rFonts w:ascii="黑体" w:hAnsi="黑体" w:eastAsia="黑体"/>
          <w:sz w:val="32"/>
        </w:rPr>
        <w:t>四、财政拨款收入支出决算总体情况说明</w:t>
      </w:r>
    </w:p>
    <w:p w14:paraId="4F3127EC">
      <w:pPr>
        <w:spacing w:line="580" w:lineRule="exact"/>
        <w:ind w:firstLine="640"/>
        <w:jc w:val="both"/>
      </w:pPr>
      <w:r>
        <w:rPr>
          <w:rFonts w:ascii="仿宋_GB2312" w:hAnsi="仿宋_GB2312" w:eastAsia="仿宋_GB2312"/>
          <w:b/>
          <w:sz w:val="32"/>
        </w:rPr>
        <w:t>2024年度财政拨款收入总计117.65万元，</w:t>
      </w:r>
      <w:r>
        <w:rPr>
          <w:rFonts w:ascii="仿宋_GB2312" w:hAnsi="仿宋_GB2312" w:eastAsia="仿宋_GB2312"/>
          <w:b w:val="0"/>
          <w:sz w:val="32"/>
        </w:rPr>
        <w:t>其中：年初财政拨款结转和结余0.00万元，本年财政拨款收入117.65万元。</w:t>
      </w:r>
      <w:r>
        <w:rPr>
          <w:rFonts w:ascii="仿宋_GB2312" w:hAnsi="仿宋_GB2312" w:eastAsia="仿宋_GB2312"/>
          <w:b/>
          <w:sz w:val="32"/>
        </w:rPr>
        <w:t>财政拨款支出总计117.65万元，</w:t>
      </w:r>
      <w:r>
        <w:rPr>
          <w:rFonts w:ascii="仿宋_GB2312" w:hAnsi="仿宋_GB2312" w:eastAsia="仿宋_GB2312"/>
          <w:b w:val="0"/>
          <w:sz w:val="32"/>
        </w:rPr>
        <w:t>其中：年末财政拨款结转和结余0.00万元，本年财政拨款支出117.65万元。</w:t>
      </w:r>
    </w:p>
    <w:p w14:paraId="298D764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减少16.88万元，下降12.55%，主要原因是：本年在职人员减少，相关人员经费较上年减少。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年初预算数142.87万元，决算数117.65万元，预决算差异率-17.65%，主要原因是：本年在职人员减少，年中调减人员经费，年中调减公务用车运行维护费、差旅费，导致预决算存在差异。</w:t>
      </w:r>
    </w:p>
    <w:p w14:paraId="55A58BC8">
      <w:pPr>
        <w:spacing w:line="640" w:lineRule="exact"/>
        <w:ind w:firstLine="640"/>
        <w:jc w:val="both"/>
        <w:outlineLvl w:val="2"/>
      </w:pPr>
      <w:r>
        <w:rPr>
          <w:rFonts w:ascii="黑体" w:hAnsi="黑体" w:eastAsia="黑体"/>
          <w:sz w:val="32"/>
        </w:rPr>
        <w:t>五、一般公共预算财政拨款支出决算情况说明</w:t>
      </w:r>
    </w:p>
    <w:p w14:paraId="38E64D69">
      <w:pPr>
        <w:spacing w:line="640" w:lineRule="exact"/>
        <w:ind w:firstLine="640"/>
        <w:jc w:val="both"/>
        <w:outlineLvl w:val="3"/>
      </w:pPr>
      <w:r>
        <w:rPr>
          <w:rFonts w:ascii="楷体_GB2312" w:hAnsi="楷体_GB2312" w:eastAsia="楷体_GB2312"/>
          <w:b/>
          <w:sz w:val="32"/>
        </w:rPr>
        <w:t>（一）一般公共预算财政拨款支出决算总体情况</w:t>
      </w:r>
    </w:p>
    <w:p w14:paraId="383F1B41">
      <w:pPr>
        <w:spacing w:line="580" w:lineRule="exact"/>
        <w:ind w:firstLine="640"/>
        <w:jc w:val="both"/>
      </w:pPr>
      <w:r>
        <w:rPr>
          <w:rFonts w:ascii="仿宋_GB2312" w:hAnsi="仿宋_GB2312" w:eastAsia="仿宋_GB2312"/>
          <w:b/>
          <w:sz w:val="32"/>
        </w:rPr>
        <w:t>2024年度一般公共预算财政拨款支出117.65万元，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减少16.88万元，下降12.55%，主要原因是：本年在职人员减少，相关人员经费较上年减少。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年初预算数142.87万元，决算数117.65万元，预决算差异率-17.65%，主要原因是：本年在职人员减少，年中调减人员经费，年中调减公务用车运行维护费、差旅费，导致预决算存在差异。</w:t>
      </w:r>
    </w:p>
    <w:p w14:paraId="030D5EE7">
      <w:pPr>
        <w:spacing w:line="640" w:lineRule="exact"/>
        <w:ind w:firstLine="640"/>
        <w:jc w:val="both"/>
        <w:outlineLvl w:val="3"/>
      </w:pPr>
      <w:r>
        <w:rPr>
          <w:rFonts w:ascii="楷体_GB2312" w:hAnsi="楷体_GB2312" w:eastAsia="楷体_GB2312"/>
          <w:b/>
          <w:sz w:val="32"/>
        </w:rPr>
        <w:t>（二）一般公共预算财政拨款支出决算结构情况</w:t>
      </w:r>
    </w:p>
    <w:p w14:paraId="4406CA1C">
      <w:pPr>
        <w:spacing w:line="580" w:lineRule="exact"/>
        <w:ind w:firstLine="640"/>
        <w:jc w:val="both"/>
      </w:pPr>
      <w:r>
        <w:rPr>
          <w:rFonts w:ascii="仿宋_GB2312" w:hAnsi="仿宋_GB2312" w:eastAsia="仿宋_GB2312"/>
          <w:b w:val="0"/>
          <w:sz w:val="32"/>
        </w:rPr>
        <w:t>1.一般公共服务支出(类)84.88万元,占72.15%。</w:t>
      </w:r>
    </w:p>
    <w:p w14:paraId="41CCC708">
      <w:pPr>
        <w:spacing w:line="580" w:lineRule="exact"/>
        <w:ind w:firstLine="640"/>
        <w:jc w:val="both"/>
      </w:pPr>
      <w:r>
        <w:rPr>
          <w:rFonts w:ascii="仿宋_GB2312" w:hAnsi="仿宋_GB2312" w:eastAsia="仿宋_GB2312"/>
          <w:b w:val="0"/>
          <w:sz w:val="32"/>
        </w:rPr>
        <w:t>2.社会保障和就业支出(类)14.12万元,占12.00%。</w:t>
      </w:r>
    </w:p>
    <w:p w14:paraId="37833A7B">
      <w:pPr>
        <w:spacing w:line="580" w:lineRule="exact"/>
        <w:ind w:firstLine="640"/>
        <w:jc w:val="both"/>
      </w:pPr>
      <w:r>
        <w:rPr>
          <w:rFonts w:ascii="仿宋_GB2312" w:hAnsi="仿宋_GB2312" w:eastAsia="仿宋_GB2312"/>
          <w:b w:val="0"/>
          <w:sz w:val="32"/>
        </w:rPr>
        <w:t>3.卫生健康支出(类)8.10万元,占6.88%。</w:t>
      </w:r>
    </w:p>
    <w:p w14:paraId="6214C032">
      <w:pPr>
        <w:spacing w:line="580" w:lineRule="exact"/>
        <w:ind w:firstLine="640"/>
        <w:jc w:val="both"/>
      </w:pPr>
      <w:r>
        <w:rPr>
          <w:rFonts w:ascii="仿宋_GB2312" w:hAnsi="仿宋_GB2312" w:eastAsia="仿宋_GB2312"/>
          <w:b w:val="0"/>
          <w:sz w:val="32"/>
        </w:rPr>
        <w:t>4.住房保障支出(类)10.55万元,占8.97%。</w:t>
      </w:r>
    </w:p>
    <w:p w14:paraId="66BE9905">
      <w:pPr>
        <w:spacing w:line="640" w:lineRule="exact"/>
        <w:ind w:firstLine="640"/>
        <w:jc w:val="both"/>
        <w:outlineLvl w:val="3"/>
      </w:pPr>
      <w:r>
        <w:rPr>
          <w:rFonts w:ascii="楷体_GB2312" w:hAnsi="楷体_GB2312" w:eastAsia="楷体_GB2312"/>
          <w:b/>
          <w:sz w:val="32"/>
        </w:rPr>
        <w:t>（三）一般公共预算财政拨款支出决算具体情况</w:t>
      </w:r>
    </w:p>
    <w:p w14:paraId="4BA4A918">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1.一般公共服务支出(类)政府办公厅（室）及相关机构事务(款)行政运行(项):支出决算数为64.84万元，比上年决算减少19.13万元，下降22.78%,主要原因是：本年在职人员减少，相应人员经费较上年减少。</w:t>
      </w:r>
    </w:p>
    <w:p w14:paraId="54E060E0">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2.一般公共服务支出(类)政府办公厅（室）及相关机构事务(款)事业运行(项):支出决算数为20.03万元，比上年决算增加0.07万元，增长0.35%,主要原因是：本年在职人员工资调增，导致相关人员经费较上年有所增加。</w:t>
      </w:r>
    </w:p>
    <w:p w14:paraId="54AFF92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3.社会保障和就业支出(类)行政事业单位养老支出(款)行政单位离退休(项):支出决算数为0.74万元，比上年决算增加0.21万元，增长39.62%,主要原因是：本年增加退休人员基础绩效奖，退休费支出增加。</w:t>
      </w:r>
    </w:p>
    <w:p w14:paraId="59D6EC5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13.38万元，比上年决算增加0.96万元，增长7.73%,主要原因是：本年在职人员工资基数调增，养老缴费基数上涨，相应支出增加。</w:t>
      </w:r>
    </w:p>
    <w:p w14:paraId="1ADBF34D">
      <w:pPr>
        <w:spacing w:line="580" w:lineRule="exact"/>
        <w:ind w:firstLine="640"/>
        <w:jc w:val="both"/>
      </w:pPr>
      <w:r>
        <w:rPr>
          <w:rFonts w:ascii="仿宋_GB2312" w:hAnsi="仿宋_GB2312" w:eastAsia="仿宋_GB2312"/>
          <w:b w:val="0"/>
          <w:sz w:val="32"/>
        </w:rPr>
        <w:t>5.卫生健康支出(类)行政事业单位医疗(款)行政单位医疗(项):支出决算数为4.86万元，比上年决算增加0.23万元，增长4.97%,主要原因是：本年在职人员工资基数调增，医疗缴费基数上涨，相应支出增加。</w:t>
      </w:r>
    </w:p>
    <w:p w14:paraId="59A34108">
      <w:pPr>
        <w:spacing w:line="580" w:lineRule="exact"/>
        <w:ind w:firstLine="640"/>
        <w:jc w:val="both"/>
      </w:pPr>
      <w:r>
        <w:rPr>
          <w:rFonts w:ascii="仿宋_GB2312" w:hAnsi="仿宋_GB2312" w:eastAsia="仿宋_GB2312"/>
          <w:b w:val="0"/>
          <w:sz w:val="32"/>
        </w:rPr>
        <w:t>6.卫生健康支出(类)行政事业单位医疗(款)事业单位医疗(项):支出决算数为1.25万元，比上年决算增加0.20万元，增长19.05%,主要原因是：本年在职人员工资基数调增，医疗缴费基数上涨，相应支出增加。</w:t>
      </w:r>
    </w:p>
    <w:p w14:paraId="5683665B">
      <w:pPr>
        <w:spacing w:line="580" w:lineRule="exact"/>
        <w:ind w:firstLine="640"/>
        <w:jc w:val="both"/>
      </w:pPr>
      <w:r>
        <w:rPr>
          <w:rFonts w:ascii="仿宋_GB2312" w:hAnsi="仿宋_GB2312" w:eastAsia="仿宋_GB2312"/>
          <w:b w:val="0"/>
          <w:sz w:val="32"/>
        </w:rPr>
        <w:t>7.卫生健康支出(类)行政事业单位医疗(款)公务员医疗补助(项):支出决算数为2.00万元，比上年决算增加0.09万元，增长4.71%,主要原因是：本年在职人员工资基数调增，医疗缴费基数上涨，相应支出增加。</w:t>
      </w:r>
    </w:p>
    <w:p w14:paraId="791FC24B">
      <w:pPr>
        <w:spacing w:line="580" w:lineRule="exact"/>
        <w:ind w:firstLine="640"/>
        <w:jc w:val="both"/>
      </w:pPr>
      <w:r>
        <w:rPr>
          <w:rFonts w:ascii="仿宋_GB2312" w:hAnsi="仿宋_GB2312" w:eastAsia="仿宋_GB2312"/>
          <w:b w:val="0"/>
          <w:sz w:val="32"/>
        </w:rPr>
        <w:t>8.住房保障支出(类)住房改革支出(款)住房公积金(项):支出决算数为10.55万元，比上年决算增加0.50万元，增长4.98%,主要原因是：本年在职人员工资基数调增，公积金缴费基数上涨，相应支出增加。</w:t>
      </w:r>
    </w:p>
    <w:p w14:paraId="1C9ABE48">
      <w:pPr>
        <w:spacing w:line="640" w:lineRule="exact"/>
        <w:ind w:firstLine="640"/>
        <w:jc w:val="both"/>
        <w:outlineLvl w:val="2"/>
      </w:pPr>
      <w:r>
        <w:rPr>
          <w:rFonts w:ascii="黑体" w:hAnsi="黑体" w:eastAsia="黑体"/>
          <w:sz w:val="32"/>
        </w:rPr>
        <w:t>六、一般公共预算财政拨款基本支出决算情况说明</w:t>
      </w:r>
    </w:p>
    <w:p w14:paraId="5E015884">
      <w:pPr>
        <w:spacing w:line="580" w:lineRule="exact"/>
        <w:ind w:firstLine="640"/>
        <w:jc w:val="both"/>
      </w:pPr>
      <w:r>
        <w:rPr>
          <w:rFonts w:ascii="仿宋_GB2312" w:hAnsi="仿宋_GB2312" w:eastAsia="仿宋_GB2312"/>
          <w:b w:val="0"/>
          <w:sz w:val="32"/>
        </w:rPr>
        <w:t>2024年度一般公共预算财政拨款基本支出117.65万元，其中：</w:t>
      </w:r>
      <w:r>
        <w:rPr>
          <w:rFonts w:ascii="仿宋_GB2312" w:hAnsi="仿宋_GB2312" w:eastAsia="仿宋_GB2312"/>
          <w:b/>
          <w:sz w:val="32"/>
        </w:rPr>
        <w:t>人员经费114.88万元，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14:paraId="5037B0AA">
      <w:pPr>
        <w:spacing w:line="580" w:lineRule="exact"/>
        <w:ind w:firstLine="640"/>
        <w:jc w:val="both"/>
      </w:pPr>
      <w:r>
        <w:rPr>
          <w:rFonts w:ascii="仿宋_GB2312" w:hAnsi="仿宋_GB2312" w:eastAsia="仿宋_GB2312"/>
          <w:b/>
          <w:sz w:val="32"/>
        </w:rPr>
        <w:t>公用经费2.78万元，</w:t>
      </w:r>
      <w:r>
        <w:rPr>
          <w:rFonts w:ascii="仿宋_GB2312" w:hAnsi="仿宋_GB2312" w:eastAsia="仿宋_GB2312"/>
          <w:b w:val="0"/>
          <w:sz w:val="32"/>
        </w:rPr>
        <w:t>包括：办公费、邮电费、差旅费、公务用车运行维护费。</w:t>
      </w:r>
    </w:p>
    <w:p w14:paraId="36E1986E">
      <w:pPr>
        <w:spacing w:line="640" w:lineRule="exact"/>
        <w:ind w:firstLine="640"/>
        <w:jc w:val="both"/>
        <w:outlineLvl w:val="2"/>
      </w:pPr>
      <w:r>
        <w:rPr>
          <w:rFonts w:ascii="黑体" w:hAnsi="黑体" w:eastAsia="黑体"/>
          <w:sz w:val="32"/>
        </w:rPr>
        <w:t>七、政府性基金预算财政拨款收入支出决算情况说明</w:t>
      </w:r>
    </w:p>
    <w:p w14:paraId="24BAF9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70FCCE">
      <w:pPr>
        <w:spacing w:line="640" w:lineRule="exact"/>
        <w:ind w:firstLine="640"/>
        <w:jc w:val="both"/>
        <w:outlineLvl w:val="2"/>
      </w:pPr>
      <w:r>
        <w:rPr>
          <w:rFonts w:ascii="黑体" w:hAnsi="黑体" w:eastAsia="黑体"/>
          <w:sz w:val="32"/>
        </w:rPr>
        <w:t>八、国有资本经营预算财政拨款收入支出决算情况说明</w:t>
      </w:r>
    </w:p>
    <w:p w14:paraId="33D562D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6C52127">
      <w:pPr>
        <w:spacing w:line="640" w:lineRule="exact"/>
        <w:ind w:firstLine="640"/>
        <w:jc w:val="both"/>
        <w:outlineLvl w:val="2"/>
      </w:pPr>
      <w:r>
        <w:rPr>
          <w:rFonts w:ascii="黑体" w:hAnsi="黑体" w:eastAsia="黑体"/>
          <w:sz w:val="32"/>
        </w:rPr>
        <w:t>九、财政拨款“三公”经费支出决算情况说明</w:t>
      </w:r>
    </w:p>
    <w:p w14:paraId="27D5359F">
      <w:pPr>
        <w:spacing w:line="580" w:lineRule="exact"/>
        <w:ind w:firstLine="640"/>
        <w:jc w:val="both"/>
      </w:pPr>
      <w:r>
        <w:rPr>
          <w:rFonts w:ascii="仿宋_GB2312" w:hAnsi="仿宋_GB2312" w:eastAsia="仿宋_GB2312"/>
          <w:b/>
          <w:sz w:val="32"/>
        </w:rPr>
        <w:t>2024年度财政拨款“三公”经费支出0.59万元，</w:t>
      </w:r>
      <w:r>
        <w:rPr>
          <w:rFonts w:ascii="仿宋_GB2312" w:hAnsi="仿宋_GB2312" w:eastAsia="仿宋_GB2312"/>
          <w:b w:val="0"/>
          <w:sz w:val="32"/>
        </w:rPr>
        <w:t>比上年减少0.28万元，下降32.18%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0.59万元，占100.00%，比上年减少0.28万元，下降32.18%，主要原因是：严格落实中央八项规定精神，厉行节约，减少公务用车运行维护费。公务接待费支出0.00万元，占0.00%，比上年增加0.00万元，增长0.00%，主要原因是：2023年与2024年均未安排公务接待费支出。</w:t>
      </w:r>
    </w:p>
    <w:p w14:paraId="4E72F520">
      <w:pPr>
        <w:spacing w:line="580" w:lineRule="exact"/>
        <w:ind w:firstLine="640"/>
        <w:jc w:val="both"/>
      </w:pPr>
      <w:r>
        <w:rPr>
          <w:rFonts w:ascii="仿宋_GB2312" w:hAnsi="仿宋_GB2312" w:eastAsia="仿宋_GB2312"/>
          <w:b/>
          <w:sz w:val="32"/>
        </w:rPr>
        <w:t>具体情况如下：</w:t>
      </w:r>
    </w:p>
    <w:p w14:paraId="388360F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D723CE">
      <w:pPr>
        <w:spacing w:line="580" w:lineRule="exact"/>
        <w:ind w:firstLine="640"/>
        <w:jc w:val="both"/>
      </w:pPr>
      <w:r>
        <w:rPr>
          <w:rFonts w:ascii="仿宋_GB2312" w:hAnsi="仿宋_GB2312" w:eastAsia="仿宋_GB2312"/>
          <w:b w:val="0"/>
          <w:sz w:val="32"/>
        </w:rPr>
        <w:t>公务用车购置及运行维护费0.59万元，其中：公务用车购置费0.00万元，公务用车运行维护费0.59万元。公务用车运行维护费开支内容包括车辆燃油费、保险费、维修维护费。公务用车购置数0辆，公务用车保有量1辆。国有资产占用情况中固定资产车辆1辆，与公务用车保有量差异原因是：本单位固定资产车辆与公务用车保有量一致无差异。</w:t>
      </w:r>
    </w:p>
    <w:p w14:paraId="1EAA72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3B56D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0.59万元，决算数0.59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0.59万元，决算数0.59万元，预决算差异率0.00%，主要原因是：严格按照预算执行，预决算无差异。公务接待费全年预算数0.00万元，决算数0.00万元，预决算差异率0.00%，主要原因是：本单位无公务接待费。</w:t>
      </w:r>
    </w:p>
    <w:p w14:paraId="3E25DE68">
      <w:pPr>
        <w:spacing w:line="640" w:lineRule="exact"/>
        <w:ind w:firstLine="640"/>
        <w:jc w:val="both"/>
        <w:outlineLvl w:val="2"/>
      </w:pPr>
      <w:r>
        <w:rPr>
          <w:rFonts w:ascii="黑体" w:hAnsi="黑体" w:eastAsia="黑体"/>
          <w:sz w:val="32"/>
        </w:rPr>
        <w:t>十、其他重要事项的情况说明</w:t>
      </w:r>
    </w:p>
    <w:p w14:paraId="067BC0B3">
      <w:pPr>
        <w:spacing w:line="640" w:lineRule="exact"/>
        <w:ind w:firstLine="640"/>
        <w:jc w:val="both"/>
        <w:outlineLvl w:val="3"/>
      </w:pPr>
      <w:r>
        <w:rPr>
          <w:rFonts w:ascii="楷体_GB2312" w:hAnsi="楷体_GB2312" w:eastAsia="楷体_GB2312"/>
          <w:b/>
          <w:sz w:val="32"/>
        </w:rPr>
        <w:t>（一）机关运行经费及公用经费支出情况</w:t>
      </w:r>
    </w:p>
    <w:p w14:paraId="66C566AE">
      <w:pPr>
        <w:spacing w:line="580" w:lineRule="exact"/>
        <w:ind w:firstLine="640"/>
        <w:jc w:val="both"/>
      </w:pPr>
      <w:r>
        <w:rPr>
          <w:rFonts w:ascii="仿宋_GB2312" w:hAnsi="仿宋_GB2312" w:eastAsia="仿宋_GB2312"/>
          <w:b w:val="0"/>
          <w:sz w:val="32"/>
        </w:rPr>
        <w:t>2024年度中共轮台县委员会机构编制委员会办公室（行政单位和参照公务员法管理事业单位）机关运行经费支出2.78万元，比上年减少0.82万元，下降22.78%，主要原因是：严格控制机关运行经费，合理节约办公用品，减少不必要开支。</w:t>
      </w:r>
    </w:p>
    <w:p w14:paraId="3AD97338">
      <w:pPr>
        <w:spacing w:line="640" w:lineRule="exact"/>
        <w:ind w:firstLine="640"/>
        <w:jc w:val="both"/>
        <w:outlineLvl w:val="3"/>
      </w:pPr>
      <w:r>
        <w:rPr>
          <w:rFonts w:ascii="楷体_GB2312" w:hAnsi="楷体_GB2312" w:eastAsia="楷体_GB2312"/>
          <w:b/>
          <w:sz w:val="32"/>
        </w:rPr>
        <w:t>（二）政府采购情况</w:t>
      </w:r>
    </w:p>
    <w:p w14:paraId="6301FA8A">
      <w:pPr>
        <w:spacing w:line="580" w:lineRule="exact"/>
        <w:ind w:firstLine="640"/>
        <w:jc w:val="both"/>
      </w:pPr>
      <w:r>
        <w:rPr>
          <w:rFonts w:ascii="仿宋_GB2312" w:hAnsi="仿宋_GB2312" w:eastAsia="仿宋_GB2312"/>
          <w:b w:val="0"/>
          <w:sz w:val="32"/>
        </w:rPr>
        <w:t>2024年度政府采购支出总额2.71万元，其中：政府采购货物支出2.37万元、政府采购工程支出0.00万元、政府采购服务支出0.34万元。</w:t>
      </w:r>
    </w:p>
    <w:p w14:paraId="21C988A1">
      <w:pPr>
        <w:spacing w:line="580" w:lineRule="exact"/>
        <w:ind w:firstLine="640"/>
        <w:jc w:val="both"/>
      </w:pPr>
      <w:r>
        <w:rPr>
          <w:rFonts w:ascii="仿宋_GB2312" w:hAnsi="仿宋_GB2312" w:eastAsia="仿宋_GB2312"/>
          <w:b w:val="0"/>
          <w:sz w:val="32"/>
        </w:rPr>
        <w:t>授予中小企业合同金额1.91万元，占政府采购支出总额的70.48%，其中：授予小微企业合同金额0.24万元，占政府采购支出总额的8.86%。</w:t>
      </w:r>
    </w:p>
    <w:p w14:paraId="31AEC79E">
      <w:pPr>
        <w:spacing w:line="640" w:lineRule="exact"/>
        <w:ind w:firstLine="640"/>
        <w:jc w:val="both"/>
        <w:outlineLvl w:val="3"/>
      </w:pPr>
      <w:r>
        <w:rPr>
          <w:rFonts w:ascii="楷体_GB2312" w:hAnsi="楷体_GB2312" w:eastAsia="楷体_GB2312"/>
          <w:b/>
          <w:sz w:val="32"/>
        </w:rPr>
        <w:t>（三）国有资产占用情况说明</w:t>
      </w:r>
    </w:p>
    <w:p w14:paraId="196C59C5">
      <w:pPr>
        <w:spacing w:line="580" w:lineRule="exact"/>
        <w:ind w:firstLine="640"/>
        <w:jc w:val="both"/>
      </w:pPr>
      <w:r>
        <w:rPr>
          <w:rFonts w:ascii="仿宋_GB2312" w:hAnsi="仿宋_GB2312" w:eastAsia="仿宋_GB2312"/>
          <w:b w:val="0"/>
          <w:sz w:val="32"/>
        </w:rPr>
        <w:t>截至2024年12月31日，房屋0.00平方米，价值0.00万元。车辆1辆，价值22.12万元，其中：副部（省）级及以上领导用车0辆、主要负责人用车1辆、机要通信用车0辆、应急保障用车0辆、执法执勤用车0辆、特种专业技术用车0辆、离退休干部服务用车0辆、其他用车0辆，其他用车主要是：本单位无其他用车。单价100万元（含）以上设备（不含车辆）0台（套）。</w:t>
      </w:r>
    </w:p>
    <w:p w14:paraId="3E7555F3">
      <w:pPr>
        <w:spacing w:line="640" w:lineRule="exact"/>
        <w:ind w:firstLine="640"/>
        <w:jc w:val="both"/>
        <w:outlineLvl w:val="2"/>
      </w:pPr>
      <w:r>
        <w:rPr>
          <w:rFonts w:ascii="黑体" w:hAnsi="黑体" w:eastAsia="黑体"/>
          <w:sz w:val="32"/>
        </w:rPr>
        <w:t>十一、预算绩效的情况说明</w:t>
      </w:r>
    </w:p>
    <w:p w14:paraId="683A8D2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118.40万元，实际执行总额117.66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53DD98D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B3A7943">
        <w:tblPrEx>
          <w:tblCellMar>
            <w:top w:w="0" w:type="dxa"/>
            <w:left w:w="108" w:type="dxa"/>
            <w:bottom w:w="0" w:type="dxa"/>
            <w:right w:w="108" w:type="dxa"/>
          </w:tblCellMar>
        </w:tblPrEx>
        <w:tc>
          <w:tcPr>
            <w:tcW w:w="8840" w:type="dxa"/>
            <w:gridSpan w:val="8"/>
            <w:vAlign w:val="center"/>
          </w:tcPr>
          <w:p w14:paraId="5B9C44ED">
            <w:pPr>
              <w:jc w:val="center"/>
            </w:pPr>
            <w:r>
              <w:rPr>
                <w:rFonts w:ascii="宋体" w:hAnsi="宋体" w:eastAsia="宋体"/>
                <w:sz w:val="24"/>
              </w:rPr>
              <w:t>单位整体支出绩效自评表</w:t>
            </w:r>
          </w:p>
        </w:tc>
      </w:tr>
      <w:tr w14:paraId="53DCA3C8">
        <w:tblPrEx>
          <w:tblCellMar>
            <w:top w:w="0" w:type="dxa"/>
            <w:left w:w="108" w:type="dxa"/>
            <w:bottom w:w="0" w:type="dxa"/>
            <w:right w:w="108" w:type="dxa"/>
          </w:tblCellMar>
        </w:tblPrEx>
        <w:tc>
          <w:tcPr>
            <w:tcW w:w="8840" w:type="dxa"/>
            <w:gridSpan w:val="8"/>
            <w:vAlign w:val="center"/>
          </w:tcPr>
          <w:p w14:paraId="32595AE4">
            <w:pPr>
              <w:jc w:val="center"/>
            </w:pPr>
            <w:r>
              <w:rPr>
                <w:rFonts w:ascii="宋体" w:hAnsi="宋体" w:eastAsia="宋体"/>
                <w:sz w:val="24"/>
              </w:rPr>
              <w:t>（2024年度）</w:t>
            </w:r>
          </w:p>
        </w:tc>
      </w:tr>
      <w:tr w14:paraId="587169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0AD6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4DDCB">
            <w:pPr>
              <w:jc w:val="center"/>
            </w:pPr>
            <w:r>
              <w:rPr>
                <w:rFonts w:ascii="宋体" w:hAnsi="宋体" w:eastAsia="宋体"/>
                <w:sz w:val="16"/>
              </w:rPr>
              <w:t>中共轮台县委员会机构编制委员会办公室</w:t>
            </w:r>
          </w:p>
        </w:tc>
      </w:tr>
      <w:tr w14:paraId="62957D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BDDA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329F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ECA7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C337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472C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FD73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427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05E7E">
            <w:pPr>
              <w:jc w:val="center"/>
            </w:pPr>
            <w:r>
              <w:rPr>
                <w:rFonts w:ascii="宋体" w:hAnsi="宋体" w:eastAsia="宋体"/>
                <w:sz w:val="16"/>
              </w:rPr>
              <w:t>得分</w:t>
            </w:r>
          </w:p>
        </w:tc>
      </w:tr>
      <w:tr w14:paraId="6BFFC8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E10E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0CEE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8948C">
            <w:pPr>
              <w:jc w:val="center"/>
            </w:pPr>
            <w:r>
              <w:rPr>
                <w:rFonts w:ascii="宋体" w:hAnsi="宋体" w:eastAsia="宋体"/>
                <w:sz w:val="16"/>
              </w:rPr>
              <w:t>142.87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3934F">
            <w:pPr>
              <w:jc w:val="center"/>
            </w:pPr>
            <w:r>
              <w:rPr>
                <w:rFonts w:ascii="宋体" w:hAnsi="宋体" w:eastAsia="宋体"/>
                <w:sz w:val="16"/>
              </w:rPr>
              <w:t>118.40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5CC7F">
            <w:pPr>
              <w:jc w:val="center"/>
            </w:pPr>
            <w:r>
              <w:rPr>
                <w:rFonts w:ascii="宋体" w:hAnsi="宋体" w:eastAsia="宋体"/>
                <w:sz w:val="16"/>
              </w:rPr>
              <w:t>117.66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AD4A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3C06C">
            <w:pPr>
              <w:jc w:val="center"/>
            </w:pPr>
            <w:r>
              <w:rPr>
                <w:rFonts w:ascii="宋体" w:hAnsi="宋体" w:eastAsia="宋体"/>
                <w:sz w:val="16"/>
              </w:rPr>
              <w:t>99.38%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71D83">
            <w:pPr>
              <w:jc w:val="center"/>
            </w:pPr>
            <w:r>
              <w:rPr>
                <w:rFonts w:ascii="宋体" w:hAnsi="宋体" w:eastAsia="宋体"/>
                <w:sz w:val="16"/>
              </w:rPr>
              <w:t>9.94</w:t>
            </w:r>
          </w:p>
        </w:tc>
      </w:tr>
      <w:tr w14:paraId="237004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E12C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3BA4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D21A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C2BD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9294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5EF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B25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21338">
            <w:pPr>
              <w:jc w:val="center"/>
            </w:pPr>
            <w:r>
              <w:rPr>
                <w:rFonts w:ascii="宋体" w:hAnsi="宋体" w:eastAsia="宋体"/>
                <w:sz w:val="16"/>
              </w:rPr>
              <w:t>-</w:t>
            </w:r>
          </w:p>
        </w:tc>
      </w:tr>
      <w:tr w14:paraId="50F2AF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9D39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66D3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DB8E3">
            <w:pPr>
              <w:jc w:val="center"/>
            </w:pPr>
            <w:r>
              <w:rPr>
                <w:rFonts w:ascii="宋体" w:hAnsi="宋体" w:eastAsia="宋体"/>
                <w:sz w:val="16"/>
              </w:rPr>
              <w:t>142.87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AC716">
            <w:pPr>
              <w:jc w:val="center"/>
            </w:pPr>
            <w:r>
              <w:rPr>
                <w:rFonts w:ascii="宋体" w:hAnsi="宋体" w:eastAsia="宋体"/>
                <w:sz w:val="16"/>
              </w:rPr>
              <w:t>117.65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7DCD9">
            <w:pPr>
              <w:jc w:val="center"/>
            </w:pPr>
            <w:r>
              <w:rPr>
                <w:rFonts w:ascii="宋体" w:hAnsi="宋体" w:eastAsia="宋体"/>
                <w:sz w:val="16"/>
              </w:rPr>
              <w:t>117.65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A747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274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70A9C">
            <w:pPr>
              <w:jc w:val="center"/>
            </w:pPr>
            <w:r>
              <w:rPr>
                <w:rFonts w:ascii="宋体" w:hAnsi="宋体" w:eastAsia="宋体"/>
                <w:sz w:val="16"/>
              </w:rPr>
              <w:t>-</w:t>
            </w:r>
          </w:p>
        </w:tc>
      </w:tr>
      <w:tr w14:paraId="6E4F93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43BA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345FC">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886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A1AEF">
            <w:pPr>
              <w:jc w:val="center"/>
            </w:pPr>
            <w:r>
              <w:rPr>
                <w:rFonts w:ascii="宋体" w:hAnsi="宋体" w:eastAsia="宋体"/>
                <w:sz w:val="16"/>
              </w:rPr>
              <w:t>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D29D4">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6A8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951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F15AE">
            <w:pPr>
              <w:jc w:val="center"/>
            </w:pPr>
            <w:r>
              <w:rPr>
                <w:rFonts w:ascii="宋体" w:hAnsi="宋体" w:eastAsia="宋体"/>
                <w:sz w:val="16"/>
              </w:rPr>
              <w:t>-</w:t>
            </w:r>
          </w:p>
        </w:tc>
      </w:tr>
      <w:tr w14:paraId="32A628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B7AC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2EB27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521F0A">
            <w:pPr>
              <w:jc w:val="center"/>
            </w:pPr>
            <w:r>
              <w:rPr>
                <w:rFonts w:ascii="宋体" w:hAnsi="宋体" w:eastAsia="宋体"/>
                <w:sz w:val="16"/>
              </w:rPr>
              <w:t>实际完成情况</w:t>
            </w:r>
          </w:p>
        </w:tc>
      </w:tr>
      <w:tr w14:paraId="3F6BBB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D162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74D5F1">
            <w:pPr>
              <w:jc w:val="both"/>
            </w:pPr>
            <w:r>
              <w:rPr>
                <w:rFonts w:ascii="宋体" w:hAnsi="宋体" w:eastAsia="宋体"/>
                <w:sz w:val="16"/>
              </w:rPr>
              <w:t>1.主动聚焦县委关注的重大问题以及乡镇、部门和基层群众反映强烈的问题，深入调查研究，全年开展调查研究次数不少于3次，把握新动向，了解新情况，解决新问题。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2.进一步优化事业单位登记管理服务，依法依规为全县93家事业单位办理事业单位法人设立、变更、注销登记和法人年检工作。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3.对10家单位权责清单事项进行调整和更新；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4.落实中央、自治区、自治州关于党和国家机构改革部署要求，稳步推进党政机构改革，确保党政机构改革完成率达100%。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组织实施事业单位登记管理工作，贯彻落实事业单位登记管理条例、办法，确保事业单位管理登记及时率达100%，为推进轮台治理体系和治理能力现代化、实现社会稳定和长治久安总目标提供了坚强有力的体制机制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强化单位机构编制实名制管理，持续更新完善机构编制实名制管理系统数据，确保机构编制实名制管理及时率达100%。建立实名制数据深度共享机制，推动组织、编制、人社和财政四部门间信息共享机制的常态化。</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A0E647">
            <w:pPr>
              <w:jc w:val="both"/>
            </w:pPr>
            <w:r>
              <w:rPr>
                <w:rFonts w:ascii="宋体" w:hAnsi="宋体" w:eastAsia="宋体"/>
                <w:sz w:val="16"/>
              </w:rPr>
              <w:t>为了落实州党委、县委工作安排部署要求，2024年已完成：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1.已完成开展调查研究3次，通过围绕机构编制重点难点问题深入开展调研，形成高质量报告，推动解决突出问题，机构编制资源使用效益有效提升；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93家事业单位法人年检，事业单位管理登记及时率100%，通过高效完成93家事业单位法人年度报告，保障事业单位依法规范运行，有效提升机构编制监管精准度，推动登记管理服务质效与监管水平有效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3.已完成10家单位权责清单调整更新工作，通过完成权责清单动态调整，进一步厘清部门间职责交叉等问题，使全县各部门依单履职更加准确；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4.党政机构改革完成率100%，通过优化职能设置、精简机构，使全县党政机构运行效能全面提升、服务能力显著增强；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5.机构编制实名制管理及时率100%，通过及时完成机构编制实名制数据更新，为科学配置编制资源提供了精准数据支撑。</w:t>
            </w:r>
          </w:p>
        </w:tc>
      </w:tr>
      <w:tr w14:paraId="7390396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9C2C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22BB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313B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FEFA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DBF4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8B4D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7FA1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50E75">
            <w:pPr>
              <w:jc w:val="center"/>
            </w:pPr>
            <w:r>
              <w:rPr>
                <w:rFonts w:ascii="宋体" w:hAnsi="宋体" w:eastAsia="宋体"/>
                <w:sz w:val="16"/>
              </w:rPr>
              <w:t>得分</w:t>
            </w:r>
          </w:p>
        </w:tc>
      </w:tr>
      <w:tr w14:paraId="24EBFC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AFA6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7198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E616B">
            <w:pPr>
              <w:jc w:val="center"/>
            </w:pPr>
            <w:r>
              <w:rPr>
                <w:rFonts w:ascii="宋体" w:hAnsi="宋体" w:eastAsia="宋体"/>
                <w:sz w:val="16"/>
              </w:rPr>
              <w:t>开展调查研究次数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D1D43">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19C6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CD9E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3E79E">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00258">
            <w:pPr>
              <w:jc w:val="center"/>
            </w:pPr>
            <w:r>
              <w:rPr>
                <w:rFonts w:ascii="宋体" w:hAnsi="宋体" w:eastAsia="宋体"/>
                <w:sz w:val="16"/>
              </w:rPr>
              <w:t>15</w:t>
            </w:r>
          </w:p>
        </w:tc>
      </w:tr>
      <w:tr w14:paraId="7D677A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AFC53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6EB2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F324D">
            <w:pPr>
              <w:jc w:val="center"/>
            </w:pPr>
            <w:r>
              <w:rPr>
                <w:rFonts w:ascii="宋体" w:hAnsi="宋体" w:eastAsia="宋体"/>
                <w:sz w:val="16"/>
              </w:rPr>
              <w:t>开展事业单位法人年检单位数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0F067">
            <w:pPr>
              <w:jc w:val="center"/>
            </w:pPr>
            <w:r>
              <w:rPr>
                <w:rFonts w:ascii="宋体" w:hAnsi="宋体" w:eastAsia="宋体"/>
                <w:sz w:val="16"/>
              </w:rPr>
              <w:t>&gt;=93个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54D3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6346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347C4">
            <w:pPr>
              <w:jc w:val="center"/>
            </w:pPr>
            <w:r>
              <w:rPr>
                <w:rFonts w:ascii="宋体" w:hAnsi="宋体" w:eastAsia="宋体"/>
                <w:sz w:val="16"/>
              </w:rPr>
              <w:t>93个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DB936">
            <w:pPr>
              <w:jc w:val="center"/>
            </w:pPr>
            <w:r>
              <w:rPr>
                <w:rFonts w:ascii="宋体" w:hAnsi="宋体" w:eastAsia="宋体"/>
                <w:sz w:val="16"/>
              </w:rPr>
              <w:t>15</w:t>
            </w:r>
          </w:p>
        </w:tc>
      </w:tr>
      <w:tr w14:paraId="63CC24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2EF6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CE81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0DDDA">
            <w:pPr>
              <w:jc w:val="center"/>
            </w:pPr>
            <w:r>
              <w:rPr>
                <w:rFonts w:ascii="宋体" w:hAnsi="宋体" w:eastAsia="宋体"/>
                <w:sz w:val="16"/>
              </w:rPr>
              <w:t>完成权责清单调整更新单位数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304A9">
            <w:pPr>
              <w:jc w:val="center"/>
            </w:pPr>
            <w:r>
              <w:rPr>
                <w:rFonts w:ascii="宋体" w:hAnsi="宋体" w:eastAsia="宋体"/>
                <w:sz w:val="16"/>
              </w:rPr>
              <w:t>&gt;=10个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8643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0B13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9F203">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EE9ED">
            <w:pPr>
              <w:jc w:val="center"/>
            </w:pPr>
            <w:r>
              <w:rPr>
                <w:rFonts w:ascii="宋体" w:hAnsi="宋体" w:eastAsia="宋体"/>
                <w:sz w:val="16"/>
              </w:rPr>
              <w:t>20</w:t>
            </w:r>
          </w:p>
        </w:tc>
      </w:tr>
      <w:tr w14:paraId="6BBB05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3B88C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35C7B">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B5815">
            <w:pPr>
              <w:jc w:val="center"/>
            </w:pPr>
            <w:r>
              <w:rPr>
                <w:rFonts w:ascii="宋体" w:hAnsi="宋体" w:eastAsia="宋体"/>
                <w:sz w:val="16"/>
              </w:rPr>
              <w:t>党政机构改革完成率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7877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A3FF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75E7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A0E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F2BE7">
            <w:pPr>
              <w:jc w:val="center"/>
            </w:pPr>
            <w:r>
              <w:rPr>
                <w:rFonts w:ascii="宋体" w:hAnsi="宋体" w:eastAsia="宋体"/>
                <w:sz w:val="16"/>
              </w:rPr>
              <w:t>20</w:t>
            </w:r>
          </w:p>
        </w:tc>
      </w:tr>
      <w:tr w14:paraId="777FBA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231F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9363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96A72">
            <w:pPr>
              <w:jc w:val="center"/>
            </w:pPr>
            <w:r>
              <w:rPr>
                <w:rFonts w:ascii="宋体" w:hAnsi="宋体" w:eastAsia="宋体"/>
                <w:sz w:val="16"/>
              </w:rPr>
              <w:t>机构编制实名制管理及时率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06D1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5788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0D1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CD82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A0829">
            <w:pPr>
              <w:jc w:val="center"/>
            </w:pPr>
            <w:r>
              <w:rPr>
                <w:rFonts w:ascii="宋体" w:hAnsi="宋体" w:eastAsia="宋体"/>
                <w:sz w:val="16"/>
              </w:rPr>
              <w:t>10</w:t>
            </w:r>
          </w:p>
        </w:tc>
      </w:tr>
      <w:tr w14:paraId="2466B0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78D5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7C43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A1376">
            <w:pPr>
              <w:jc w:val="center"/>
            </w:pPr>
            <w:r>
              <w:rPr>
                <w:rFonts w:ascii="宋体" w:hAnsi="宋体" w:eastAsia="宋体"/>
                <w:sz w:val="16"/>
              </w:rPr>
              <w:t>事业单位登记管理及时率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B420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4020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BDD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814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5AD30">
            <w:pPr>
              <w:jc w:val="center"/>
            </w:pPr>
            <w:r>
              <w:rPr>
                <w:rFonts w:ascii="宋体" w:hAnsi="宋体" w:eastAsia="宋体"/>
                <w:sz w:val="16"/>
              </w:rPr>
              <w:t>10</w:t>
            </w:r>
          </w:p>
        </w:tc>
      </w:tr>
    </w:tbl>
    <w:p w14:paraId="66229B56">
      <w:r>
        <w:br w:type="page"/>
      </w:r>
    </w:p>
    <w:p w14:paraId="61460005">
      <w:pPr>
        <w:spacing w:line="640" w:lineRule="exact"/>
        <w:ind w:firstLine="640"/>
        <w:jc w:val="both"/>
        <w:outlineLvl w:val="2"/>
      </w:pPr>
      <w:r>
        <w:rPr>
          <w:rFonts w:ascii="黑体" w:hAnsi="黑体" w:eastAsia="黑体"/>
          <w:sz w:val="32"/>
        </w:rPr>
        <w:t>十二、其他需说明的事项</w:t>
      </w:r>
    </w:p>
    <w:p w14:paraId="7DDE33FF">
      <w:pPr>
        <w:spacing w:line="580" w:lineRule="exact"/>
        <w:ind w:firstLine="640"/>
        <w:jc w:val="both"/>
      </w:pPr>
      <w:r>
        <w:rPr>
          <w:rFonts w:ascii="仿宋_GB2312" w:hAnsi="仿宋_GB2312" w:eastAsia="仿宋_GB2312"/>
          <w:b w:val="0"/>
          <w:sz w:val="32"/>
        </w:rPr>
        <w:t>本单位无其他需说明的事项。</w:t>
      </w:r>
    </w:p>
    <w:p w14:paraId="71A2C852">
      <w:r>
        <w:br w:type="page"/>
      </w:r>
    </w:p>
    <w:p w14:paraId="4090A583">
      <w:pPr>
        <w:spacing w:line="240" w:lineRule="auto"/>
        <w:jc w:val="center"/>
        <w:outlineLvl w:val="1"/>
      </w:pPr>
      <w:r>
        <w:rPr>
          <w:rFonts w:ascii="黑体" w:hAnsi="黑体" w:eastAsia="黑体"/>
          <w:sz w:val="32"/>
        </w:rPr>
        <w:t>第三部分 专业名词解释</w:t>
      </w:r>
    </w:p>
    <w:p w14:paraId="2C57C24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9DE95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C8400E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F2A7C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388D8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3ED11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4A039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7D0B7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C565C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94237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55E0C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D018F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7BEC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23CC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42A735">
      <w:r>
        <w:br w:type="page"/>
      </w:r>
    </w:p>
    <w:p w14:paraId="0F6F968F">
      <w:pPr>
        <w:spacing w:line="240" w:lineRule="auto"/>
        <w:jc w:val="center"/>
        <w:outlineLvl w:val="1"/>
      </w:pPr>
      <w:r>
        <w:rPr>
          <w:rFonts w:ascii="黑体" w:hAnsi="黑体" w:eastAsia="黑体"/>
          <w:sz w:val="32"/>
        </w:rPr>
        <w:t>第四部分 部门决算报表（见附表）</w:t>
      </w:r>
    </w:p>
    <w:p w14:paraId="13C33AF6">
      <w:pPr>
        <w:spacing w:line="240" w:lineRule="auto"/>
        <w:ind w:firstLine="640"/>
        <w:jc w:val="both"/>
      </w:pPr>
      <w:r>
        <w:rPr>
          <w:rFonts w:ascii="仿宋_GB2312" w:hAnsi="仿宋_GB2312" w:eastAsia="仿宋_GB2312"/>
          <w:b w:val="0"/>
          <w:sz w:val="32"/>
        </w:rPr>
        <w:t>一、《收入支出决算总表》</w:t>
      </w:r>
    </w:p>
    <w:p w14:paraId="051C4B54">
      <w:pPr>
        <w:spacing w:line="240" w:lineRule="auto"/>
        <w:ind w:firstLine="640"/>
        <w:jc w:val="both"/>
      </w:pPr>
      <w:r>
        <w:rPr>
          <w:rFonts w:ascii="仿宋_GB2312" w:hAnsi="仿宋_GB2312" w:eastAsia="仿宋_GB2312"/>
          <w:b w:val="0"/>
          <w:sz w:val="32"/>
        </w:rPr>
        <w:t>二、《收入决算表》</w:t>
      </w:r>
    </w:p>
    <w:p w14:paraId="36A17665">
      <w:pPr>
        <w:spacing w:line="240" w:lineRule="auto"/>
        <w:ind w:firstLine="640"/>
        <w:jc w:val="both"/>
      </w:pPr>
      <w:r>
        <w:rPr>
          <w:rFonts w:ascii="仿宋_GB2312" w:hAnsi="仿宋_GB2312" w:eastAsia="仿宋_GB2312"/>
          <w:b w:val="0"/>
          <w:sz w:val="32"/>
        </w:rPr>
        <w:t>三、《支出决算表》</w:t>
      </w:r>
    </w:p>
    <w:p w14:paraId="677CAB6F">
      <w:pPr>
        <w:spacing w:line="240" w:lineRule="auto"/>
        <w:ind w:firstLine="640"/>
        <w:jc w:val="both"/>
      </w:pPr>
      <w:r>
        <w:rPr>
          <w:rFonts w:ascii="仿宋_GB2312" w:hAnsi="仿宋_GB2312" w:eastAsia="仿宋_GB2312"/>
          <w:b w:val="0"/>
          <w:sz w:val="32"/>
        </w:rPr>
        <w:t>四、《财政拨款收入支出决算总表》</w:t>
      </w:r>
    </w:p>
    <w:p w14:paraId="49CC9C92">
      <w:pPr>
        <w:spacing w:line="240" w:lineRule="auto"/>
        <w:ind w:firstLine="640"/>
        <w:jc w:val="both"/>
      </w:pPr>
      <w:r>
        <w:rPr>
          <w:rFonts w:ascii="仿宋_GB2312" w:hAnsi="仿宋_GB2312" w:eastAsia="仿宋_GB2312"/>
          <w:b w:val="0"/>
          <w:sz w:val="32"/>
        </w:rPr>
        <w:t>五、《一般公共预算财政拨款支出决算表》</w:t>
      </w:r>
    </w:p>
    <w:p w14:paraId="737D1613">
      <w:pPr>
        <w:spacing w:line="240" w:lineRule="auto"/>
        <w:ind w:firstLine="640"/>
        <w:jc w:val="both"/>
      </w:pPr>
      <w:r>
        <w:rPr>
          <w:rFonts w:ascii="仿宋_GB2312" w:hAnsi="仿宋_GB2312" w:eastAsia="仿宋_GB2312"/>
          <w:b w:val="0"/>
          <w:sz w:val="32"/>
        </w:rPr>
        <w:t>六、《一般公共预算财政拨款基本支出决算表》</w:t>
      </w:r>
    </w:p>
    <w:p w14:paraId="37F9E506">
      <w:pPr>
        <w:spacing w:line="240" w:lineRule="auto"/>
        <w:ind w:firstLine="640"/>
        <w:jc w:val="both"/>
      </w:pPr>
      <w:r>
        <w:rPr>
          <w:rFonts w:ascii="仿宋_GB2312" w:hAnsi="仿宋_GB2312" w:eastAsia="仿宋_GB2312"/>
          <w:b w:val="0"/>
          <w:sz w:val="32"/>
        </w:rPr>
        <w:t>七、《政府性基金预算财政拨款收入支出决算表》</w:t>
      </w:r>
    </w:p>
    <w:p w14:paraId="5983AA29">
      <w:pPr>
        <w:spacing w:line="240" w:lineRule="auto"/>
        <w:ind w:firstLine="640"/>
        <w:jc w:val="both"/>
      </w:pPr>
      <w:r>
        <w:rPr>
          <w:rFonts w:ascii="仿宋_GB2312" w:hAnsi="仿宋_GB2312" w:eastAsia="仿宋_GB2312"/>
          <w:b w:val="0"/>
          <w:sz w:val="32"/>
        </w:rPr>
        <w:t>八、《国有资本经营预算财政拨款收入支出决算表》</w:t>
      </w:r>
    </w:p>
    <w:p w14:paraId="542A454A">
      <w:pPr>
        <w:spacing w:line="240" w:lineRule="auto"/>
        <w:ind w:firstLine="640"/>
        <w:jc w:val="both"/>
      </w:pPr>
      <w:r>
        <w:rPr>
          <w:rFonts w:ascii="仿宋_GB2312" w:hAnsi="仿宋_GB2312" w:eastAsia="仿宋_GB2312"/>
          <w:b w:val="0"/>
          <w:sz w:val="32"/>
        </w:rPr>
        <w:t>九、《财政拨款“三公”经费支出决算表》</w:t>
      </w:r>
    </w:p>
    <w:p w14:paraId="284708B9">
      <w:pPr>
        <w:spacing w:line="240" w:lineRule="auto"/>
        <w:ind w:firstLine="640"/>
        <w:jc w:val="both"/>
      </w:pPr>
    </w:p>
    <w:p w14:paraId="5FBD6123">
      <w:pPr>
        <w:spacing w:line="240" w:lineRule="auto"/>
        <w:ind w:firstLine="640"/>
        <w:jc w:val="both"/>
      </w:pPr>
    </w:p>
    <w:p w14:paraId="33AC0342">
      <w:pPr>
        <w:spacing w:line="240" w:lineRule="auto"/>
        <w:ind w:firstLine="640"/>
        <w:jc w:val="both"/>
      </w:pPr>
    </w:p>
    <w:p w14:paraId="1A252281">
      <w:pPr>
        <w:spacing w:line="240" w:lineRule="auto"/>
        <w:ind w:firstLine="640"/>
        <w:jc w:val="both"/>
      </w:pPr>
    </w:p>
    <w:p w14:paraId="77A58B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1814F5-DA57-4B4A-A471-6FC8154104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60F6FEB-064E-4E55-B4A4-6D2F4AEF0844}"/>
  </w:font>
  <w:font w:name="仿宋_GB2312">
    <w:altName w:val="仿宋"/>
    <w:panose1 w:val="02010609030101010101"/>
    <w:charset w:val="86"/>
    <w:family w:val="modern"/>
    <w:pitch w:val="default"/>
    <w:sig w:usb0="00000000" w:usb1="00000000" w:usb2="00000000" w:usb3="00000000" w:csb0="00040000" w:csb1="00000000"/>
    <w:embedRegular r:id="rId3" w:fontKey="{70F22B97-3586-4C5D-92E2-CAFBB5451285}"/>
  </w:font>
  <w:font w:name="楷体_GB2312">
    <w:altName w:val="楷体"/>
    <w:panose1 w:val="00000000000000000000"/>
    <w:charset w:val="00"/>
    <w:family w:val="auto"/>
    <w:pitch w:val="default"/>
    <w:sig w:usb0="00000000" w:usb1="00000000" w:usb2="00000000" w:usb3="00000000" w:csb0="00000000" w:csb1="00000000"/>
    <w:embedRegular r:id="rId4" w:fontKey="{F9CC5F29-E29D-462A-8189-1B41C19A229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8613EA"/>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4287</Words>
  <Characters>4920</Characters>
  <Lines>0</Lines>
  <Paragraphs>0</Paragraphs>
  <TotalTime>0</TotalTime>
  <ScaleCrop>false</ScaleCrop>
  <LinksUpToDate>false</LinksUpToDate>
  <CharactersWithSpaces>4928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2025-09-16T04:11:42Z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