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20D571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中共轮台县</w:t>
      </w:r>
      <w:bookmarkStart w:id="0" w:name="_GoBack"/>
      <w:bookmarkEnd w:id="0"/>
      <w:r>
        <w:rPr>
          <w:rFonts w:hint="eastAsia" w:ascii="方正小标宋_GBK" w:hAnsi="宋体" w:eastAsia="方正小标宋_GBK"/>
          <w:sz w:val="44"/>
          <w:szCs w:val="44"/>
          <w:highlight w:val="none"/>
          <w:lang w:val="en-US" w:eastAsia="zh-CN"/>
        </w:rPr>
        <w:t>委员会社会工作部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E3F796">
      <w:r>
        <w:br w:type="page"/>
      </w:r>
    </w:p>
    <w:p w14:paraId="4BB1AD70">
      <w:pPr>
        <w:spacing w:line="640" w:lineRule="exact"/>
        <w:jc w:val="center"/>
        <w:outlineLvl w:val="1"/>
      </w:pPr>
      <w:r>
        <w:rPr>
          <w:rFonts w:ascii="黑体" w:hAnsi="黑体" w:eastAsia="黑体"/>
          <w:sz w:val="32"/>
        </w:rPr>
        <w:t>第一部分 单位概况</w:t>
      </w:r>
    </w:p>
    <w:p w14:paraId="060F5205">
      <w:pPr>
        <w:spacing w:line="640" w:lineRule="exact"/>
        <w:ind w:firstLine="640"/>
        <w:jc w:val="both"/>
        <w:outlineLvl w:val="2"/>
      </w:pPr>
      <w:r>
        <w:rPr>
          <w:rFonts w:ascii="黑体" w:hAnsi="黑体" w:eastAsia="黑体"/>
          <w:sz w:val="32"/>
        </w:rPr>
        <w:t>一、主要职能</w:t>
      </w:r>
    </w:p>
    <w:p w14:paraId="6B56A401">
      <w:pPr>
        <w:spacing w:line="580" w:lineRule="exact"/>
        <w:ind w:firstLine="640"/>
        <w:jc w:val="both"/>
      </w:pPr>
      <w:r>
        <w:rPr>
          <w:rFonts w:ascii="仿宋_GB2312" w:hAnsi="仿宋_GB2312" w:eastAsia="仿宋_GB2312"/>
          <w:sz w:val="32"/>
        </w:rPr>
        <w:t>轮台县委社会工作部负责贯彻落实党中央方针政策、决策部署和自治区、自治州党委工作要求以及轮台县委工作安排，把坚持和加强党对社会工作的集中统一领导落实到履行职责过程中，把铸牢中华民族共同体意识作为各项工作的主线。主要职责是：贯彻执行党中央、自治区、自治州党委相关法律、法规、规章及政策，研究相关理论、政策和规划，拟订相关政策文件并组织实施。统筹推进党建引领基层治理和基层政权建设，协调推进城乡社区治理体系和治理能力建设，推进基层民主政治建设，指导监督基层群众自治制度的有效实施，健全基层群众自治机制。指导全县社会组织党建工作，统一领导全县性行业协会商会党的工作，协调推动行业协会商会深化改革和转型发展。指导全县混合所有制企业、非公有制企业和新经济组织、新社会组织、新就业群体党建工作，指导协调相关企业单位、社会组织、就业群体中党员的教育、管理、监督和服务工作，研究完善相关领域群众利益协调机制。负责全县志愿服务工作的统筹规划、协调指导、督促检查。指导社会工作人才队伍建设。负责群众利益协调、诉求表达、矛盾调处、权益保障等人民信访工作，协调解决</w:t>
      </w:r>
      <w:r>
        <w:rPr>
          <w:rFonts w:hint="eastAsia" w:ascii="仿宋_GB2312" w:hAnsi="仿宋_GB2312" w:eastAsia="仿宋_GB2312"/>
          <w:sz w:val="32"/>
          <w:lang w:eastAsia="zh-CN"/>
        </w:rPr>
        <w:t>人民群众急难愁盼问题</w:t>
      </w:r>
      <w:r>
        <w:rPr>
          <w:rFonts w:ascii="仿宋_GB2312" w:hAnsi="仿宋_GB2312" w:eastAsia="仿宋_GB2312"/>
          <w:sz w:val="32"/>
        </w:rPr>
        <w:t>。负责人民建议征集工作，负责征集、办理公民、法人和其他组织提出的意见建议，向轮台县委、轮台县人民政府及时反映公民、法人和其他组织对轮台县各项事业发展提出的重要意见建议。用好轮台县信访工作联席会议机制，分析研判信访形势，通报信访情况，提出加强和改进工作意见，督促落实联席会议决定的事项。推动建立健全信访综合协调配合机制。承担信访事项督查督办职责，畅通信访渠道，推动群众信访问题依法及时就地解决。协调处理跨地区、跨行业、跨部门、人事分离、人户分离、人事户分离和信访突出问题、越级访等重要信访案件；直接查处重大疑难信访案件。</w:t>
      </w:r>
    </w:p>
    <w:p w14:paraId="0C1C5CE2">
      <w:pPr>
        <w:spacing w:line="640" w:lineRule="exact"/>
        <w:ind w:firstLine="640"/>
        <w:jc w:val="both"/>
        <w:outlineLvl w:val="2"/>
      </w:pPr>
      <w:r>
        <w:rPr>
          <w:rFonts w:ascii="黑体" w:hAnsi="黑体" w:eastAsia="黑体"/>
          <w:sz w:val="32"/>
        </w:rPr>
        <w:t>二、机构设置及人员情况</w:t>
      </w:r>
    </w:p>
    <w:p w14:paraId="6E492DE1">
      <w:pPr>
        <w:spacing w:line="580" w:lineRule="exact"/>
        <w:ind w:firstLine="640"/>
        <w:jc w:val="both"/>
      </w:pPr>
      <w:r>
        <w:rPr>
          <w:rFonts w:ascii="仿宋_GB2312" w:hAnsi="仿宋_GB2312" w:eastAsia="仿宋_GB2312"/>
          <w:sz w:val="32"/>
        </w:rPr>
        <w:t>中共轮台县委员会社会工作部2024年度，实有人数4人，其中：在职人员4人，增加4人；离休人员0人，增加0人；退休人员0人,增加0人。</w:t>
      </w:r>
    </w:p>
    <w:p w14:paraId="34BF057E">
      <w:pPr>
        <w:spacing w:line="580" w:lineRule="exact"/>
        <w:ind w:firstLine="640"/>
        <w:jc w:val="both"/>
      </w:pPr>
      <w:r>
        <w:rPr>
          <w:rFonts w:ascii="仿宋_GB2312" w:hAnsi="仿宋_GB2312" w:eastAsia="仿宋_GB2312"/>
          <w:sz w:val="32"/>
        </w:rPr>
        <w:t>中共轮台县委员会社会工作部无下属预算单位，下设1个科室，分别是：副部长办公室。</w:t>
      </w:r>
    </w:p>
    <w:p w14:paraId="7AA9AD43">
      <w:r>
        <w:br w:type="page"/>
      </w:r>
    </w:p>
    <w:p w14:paraId="39402525">
      <w:pPr>
        <w:spacing w:line="240" w:lineRule="auto"/>
        <w:jc w:val="center"/>
        <w:outlineLvl w:val="1"/>
      </w:pPr>
      <w:r>
        <w:rPr>
          <w:rFonts w:ascii="黑体" w:hAnsi="黑体" w:eastAsia="黑体"/>
          <w:sz w:val="32"/>
        </w:rPr>
        <w:t>第二部分 部门决算情况说明</w:t>
      </w:r>
    </w:p>
    <w:p w14:paraId="5FCBEE4D">
      <w:pPr>
        <w:spacing w:line="640" w:lineRule="exact"/>
        <w:ind w:firstLine="640"/>
        <w:jc w:val="both"/>
        <w:outlineLvl w:val="2"/>
      </w:pPr>
      <w:r>
        <w:rPr>
          <w:rFonts w:ascii="黑体" w:hAnsi="黑体" w:eastAsia="黑体"/>
          <w:sz w:val="32"/>
        </w:rPr>
        <w:t>一、收入支出决算总体情况说明</w:t>
      </w:r>
    </w:p>
    <w:p w14:paraId="0750DFFC">
      <w:pPr>
        <w:spacing w:line="580" w:lineRule="exact"/>
        <w:ind w:firstLine="640"/>
        <w:jc w:val="both"/>
      </w:pPr>
      <w:r>
        <w:rPr>
          <w:rFonts w:ascii="仿宋_GB2312" w:hAnsi="仿宋_GB2312" w:eastAsia="仿宋_GB2312"/>
          <w:b/>
          <w:sz w:val="32"/>
        </w:rPr>
        <w:t>2024年度收入总计9.19万元，</w:t>
      </w:r>
      <w:r>
        <w:rPr>
          <w:rFonts w:ascii="仿宋_GB2312" w:hAnsi="仿宋_GB2312" w:eastAsia="仿宋_GB2312"/>
          <w:b w:val="0"/>
          <w:sz w:val="32"/>
        </w:rPr>
        <w:t>其中：本年收入合计9.19万元，使用非财政拨款结余（含专用结余）0.00万元，年初结转和结余0.00万元。</w:t>
      </w:r>
    </w:p>
    <w:p w14:paraId="4D85B8A8">
      <w:pPr>
        <w:spacing w:line="580" w:lineRule="exact"/>
        <w:ind w:firstLine="640"/>
        <w:jc w:val="both"/>
      </w:pPr>
      <w:r>
        <w:rPr>
          <w:rFonts w:ascii="仿宋_GB2312" w:hAnsi="仿宋_GB2312" w:eastAsia="仿宋_GB2312"/>
          <w:b/>
          <w:sz w:val="32"/>
        </w:rPr>
        <w:t>2024年度支出总计9.19万元，</w:t>
      </w:r>
      <w:r>
        <w:rPr>
          <w:rFonts w:ascii="仿宋_GB2312" w:hAnsi="仿宋_GB2312" w:eastAsia="仿宋_GB2312"/>
          <w:b w:val="0"/>
          <w:sz w:val="32"/>
        </w:rPr>
        <w:t>其中：本年支出合计9.19万元，结余分配0.00万元，年末结转和结余0.00万元。</w:t>
      </w:r>
    </w:p>
    <w:p w14:paraId="0B96B2C5">
      <w:pPr>
        <w:spacing w:line="580" w:lineRule="exact"/>
        <w:ind w:firstLine="640"/>
        <w:jc w:val="both"/>
      </w:pPr>
      <w:r>
        <w:rPr>
          <w:rFonts w:ascii="仿宋_GB2312" w:hAnsi="仿宋_GB2312" w:eastAsia="仿宋_GB2312"/>
          <w:b w:val="0"/>
          <w:sz w:val="32"/>
        </w:rPr>
        <w:t>收入支出总体与上年相比，增加9.19万元，增长100.00%，主要原因是：本单位为本年新增单位，无上年对比数据。</w:t>
      </w:r>
    </w:p>
    <w:p w14:paraId="4697CC73">
      <w:pPr>
        <w:spacing w:line="640" w:lineRule="exact"/>
        <w:ind w:firstLine="640"/>
        <w:jc w:val="both"/>
        <w:outlineLvl w:val="2"/>
      </w:pPr>
      <w:r>
        <w:rPr>
          <w:rFonts w:ascii="黑体" w:hAnsi="黑体" w:eastAsia="黑体"/>
          <w:sz w:val="32"/>
        </w:rPr>
        <w:t>二、收入决算情况说明</w:t>
      </w:r>
    </w:p>
    <w:p w14:paraId="362BB0FE">
      <w:pPr>
        <w:spacing w:line="580" w:lineRule="exact"/>
        <w:ind w:firstLine="640"/>
        <w:jc w:val="both"/>
      </w:pPr>
      <w:r>
        <w:rPr>
          <w:rFonts w:ascii="仿宋_GB2312" w:hAnsi="仿宋_GB2312" w:eastAsia="仿宋_GB2312"/>
          <w:b/>
          <w:sz w:val="32"/>
        </w:rPr>
        <w:t>本年收入9.19万元，</w:t>
      </w:r>
      <w:r>
        <w:rPr>
          <w:rFonts w:ascii="仿宋_GB2312" w:hAnsi="仿宋_GB2312" w:eastAsia="仿宋_GB2312"/>
          <w:b w:val="0"/>
          <w:sz w:val="32"/>
        </w:rPr>
        <w:t>其中：财政拨款收入9.19万元，占100.00%；上级补助收入0.00万元，占0.00%；事业收入0.00万元，占0.00%；经营收入0.00万元，占0.00%；附属单位上缴收入0.00万元，占0.00%；其他收入0.00万元，占0.00%。</w:t>
      </w:r>
    </w:p>
    <w:p w14:paraId="50236ADC">
      <w:pPr>
        <w:spacing w:line="640" w:lineRule="exact"/>
        <w:ind w:firstLine="640"/>
        <w:jc w:val="both"/>
        <w:outlineLvl w:val="2"/>
      </w:pPr>
      <w:r>
        <w:rPr>
          <w:rFonts w:ascii="黑体" w:hAnsi="黑体" w:eastAsia="黑体"/>
          <w:sz w:val="32"/>
        </w:rPr>
        <w:t>三、支出决算情况说明</w:t>
      </w:r>
    </w:p>
    <w:p w14:paraId="4EB7F269">
      <w:pPr>
        <w:spacing w:line="580" w:lineRule="exact"/>
        <w:ind w:firstLine="640"/>
        <w:jc w:val="both"/>
      </w:pPr>
      <w:r>
        <w:rPr>
          <w:rFonts w:ascii="仿宋_GB2312" w:hAnsi="仿宋_GB2312" w:eastAsia="仿宋_GB2312"/>
          <w:b/>
          <w:sz w:val="32"/>
        </w:rPr>
        <w:t>本年支出9.19万元，</w:t>
      </w:r>
      <w:r>
        <w:rPr>
          <w:rFonts w:ascii="仿宋_GB2312" w:hAnsi="仿宋_GB2312" w:eastAsia="仿宋_GB2312"/>
          <w:b w:val="0"/>
          <w:sz w:val="32"/>
        </w:rPr>
        <w:t>其中：基本支出9.19万元，占100.00%；项目支出0.00万元，占0.00%；上缴上级支出0.00万元，占0.00%；经营支出0.00万元，占0.00%；对附属单位补助支出0.00万元，占0.00%。</w:t>
      </w:r>
    </w:p>
    <w:p w14:paraId="1AF872D2">
      <w:pPr>
        <w:spacing w:line="640" w:lineRule="exact"/>
        <w:ind w:firstLine="640"/>
        <w:jc w:val="both"/>
        <w:outlineLvl w:val="2"/>
      </w:pPr>
      <w:r>
        <w:rPr>
          <w:rFonts w:ascii="黑体" w:hAnsi="黑体" w:eastAsia="黑体"/>
          <w:sz w:val="32"/>
        </w:rPr>
        <w:t>四、财政拨款收入支出决算总体情况说明</w:t>
      </w:r>
    </w:p>
    <w:p w14:paraId="0BE3B8BF">
      <w:pPr>
        <w:spacing w:line="580" w:lineRule="exact"/>
        <w:ind w:firstLine="640"/>
        <w:jc w:val="both"/>
      </w:pPr>
      <w:r>
        <w:rPr>
          <w:rFonts w:ascii="仿宋_GB2312" w:hAnsi="仿宋_GB2312" w:eastAsia="仿宋_GB2312"/>
          <w:b/>
          <w:sz w:val="32"/>
        </w:rPr>
        <w:t>2024年度财政拨款收入总计9.19万元，</w:t>
      </w:r>
      <w:r>
        <w:rPr>
          <w:rFonts w:ascii="仿宋_GB2312" w:hAnsi="仿宋_GB2312" w:eastAsia="仿宋_GB2312"/>
          <w:b w:val="0"/>
          <w:sz w:val="32"/>
        </w:rPr>
        <w:t>其中：年初财政拨款结转和结余0.00万元，本年财政拨款收入9.19万元。</w:t>
      </w:r>
      <w:r>
        <w:rPr>
          <w:rFonts w:ascii="仿宋_GB2312" w:hAnsi="仿宋_GB2312" w:eastAsia="仿宋_GB2312"/>
          <w:b/>
          <w:sz w:val="32"/>
        </w:rPr>
        <w:t>财政拨款支出总计9.19万元，</w:t>
      </w:r>
      <w:r>
        <w:rPr>
          <w:rFonts w:ascii="仿宋_GB2312" w:hAnsi="仿宋_GB2312" w:eastAsia="仿宋_GB2312"/>
          <w:b w:val="0"/>
          <w:sz w:val="32"/>
        </w:rPr>
        <w:t>其中：年末财政拨款结转和结余0.00万元，本年财政拨款支出9.19万元。</w:t>
      </w:r>
    </w:p>
    <w:p w14:paraId="31382B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增加9.19万元，增长100.00%，主要原因是：本单位为本年新增单位，无上年对比数据。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年初预算数0.00万元，决算数9.19万元，预决算差异率100.00%，主要原因是：年中追加新增单位，年中追加人员经费，日常公用经费相关支出增加，导致预决算存在差异。</w:t>
      </w:r>
    </w:p>
    <w:p w14:paraId="6B3269F7">
      <w:pPr>
        <w:spacing w:line="640" w:lineRule="exact"/>
        <w:ind w:firstLine="640"/>
        <w:jc w:val="both"/>
        <w:outlineLvl w:val="2"/>
      </w:pPr>
      <w:r>
        <w:rPr>
          <w:rFonts w:ascii="黑体" w:hAnsi="黑体" w:eastAsia="黑体"/>
          <w:sz w:val="32"/>
        </w:rPr>
        <w:t>五、一般公共预算财政拨款支出决算情况说明</w:t>
      </w:r>
    </w:p>
    <w:p w14:paraId="0A7C0962">
      <w:pPr>
        <w:spacing w:line="640" w:lineRule="exact"/>
        <w:ind w:firstLine="640"/>
        <w:jc w:val="both"/>
        <w:outlineLvl w:val="3"/>
      </w:pPr>
      <w:r>
        <w:rPr>
          <w:rFonts w:ascii="楷体_GB2312" w:hAnsi="楷体_GB2312" w:eastAsia="楷体_GB2312"/>
          <w:b/>
          <w:sz w:val="32"/>
        </w:rPr>
        <w:t>（一）一般公共预算财政拨款支出决算总体情况</w:t>
      </w:r>
    </w:p>
    <w:p w14:paraId="4CABCC94">
      <w:pPr>
        <w:spacing w:line="580" w:lineRule="exact"/>
        <w:ind w:firstLine="640"/>
        <w:jc w:val="both"/>
      </w:pPr>
      <w:r>
        <w:rPr>
          <w:rFonts w:ascii="仿宋_GB2312" w:hAnsi="仿宋_GB2312" w:eastAsia="仿宋_GB2312"/>
          <w:b/>
          <w:sz w:val="32"/>
        </w:rPr>
        <w:t>2024年度一般公共预算财政拨款支出9.19万元，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增加9.19万元，增长100.00%，主要原因是：本单位为新增单位，无上年对比数据。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年初预算数0.00万元，决算数9.19万元，预决算差异率100.00%，主要原因是：年中追加新增单位，年中追加人员经费，日常公用经费相关支出增加，导致预决算存在差异。</w:t>
      </w:r>
    </w:p>
    <w:p w14:paraId="2CE302E9">
      <w:pPr>
        <w:spacing w:line="640" w:lineRule="exact"/>
        <w:ind w:firstLine="640"/>
        <w:jc w:val="both"/>
        <w:outlineLvl w:val="3"/>
      </w:pPr>
      <w:r>
        <w:rPr>
          <w:rFonts w:ascii="楷体_GB2312" w:hAnsi="楷体_GB2312" w:eastAsia="楷体_GB2312"/>
          <w:b/>
          <w:sz w:val="32"/>
        </w:rPr>
        <w:t>（二）一般公共预算财政拨款支出决算结构情况</w:t>
      </w:r>
    </w:p>
    <w:p w14:paraId="77E4666D">
      <w:pPr>
        <w:spacing w:line="580" w:lineRule="exact"/>
        <w:ind w:firstLine="640"/>
        <w:jc w:val="both"/>
      </w:pPr>
      <w:r>
        <w:rPr>
          <w:rFonts w:ascii="仿宋_GB2312" w:hAnsi="仿宋_GB2312" w:eastAsia="仿宋_GB2312"/>
          <w:b w:val="0"/>
          <w:sz w:val="32"/>
        </w:rPr>
        <w:t>1.一般公共服务支出(类)7.97万元,占86.72%。</w:t>
      </w:r>
    </w:p>
    <w:p w14:paraId="2857B88B">
      <w:pPr>
        <w:spacing w:line="580" w:lineRule="exact"/>
        <w:ind w:firstLine="640"/>
        <w:jc w:val="both"/>
      </w:pPr>
      <w:r>
        <w:rPr>
          <w:rFonts w:ascii="仿宋_GB2312" w:hAnsi="仿宋_GB2312" w:eastAsia="仿宋_GB2312"/>
          <w:b w:val="0"/>
          <w:sz w:val="32"/>
        </w:rPr>
        <w:t>2.社会保障和就业支出(类)0.44万元,占4.79%。</w:t>
      </w:r>
    </w:p>
    <w:p w14:paraId="41790CFA">
      <w:pPr>
        <w:spacing w:line="580" w:lineRule="exact"/>
        <w:ind w:firstLine="640"/>
        <w:jc w:val="both"/>
      </w:pPr>
      <w:r>
        <w:rPr>
          <w:rFonts w:ascii="仿宋_GB2312" w:hAnsi="仿宋_GB2312" w:eastAsia="仿宋_GB2312"/>
          <w:b w:val="0"/>
          <w:sz w:val="32"/>
        </w:rPr>
        <w:t>3.卫生健康支出(类)0.28万元,占3.05%。</w:t>
      </w:r>
    </w:p>
    <w:p w14:paraId="521032B3">
      <w:pPr>
        <w:spacing w:line="580" w:lineRule="exact"/>
        <w:ind w:firstLine="640"/>
        <w:jc w:val="both"/>
      </w:pPr>
      <w:r>
        <w:rPr>
          <w:rFonts w:ascii="仿宋_GB2312" w:hAnsi="仿宋_GB2312" w:eastAsia="仿宋_GB2312"/>
          <w:b w:val="0"/>
          <w:sz w:val="32"/>
        </w:rPr>
        <w:t>4.住房保障支出(类)0.50万元,占5.44%。</w:t>
      </w:r>
    </w:p>
    <w:p w14:paraId="09820B39">
      <w:pPr>
        <w:spacing w:line="640" w:lineRule="exact"/>
        <w:ind w:firstLine="640"/>
        <w:jc w:val="both"/>
        <w:outlineLvl w:val="3"/>
      </w:pPr>
      <w:r>
        <w:rPr>
          <w:rFonts w:ascii="楷体_GB2312" w:hAnsi="楷体_GB2312" w:eastAsia="楷体_GB2312"/>
          <w:b/>
          <w:sz w:val="32"/>
        </w:rPr>
        <w:t>（三）一般公共预算财政拨款支出决算具体情况</w:t>
      </w:r>
    </w:p>
    <w:p w14:paraId="3C3B2B8D">
      <w:pPr>
        <w:spacing w:line="580" w:lineRule="exact"/>
        <w:ind w:firstLine="640"/>
        <w:jc w:val="both"/>
      </w:pPr>
      <w:r>
        <w:rPr>
          <w:rFonts w:ascii="仿宋_GB2312" w:hAnsi="仿宋_GB2312" w:eastAsia="仿宋_GB2312"/>
          <w:b w:val="0"/>
          <w:sz w:val="32"/>
        </w:rPr>
        <w:t>1.一般公共服务支出(类)社会工作事务(款)行政运行(项):支出决算数为5.34万元，比上年决算增加5.34万元，增长100.00%,主要原因是：本单位为新增单位，无上年对比数据。</w:t>
      </w:r>
    </w:p>
    <w:p w14:paraId="0B1C4989">
      <w:pPr>
        <w:spacing w:line="580" w:lineRule="exact"/>
        <w:ind w:firstLine="640"/>
        <w:jc w:val="both"/>
      </w:pPr>
      <w:r>
        <w:rPr>
          <w:rFonts w:ascii="仿宋_GB2312" w:hAnsi="仿宋_GB2312" w:eastAsia="仿宋_GB2312"/>
          <w:b w:val="0"/>
          <w:sz w:val="32"/>
        </w:rPr>
        <w:t>2.一般公共服务支出(类)社会工作事务(款)事业运行(项):支出决算数为0.83万元，比上年决算增加0.83万元，增长100.00%,主要原因是：本单位为新增单位，无上年对比数据。</w:t>
      </w:r>
    </w:p>
    <w:p w14:paraId="422C16DB">
      <w:pPr>
        <w:spacing w:line="580" w:lineRule="exact"/>
        <w:ind w:firstLine="640"/>
        <w:jc w:val="both"/>
      </w:pPr>
      <w:r>
        <w:rPr>
          <w:rFonts w:ascii="仿宋_GB2312" w:hAnsi="仿宋_GB2312" w:eastAsia="仿宋_GB2312"/>
          <w:b w:val="0"/>
          <w:sz w:val="32"/>
        </w:rPr>
        <w:t>3.一般公共服务支出(类)信访事务(款)行政运行(项):支出决算数为1.80万元，比上年决算增加1.80万元，增长100.00%,主要原因是：本单位为新增单位，无上年对比数据。</w:t>
      </w:r>
    </w:p>
    <w:p w14:paraId="48392B1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4.社会保障和就业支出(类)行政事业单位养老支出(款)机关事业单位基本养老保险缴费支出(项):支出决算数为0.44万元，比上年决算增加0.44万元，增长100.00%,主要原因是：本单位为新增单位，无上年对比数据。</w:t>
      </w:r>
    </w:p>
    <w:p w14:paraId="4F807471">
      <w:pPr>
        <w:spacing w:line="580" w:lineRule="exact"/>
        <w:ind w:firstLine="640"/>
        <w:jc w:val="both"/>
      </w:pPr>
      <w:r>
        <w:rPr>
          <w:rFonts w:ascii="仿宋_GB2312" w:hAnsi="仿宋_GB2312" w:eastAsia="仿宋_GB2312"/>
          <w:b w:val="0"/>
          <w:sz w:val="32"/>
        </w:rPr>
        <w:t>5.卫生健康支出(类)行政事业单位医疗(款)行政单位医疗(项):支出决算数为0.20万元，比上年决算增加0.20万元，增长100.00%,主要原因是：本单位为新增单位，无上年对比数据。</w:t>
      </w:r>
    </w:p>
    <w:p w14:paraId="0BD1603C">
      <w:pPr>
        <w:spacing w:line="580" w:lineRule="exact"/>
        <w:ind w:firstLine="640"/>
        <w:jc w:val="both"/>
      </w:pPr>
      <w:r>
        <w:rPr>
          <w:rFonts w:ascii="仿宋_GB2312" w:hAnsi="仿宋_GB2312" w:eastAsia="仿宋_GB2312"/>
          <w:b w:val="0"/>
          <w:sz w:val="32"/>
        </w:rPr>
        <w:t>6.卫生健康支出(类)行政事业单位医疗(款)公务员医疗补助(项):支出决算数为0.08万元，比上年决算增加0.08万元，增长100.00%,主要原因是：本单位为新增单位，无上年对比数据。</w:t>
      </w:r>
    </w:p>
    <w:p w14:paraId="0594FD5D">
      <w:pPr>
        <w:spacing w:line="580" w:lineRule="exact"/>
        <w:ind w:firstLine="640"/>
        <w:jc w:val="both"/>
      </w:pPr>
      <w:r>
        <w:rPr>
          <w:rFonts w:ascii="仿宋_GB2312" w:hAnsi="仿宋_GB2312" w:eastAsia="仿宋_GB2312"/>
          <w:b w:val="0"/>
          <w:sz w:val="32"/>
        </w:rPr>
        <w:t>7.住房保障支出(类)住房改革支出(款)住房公积金(项):支出决算数为0.50万元，比上年决算增加0.50万元，增长100.00%,主要原因是：本单位为新增单位，无上年对比数据。</w:t>
      </w:r>
    </w:p>
    <w:p w14:paraId="6C6C4161">
      <w:pPr>
        <w:spacing w:line="640" w:lineRule="exact"/>
        <w:ind w:firstLine="640"/>
        <w:jc w:val="both"/>
        <w:outlineLvl w:val="2"/>
      </w:pPr>
      <w:r>
        <w:rPr>
          <w:rFonts w:ascii="黑体" w:hAnsi="黑体" w:eastAsia="黑体"/>
          <w:sz w:val="32"/>
        </w:rPr>
        <w:t>六、一般公共预算财政拨款基本支出决算情况说明</w:t>
      </w:r>
    </w:p>
    <w:p w14:paraId="6EB89789">
      <w:pPr>
        <w:spacing w:line="580" w:lineRule="exact"/>
        <w:ind w:firstLine="640"/>
        <w:jc w:val="both"/>
      </w:pPr>
      <w:r>
        <w:rPr>
          <w:rFonts w:ascii="仿宋_GB2312" w:hAnsi="仿宋_GB2312" w:eastAsia="仿宋_GB2312"/>
          <w:b w:val="0"/>
          <w:sz w:val="32"/>
        </w:rPr>
        <w:t>2024年度一般公共预算财政拨款基本支出9.19万元，其中：</w:t>
      </w:r>
      <w:r>
        <w:rPr>
          <w:rFonts w:ascii="仿宋_GB2312" w:hAnsi="仿宋_GB2312" w:eastAsia="仿宋_GB2312"/>
          <w:b/>
          <w:sz w:val="32"/>
        </w:rPr>
        <w:t>人员经费6.25万元，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14:paraId="2925F814">
      <w:pPr>
        <w:spacing w:line="580" w:lineRule="exact"/>
        <w:ind w:firstLine="640"/>
        <w:jc w:val="both"/>
      </w:pPr>
      <w:r>
        <w:rPr>
          <w:rFonts w:ascii="仿宋_GB2312" w:hAnsi="仿宋_GB2312" w:eastAsia="仿宋_GB2312"/>
          <w:b/>
          <w:sz w:val="32"/>
        </w:rPr>
        <w:t>公用经费2.93万元，</w:t>
      </w:r>
      <w:r>
        <w:rPr>
          <w:rFonts w:ascii="仿宋_GB2312" w:hAnsi="仿宋_GB2312" w:eastAsia="仿宋_GB2312"/>
          <w:b w:val="0"/>
          <w:sz w:val="32"/>
        </w:rPr>
        <w:t>包括：办公费、印刷费、邮电费、差旅费。</w:t>
      </w:r>
    </w:p>
    <w:p w14:paraId="72CA552C">
      <w:pPr>
        <w:spacing w:line="640" w:lineRule="exact"/>
        <w:ind w:firstLine="640"/>
        <w:jc w:val="both"/>
        <w:outlineLvl w:val="2"/>
      </w:pPr>
      <w:r>
        <w:rPr>
          <w:rFonts w:ascii="黑体" w:hAnsi="黑体" w:eastAsia="黑体"/>
          <w:sz w:val="32"/>
        </w:rPr>
        <w:t>七、政府性基金预算财政拨款收入支出决算情况说明</w:t>
      </w:r>
    </w:p>
    <w:p w14:paraId="72D3E5E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AE766D">
      <w:pPr>
        <w:spacing w:line="640" w:lineRule="exact"/>
        <w:ind w:firstLine="640"/>
        <w:jc w:val="both"/>
        <w:outlineLvl w:val="2"/>
      </w:pPr>
      <w:r>
        <w:rPr>
          <w:rFonts w:ascii="黑体" w:hAnsi="黑体" w:eastAsia="黑体"/>
          <w:sz w:val="32"/>
        </w:rPr>
        <w:t>八、国有资本经营预算财政拨款收入支出决算情况说明</w:t>
      </w:r>
    </w:p>
    <w:p w14:paraId="7CDC5DB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439493">
      <w:pPr>
        <w:spacing w:line="640" w:lineRule="exact"/>
        <w:ind w:firstLine="640"/>
        <w:jc w:val="both"/>
        <w:outlineLvl w:val="2"/>
      </w:pPr>
      <w:r>
        <w:rPr>
          <w:rFonts w:ascii="黑体" w:hAnsi="黑体" w:eastAsia="黑体"/>
          <w:sz w:val="32"/>
        </w:rPr>
        <w:t>九、财政拨款“三公”经费支出决算情况说明</w:t>
      </w:r>
    </w:p>
    <w:p w14:paraId="025474A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46D93861">
      <w:pPr>
        <w:spacing w:line="580" w:lineRule="exact"/>
        <w:ind w:firstLine="640"/>
        <w:jc w:val="both"/>
      </w:pPr>
      <w:r>
        <w:rPr>
          <w:rFonts w:ascii="仿宋_GB2312" w:hAnsi="仿宋_GB2312" w:eastAsia="仿宋_GB2312"/>
          <w:b/>
          <w:sz w:val="32"/>
        </w:rPr>
        <w:t>具体情况如下：</w:t>
      </w:r>
    </w:p>
    <w:p w14:paraId="2CBAE9B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1214B5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8E378E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D42AC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6586B33">
      <w:pPr>
        <w:spacing w:line="640" w:lineRule="exact"/>
        <w:ind w:firstLine="640"/>
        <w:jc w:val="both"/>
        <w:outlineLvl w:val="2"/>
      </w:pPr>
      <w:r>
        <w:rPr>
          <w:rFonts w:ascii="黑体" w:hAnsi="黑体" w:eastAsia="黑体"/>
          <w:sz w:val="32"/>
        </w:rPr>
        <w:t>十、其他重要事项的情况说明</w:t>
      </w:r>
    </w:p>
    <w:p w14:paraId="4CEF66C8">
      <w:pPr>
        <w:spacing w:line="640" w:lineRule="exact"/>
        <w:ind w:firstLine="640"/>
        <w:jc w:val="both"/>
        <w:outlineLvl w:val="3"/>
      </w:pPr>
      <w:r>
        <w:rPr>
          <w:rFonts w:ascii="楷体_GB2312" w:hAnsi="楷体_GB2312" w:eastAsia="楷体_GB2312"/>
          <w:b/>
          <w:sz w:val="32"/>
        </w:rPr>
        <w:t>（一）机关运行经费及公用经费支出情况</w:t>
      </w:r>
    </w:p>
    <w:p w14:paraId="7278D390">
      <w:pPr>
        <w:spacing w:line="580" w:lineRule="exact"/>
        <w:ind w:firstLine="640"/>
        <w:jc w:val="both"/>
      </w:pPr>
      <w:r>
        <w:rPr>
          <w:rFonts w:ascii="仿宋_GB2312" w:hAnsi="仿宋_GB2312" w:eastAsia="仿宋_GB2312"/>
          <w:b w:val="0"/>
          <w:sz w:val="32"/>
        </w:rPr>
        <w:t>2024年度中共轮台县委员会社会工作部（行政单位和参照公务员法管理事业单位）机关运行经费支出2.93万元，比上年增加2.93万元，增长100.00%，主要原因是：本单位为新增单位，无上年对比数据，导致公用经费增加。</w:t>
      </w:r>
    </w:p>
    <w:p w14:paraId="315D7431">
      <w:pPr>
        <w:spacing w:line="640" w:lineRule="exact"/>
        <w:ind w:firstLine="640"/>
        <w:jc w:val="both"/>
        <w:outlineLvl w:val="3"/>
      </w:pPr>
      <w:r>
        <w:rPr>
          <w:rFonts w:ascii="楷体_GB2312" w:hAnsi="楷体_GB2312" w:eastAsia="楷体_GB2312"/>
          <w:b/>
          <w:sz w:val="32"/>
        </w:rPr>
        <w:t>（二）政府采购情况</w:t>
      </w:r>
    </w:p>
    <w:p w14:paraId="3041600A">
      <w:pPr>
        <w:spacing w:line="580" w:lineRule="exact"/>
        <w:ind w:firstLine="640"/>
        <w:jc w:val="both"/>
      </w:pPr>
      <w:r>
        <w:rPr>
          <w:rFonts w:ascii="仿宋_GB2312" w:hAnsi="仿宋_GB2312" w:eastAsia="仿宋_GB2312"/>
          <w:b w:val="0"/>
          <w:sz w:val="32"/>
        </w:rPr>
        <w:t>2024年度政府采购支出总额2.20万元，其中：政府采购货物支出0.12万元、政府采购工程支出0.00万元、政府采购服务支出2.08万元。</w:t>
      </w:r>
    </w:p>
    <w:p w14:paraId="307457B1">
      <w:pPr>
        <w:spacing w:line="580" w:lineRule="exact"/>
        <w:ind w:firstLine="640"/>
        <w:jc w:val="both"/>
      </w:pPr>
      <w:r>
        <w:rPr>
          <w:rFonts w:ascii="仿宋_GB2312" w:hAnsi="仿宋_GB2312" w:eastAsia="仿宋_GB2312"/>
          <w:b w:val="0"/>
          <w:sz w:val="32"/>
        </w:rPr>
        <w:t>授予中小企业合同金额2.20万元，占政府采购支出总额的100.00%，其中：授予小微企业合同金额2.20万元，占政府采购支出总额的100.00%。</w:t>
      </w:r>
    </w:p>
    <w:p w14:paraId="3104A726">
      <w:pPr>
        <w:spacing w:line="640" w:lineRule="exact"/>
        <w:ind w:firstLine="640"/>
        <w:jc w:val="both"/>
        <w:outlineLvl w:val="3"/>
      </w:pPr>
      <w:r>
        <w:rPr>
          <w:rFonts w:ascii="楷体_GB2312" w:hAnsi="楷体_GB2312" w:eastAsia="楷体_GB2312"/>
          <w:b/>
          <w:sz w:val="32"/>
        </w:rPr>
        <w:t>（三）国有资产占用情况说明</w:t>
      </w:r>
    </w:p>
    <w:p w14:paraId="281CD92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6F0B995">
      <w:pPr>
        <w:spacing w:line="640" w:lineRule="exact"/>
        <w:ind w:firstLine="640"/>
        <w:jc w:val="both"/>
        <w:outlineLvl w:val="2"/>
      </w:pPr>
      <w:r>
        <w:rPr>
          <w:rFonts w:ascii="黑体" w:hAnsi="黑体" w:eastAsia="黑体"/>
          <w:sz w:val="32"/>
        </w:rPr>
        <w:t>十一、预算绩效的情况说明</w:t>
      </w:r>
    </w:p>
    <w:p w14:paraId="4255E6D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14:paraId="410D3BE2">
      <w:r>
        <w:br w:type="page"/>
      </w:r>
    </w:p>
    <w:p w14:paraId="52D49B75">
      <w:pPr>
        <w:spacing w:line="640" w:lineRule="exact"/>
        <w:ind w:firstLine="640"/>
        <w:jc w:val="both"/>
        <w:outlineLvl w:val="2"/>
      </w:pPr>
      <w:r>
        <w:rPr>
          <w:rFonts w:ascii="黑体" w:hAnsi="黑体" w:eastAsia="黑体"/>
          <w:sz w:val="32"/>
        </w:rPr>
        <w:t>十二、其他需说明的事项</w:t>
      </w:r>
    </w:p>
    <w:p w14:paraId="1E49B73B">
      <w:pPr>
        <w:spacing w:line="580" w:lineRule="exact"/>
        <w:ind w:firstLine="640"/>
        <w:jc w:val="both"/>
      </w:pPr>
      <w:r>
        <w:rPr>
          <w:rFonts w:ascii="仿宋_GB2312" w:hAnsi="仿宋_GB2312" w:eastAsia="仿宋_GB2312"/>
          <w:b w:val="0"/>
          <w:sz w:val="32"/>
        </w:rPr>
        <w:t>本单位为本年新增单位无整体支出绩效自评表。</w:t>
      </w:r>
    </w:p>
    <w:p w14:paraId="2AFAD191">
      <w:r>
        <w:br w:type="page"/>
      </w:r>
    </w:p>
    <w:p w14:paraId="4F5511DF">
      <w:pPr>
        <w:spacing w:line="240" w:lineRule="auto"/>
        <w:jc w:val="center"/>
        <w:outlineLvl w:val="1"/>
      </w:pPr>
      <w:r>
        <w:rPr>
          <w:rFonts w:ascii="黑体" w:hAnsi="黑体" w:eastAsia="黑体"/>
          <w:sz w:val="32"/>
        </w:rPr>
        <w:t>第三部分 专业名词解释</w:t>
      </w:r>
    </w:p>
    <w:p w14:paraId="1ADC1C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2AFF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34C91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9F3ED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9CFCF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10150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2332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259BB4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A07E6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B677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CC0B0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EB40A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C494B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52EF8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DCCF5C">
      <w:r>
        <w:br w:type="page"/>
      </w:r>
    </w:p>
    <w:p w14:paraId="5BD35BC6">
      <w:pPr>
        <w:spacing w:line="240" w:lineRule="auto"/>
        <w:jc w:val="center"/>
        <w:outlineLvl w:val="1"/>
      </w:pPr>
      <w:r>
        <w:rPr>
          <w:rFonts w:ascii="黑体" w:hAnsi="黑体" w:eastAsia="黑体"/>
          <w:sz w:val="32"/>
        </w:rPr>
        <w:t>第四部分 部门决算报表（见附表）</w:t>
      </w:r>
    </w:p>
    <w:p w14:paraId="3C0BBF88">
      <w:pPr>
        <w:spacing w:line="240" w:lineRule="auto"/>
        <w:ind w:firstLine="640"/>
        <w:jc w:val="both"/>
      </w:pPr>
      <w:r>
        <w:rPr>
          <w:rFonts w:ascii="仿宋_GB2312" w:hAnsi="仿宋_GB2312" w:eastAsia="仿宋_GB2312"/>
          <w:b w:val="0"/>
          <w:sz w:val="32"/>
        </w:rPr>
        <w:t>一、《收入支出决算总表》</w:t>
      </w:r>
    </w:p>
    <w:p w14:paraId="2C7F7867">
      <w:pPr>
        <w:spacing w:line="240" w:lineRule="auto"/>
        <w:ind w:firstLine="640"/>
        <w:jc w:val="both"/>
      </w:pPr>
      <w:r>
        <w:rPr>
          <w:rFonts w:ascii="仿宋_GB2312" w:hAnsi="仿宋_GB2312" w:eastAsia="仿宋_GB2312"/>
          <w:b w:val="0"/>
          <w:sz w:val="32"/>
        </w:rPr>
        <w:t>二、《收入决算表》</w:t>
      </w:r>
    </w:p>
    <w:p w14:paraId="7BF58937">
      <w:pPr>
        <w:spacing w:line="240" w:lineRule="auto"/>
        <w:ind w:firstLine="640"/>
        <w:jc w:val="both"/>
      </w:pPr>
      <w:r>
        <w:rPr>
          <w:rFonts w:ascii="仿宋_GB2312" w:hAnsi="仿宋_GB2312" w:eastAsia="仿宋_GB2312"/>
          <w:b w:val="0"/>
          <w:sz w:val="32"/>
        </w:rPr>
        <w:t>三、《支出决算表》</w:t>
      </w:r>
    </w:p>
    <w:p w14:paraId="50A4DFEA">
      <w:pPr>
        <w:spacing w:line="240" w:lineRule="auto"/>
        <w:ind w:firstLine="640"/>
        <w:jc w:val="both"/>
      </w:pPr>
      <w:r>
        <w:rPr>
          <w:rFonts w:ascii="仿宋_GB2312" w:hAnsi="仿宋_GB2312" w:eastAsia="仿宋_GB2312"/>
          <w:b w:val="0"/>
          <w:sz w:val="32"/>
        </w:rPr>
        <w:t>四、《财政拨款收入支出决算总表》</w:t>
      </w:r>
    </w:p>
    <w:p w14:paraId="6068458C">
      <w:pPr>
        <w:spacing w:line="240" w:lineRule="auto"/>
        <w:ind w:firstLine="640"/>
        <w:jc w:val="both"/>
      </w:pPr>
      <w:r>
        <w:rPr>
          <w:rFonts w:ascii="仿宋_GB2312" w:hAnsi="仿宋_GB2312" w:eastAsia="仿宋_GB2312"/>
          <w:b w:val="0"/>
          <w:sz w:val="32"/>
        </w:rPr>
        <w:t>五、《一般公共预算财政拨款支出决算表》</w:t>
      </w:r>
    </w:p>
    <w:p w14:paraId="703379AA">
      <w:pPr>
        <w:spacing w:line="240" w:lineRule="auto"/>
        <w:ind w:firstLine="640"/>
        <w:jc w:val="both"/>
      </w:pPr>
      <w:r>
        <w:rPr>
          <w:rFonts w:ascii="仿宋_GB2312" w:hAnsi="仿宋_GB2312" w:eastAsia="仿宋_GB2312"/>
          <w:b w:val="0"/>
          <w:sz w:val="32"/>
        </w:rPr>
        <w:t>六、《一般公共预算财政拨款基本支出决算表》</w:t>
      </w:r>
    </w:p>
    <w:p w14:paraId="5EE58AD6">
      <w:pPr>
        <w:spacing w:line="240" w:lineRule="auto"/>
        <w:ind w:firstLine="640"/>
        <w:jc w:val="both"/>
      </w:pPr>
      <w:r>
        <w:rPr>
          <w:rFonts w:ascii="仿宋_GB2312" w:hAnsi="仿宋_GB2312" w:eastAsia="仿宋_GB2312"/>
          <w:b w:val="0"/>
          <w:sz w:val="32"/>
        </w:rPr>
        <w:t>七、《政府性基金预算财政拨款收入支出决算表》</w:t>
      </w:r>
    </w:p>
    <w:p w14:paraId="72475407">
      <w:pPr>
        <w:spacing w:line="240" w:lineRule="auto"/>
        <w:ind w:firstLine="640"/>
        <w:jc w:val="both"/>
      </w:pPr>
      <w:r>
        <w:rPr>
          <w:rFonts w:ascii="仿宋_GB2312" w:hAnsi="仿宋_GB2312" w:eastAsia="仿宋_GB2312"/>
          <w:b w:val="0"/>
          <w:sz w:val="32"/>
        </w:rPr>
        <w:t>八、《国有资本经营预算财政拨款收入支出决算表》</w:t>
      </w:r>
    </w:p>
    <w:p w14:paraId="0D4C9201">
      <w:pPr>
        <w:spacing w:line="240" w:lineRule="auto"/>
        <w:ind w:firstLine="640"/>
        <w:jc w:val="both"/>
      </w:pPr>
      <w:r>
        <w:rPr>
          <w:rFonts w:ascii="仿宋_GB2312" w:hAnsi="仿宋_GB2312" w:eastAsia="仿宋_GB2312"/>
          <w:b w:val="0"/>
          <w:sz w:val="32"/>
        </w:rPr>
        <w:t>九、《财政拨款“三公”经费支出决算表》</w:t>
      </w:r>
    </w:p>
    <w:p w14:paraId="6457870D">
      <w:pPr>
        <w:spacing w:line="240" w:lineRule="auto"/>
        <w:ind w:firstLine="640"/>
        <w:jc w:val="both"/>
      </w:pPr>
    </w:p>
    <w:p w14:paraId="32092249">
      <w:pPr>
        <w:spacing w:line="240" w:lineRule="auto"/>
        <w:ind w:firstLine="640"/>
        <w:jc w:val="both"/>
      </w:pPr>
    </w:p>
    <w:p w14:paraId="5584DF48">
      <w:pPr>
        <w:spacing w:line="240" w:lineRule="auto"/>
        <w:ind w:firstLine="640"/>
        <w:jc w:val="both"/>
      </w:pPr>
    </w:p>
    <w:p w14:paraId="364507BE">
      <w:pPr>
        <w:spacing w:line="240" w:lineRule="auto"/>
        <w:ind w:firstLine="640"/>
        <w:jc w:val="both"/>
      </w:pPr>
    </w:p>
    <w:p w14:paraId="50B95B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105998-3A23-42EE-B4C8-DEEFF55FA6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2E4A800-7083-49C9-B119-A267843F8B55}"/>
  </w:font>
  <w:font w:name="仿宋_GB2312">
    <w:panose1 w:val="02010609030101010101"/>
    <w:charset w:val="86"/>
    <w:family w:val="auto"/>
    <w:pitch w:val="default"/>
    <w:sig w:usb0="00000001" w:usb1="080E0000" w:usb2="00000000" w:usb3="00000000" w:csb0="00040000" w:csb1="00000000"/>
    <w:embedRegular r:id="rId3" w:fontKey="{3E7B6333-A024-489C-B81A-8F88910C4039}"/>
  </w:font>
  <w:font w:name="楷体_GB2312">
    <w:panose1 w:val="02010609030101010101"/>
    <w:charset w:val="86"/>
    <w:family w:val="auto"/>
    <w:pitch w:val="default"/>
    <w:sig w:usb0="00000001" w:usb1="080E0000" w:usb2="00000000" w:usb3="00000000" w:csb0="00040000" w:csb1="00000000"/>
    <w:embedRegular r:id="rId4" w:fontKey="{09E52520-2D15-43E6-B1B9-F770681085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E76C79"/>
    <w:rsid w:val="2D1136DF"/>
    <w:rsid w:val="2DAE0E44"/>
    <w:rsid w:val="2FD27414"/>
    <w:rsid w:val="313F1D52"/>
    <w:rsid w:val="318029AB"/>
    <w:rsid w:val="31C63837"/>
    <w:rsid w:val="326F0A17"/>
    <w:rsid w:val="3277581B"/>
    <w:rsid w:val="33323549"/>
    <w:rsid w:val="38006E2C"/>
    <w:rsid w:val="3914510A"/>
    <w:rsid w:val="3B1220C9"/>
    <w:rsid w:val="3D146189"/>
    <w:rsid w:val="3D5275AC"/>
    <w:rsid w:val="3EA7725F"/>
    <w:rsid w:val="3EC014A1"/>
    <w:rsid w:val="40834692"/>
    <w:rsid w:val="423A32B2"/>
    <w:rsid w:val="423C0CB4"/>
    <w:rsid w:val="427B5743"/>
    <w:rsid w:val="42E64542"/>
    <w:rsid w:val="464B7E04"/>
    <w:rsid w:val="464F7E64"/>
    <w:rsid w:val="46715CDF"/>
    <w:rsid w:val="46901EEE"/>
    <w:rsid w:val="469C74D2"/>
    <w:rsid w:val="47445515"/>
    <w:rsid w:val="48D507A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C627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5482</Words>
  <Characters>6057</Characters>
  <Lines>0</Lines>
  <Paragraphs>0</Paragraphs>
  <TotalTime>8</TotalTime>
  <ScaleCrop>false</ScaleCrop>
  <LinksUpToDate>false</LinksUpToDate>
  <CharactersWithSpaces>6067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2025-09-16T04:42:55Z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