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DACF2E4">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新疆轮台县司法局2024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08969D00">
      <w:r>
        <w:br w:type="page"/>
      </w:r>
    </w:p>
    <w:p w14:paraId="686D27AC">
      <w:pPr>
        <w:spacing w:line="640" w:lineRule="exact"/>
        <w:jc w:val="center"/>
        <w:outlineLvl w:val="1"/>
      </w:pPr>
      <w:r>
        <w:rPr>
          <w:rFonts w:ascii="黑体" w:hAnsi="黑体" w:eastAsia="黑体"/>
          <w:sz w:val="32"/>
        </w:rPr>
        <w:t>第一部分 单位概况</w:t>
      </w:r>
    </w:p>
    <w:p w14:paraId="59488602">
      <w:pPr>
        <w:spacing w:line="640" w:lineRule="exact"/>
        <w:ind w:firstLine="640"/>
        <w:jc w:val="both"/>
        <w:outlineLvl w:val="2"/>
      </w:pPr>
      <w:r>
        <w:rPr>
          <w:rFonts w:ascii="黑体" w:hAnsi="黑体" w:eastAsia="黑体"/>
          <w:sz w:val="32"/>
        </w:rPr>
        <w:t>一、主要职能</w:t>
      </w:r>
    </w:p>
    <w:p w14:paraId="3E290C12">
      <w:pPr>
        <w:spacing w:line="580" w:lineRule="exact"/>
        <w:ind w:firstLine="640"/>
        <w:jc w:val="both"/>
      </w:pPr>
      <w:r>
        <w:rPr>
          <w:rFonts w:ascii="仿宋_GB2312" w:hAnsi="仿宋_GB2312" w:eastAsia="仿宋_GB2312"/>
          <w:sz w:val="32"/>
        </w:rPr>
        <w:t>贯彻执行国家和自治区、自治州、县司法行政工作方针、政策、法律、法规、规章和规范性文件；开展司法行政调研工作，起草、制定全县司法行政工作规划、年度工作计划并组织实施。负责指导管理全县社区矫正工作，预防和杜绝社区矫正对象重新犯罪。负责组织指导和参与全县社会矛盾纠纷化解工作，不断完善全区大调解机制。负责拟定全县法治宣传与普法教育规划并组织实施，指导全县法治宣传工作，指导全县行业、基层依法治理工作。负责管理、指导、监督全县法律服务工作，监督指导全县律师、公证工作并承担相应责任。负责全县司法所全面建设，负责指导开展人民调解、安置帮教工作，负责指导社会矛盾纠纷调解工作，参与社会治安综合治理工作。负责指导监督全县司法行政系统依法行政、执法监督工作；负责机关行政复议、行政诉讼应诉，行政处罚、国家赔偿等工作。负责监督管理全县法律援助工作，指导协调全县12348法律服务专线工作。负责指导全县司法行政系统人才和干部队伍建设，负责全县司法行政系统党的建设和思想政治工作。负责局内部财务管理和内部审计工作。管理直属单位的国有资产，负责局警用车辆的管理工作；负责全县司法行政系统的信息化建设。承办县司法局授权办理事项。承办县委、县政府交办的其他事项。</w:t>
      </w:r>
    </w:p>
    <w:p w14:paraId="68A4BDAA">
      <w:pPr>
        <w:spacing w:line="640" w:lineRule="exact"/>
        <w:ind w:firstLine="640"/>
        <w:jc w:val="both"/>
        <w:outlineLvl w:val="2"/>
      </w:pPr>
      <w:r>
        <w:rPr>
          <w:rFonts w:ascii="黑体" w:hAnsi="黑体" w:eastAsia="黑体"/>
          <w:sz w:val="32"/>
        </w:rPr>
        <w:t>二、机构设置及人员情况</w:t>
      </w:r>
    </w:p>
    <w:p w14:paraId="315A8C56">
      <w:pPr>
        <w:spacing w:line="580" w:lineRule="exact"/>
        <w:ind w:firstLine="640"/>
        <w:jc w:val="both"/>
      </w:pPr>
      <w:r>
        <w:rPr>
          <w:rFonts w:ascii="仿宋_GB2312" w:hAnsi="仿宋_GB2312" w:eastAsia="仿宋_GB2312"/>
          <w:sz w:val="32"/>
        </w:rPr>
        <w:t>新疆轮台县司法局2024年度，实有人数45人，其中：在职人员26人，减少3人；离休人员0人，增加0人；退休人员19人,增加2人。</w:t>
      </w:r>
    </w:p>
    <w:p w14:paraId="683DA01A">
      <w:pPr>
        <w:spacing w:line="580" w:lineRule="exact"/>
        <w:ind w:firstLine="640"/>
        <w:jc w:val="both"/>
      </w:pPr>
      <w:r>
        <w:rPr>
          <w:rFonts w:ascii="仿宋_GB2312" w:hAnsi="仿宋_GB2312" w:eastAsia="仿宋_GB2312"/>
          <w:sz w:val="32"/>
        </w:rPr>
        <w:t>新疆轮台县司法局无下属预算单位，下设3个科室，分别是：行政办公室、依法治县综合股、综合业务股。</w:t>
      </w:r>
    </w:p>
    <w:p w14:paraId="20032B2C">
      <w:r>
        <w:br w:type="page"/>
      </w:r>
    </w:p>
    <w:p w14:paraId="6FCB10E4">
      <w:pPr>
        <w:spacing w:line="240" w:lineRule="auto"/>
        <w:jc w:val="center"/>
        <w:outlineLvl w:val="1"/>
      </w:pPr>
      <w:r>
        <w:rPr>
          <w:rFonts w:ascii="黑体" w:hAnsi="黑体" w:eastAsia="黑体"/>
          <w:sz w:val="32"/>
        </w:rPr>
        <w:t>第二部分 部门决算情况说明</w:t>
      </w:r>
    </w:p>
    <w:p w14:paraId="71BE4187">
      <w:pPr>
        <w:spacing w:line="640" w:lineRule="exact"/>
        <w:ind w:firstLine="640"/>
        <w:jc w:val="both"/>
        <w:outlineLvl w:val="2"/>
      </w:pPr>
      <w:r>
        <w:rPr>
          <w:rFonts w:ascii="黑体" w:hAnsi="黑体" w:eastAsia="黑体"/>
          <w:sz w:val="32"/>
        </w:rPr>
        <w:t>一、收入支出决算总体情况说明</w:t>
      </w:r>
    </w:p>
    <w:p w14:paraId="02028A32">
      <w:pPr>
        <w:spacing w:line="580" w:lineRule="exact"/>
        <w:ind w:firstLine="640"/>
        <w:jc w:val="both"/>
      </w:pPr>
      <w:r>
        <w:rPr>
          <w:rFonts w:ascii="仿宋_GB2312" w:hAnsi="仿宋_GB2312" w:eastAsia="仿宋_GB2312"/>
          <w:b/>
          <w:sz w:val="32"/>
        </w:rPr>
        <w:t>2024年度收入总计792.96万元，</w:t>
      </w:r>
      <w:r>
        <w:rPr>
          <w:rFonts w:ascii="仿宋_GB2312" w:hAnsi="仿宋_GB2312" w:eastAsia="仿宋_GB2312"/>
          <w:b w:val="0"/>
          <w:sz w:val="32"/>
        </w:rPr>
        <w:t>其中：本年收入合计791.37万元，使用非财政拨款结余（含专用结余）0.00万元，年初结转和结余1.59万元。</w:t>
      </w:r>
    </w:p>
    <w:p w14:paraId="74C83130">
      <w:pPr>
        <w:spacing w:line="580" w:lineRule="exact"/>
        <w:ind w:firstLine="640"/>
        <w:jc w:val="both"/>
      </w:pPr>
      <w:r>
        <w:rPr>
          <w:rFonts w:ascii="仿宋_GB2312" w:hAnsi="仿宋_GB2312" w:eastAsia="仿宋_GB2312"/>
          <w:b/>
          <w:sz w:val="32"/>
        </w:rPr>
        <w:t>2024年度支出总计792.96万元，</w:t>
      </w:r>
      <w:r>
        <w:rPr>
          <w:rFonts w:ascii="仿宋_GB2312" w:hAnsi="仿宋_GB2312" w:eastAsia="仿宋_GB2312"/>
          <w:b w:val="0"/>
          <w:sz w:val="32"/>
        </w:rPr>
        <w:t>其中：本年支出合计791.73万元，结余分配0.00万元，年末结转和结余1.23万元。</w:t>
      </w:r>
    </w:p>
    <w:p w14:paraId="7BC8FF98">
      <w:pPr>
        <w:spacing w:line="580" w:lineRule="exact"/>
        <w:ind w:firstLine="640"/>
        <w:jc w:val="both"/>
      </w:pPr>
      <w:r>
        <w:rPr>
          <w:rFonts w:ascii="仿宋_GB2312" w:hAnsi="仿宋_GB2312" w:eastAsia="仿宋_GB2312"/>
          <w:b w:val="0"/>
          <w:sz w:val="32"/>
        </w:rPr>
        <w:t>收入支出总体与上年相比，增加130.47万元，增长19.69%，主要原因是：本年在职人员工资调增，社保、公积金基数调增，人员经费增加，本年增加乡镇司法所办案家具采购款、心理服务教育培训费等经费，导致相关经费增加。</w:t>
      </w:r>
    </w:p>
    <w:p w14:paraId="0A1C490B">
      <w:pPr>
        <w:spacing w:line="640" w:lineRule="exact"/>
        <w:ind w:firstLine="640"/>
        <w:jc w:val="both"/>
        <w:outlineLvl w:val="2"/>
      </w:pPr>
      <w:r>
        <w:rPr>
          <w:rFonts w:ascii="黑体" w:hAnsi="黑体" w:eastAsia="黑体"/>
          <w:sz w:val="32"/>
        </w:rPr>
        <w:t>二、收入决算情况说明</w:t>
      </w:r>
    </w:p>
    <w:p w14:paraId="20881547">
      <w:pPr>
        <w:spacing w:line="580" w:lineRule="exact"/>
        <w:ind w:firstLine="640"/>
        <w:jc w:val="both"/>
      </w:pPr>
      <w:r>
        <w:rPr>
          <w:rFonts w:ascii="仿宋_GB2312" w:hAnsi="仿宋_GB2312" w:eastAsia="仿宋_GB2312"/>
          <w:b/>
          <w:sz w:val="32"/>
        </w:rPr>
        <w:t>本年收入791.37万元，</w:t>
      </w:r>
      <w:r>
        <w:rPr>
          <w:rFonts w:ascii="仿宋_GB2312" w:hAnsi="仿宋_GB2312" w:eastAsia="仿宋_GB2312"/>
          <w:b w:val="0"/>
          <w:sz w:val="32"/>
        </w:rPr>
        <w:t>其中：财政拨款收入790.90万元，占99.94%；上级补助收入0.00万元，占0.00%；事业收入0.00万元，占0.00%；经营收入0.00万元，占0.00%；附属单位上缴收入0.00万元，占0.00%；其他收入0.47万元，占0.06%。</w:t>
      </w:r>
    </w:p>
    <w:p w14:paraId="79B90705">
      <w:pPr>
        <w:spacing w:line="640" w:lineRule="exact"/>
        <w:ind w:firstLine="640"/>
        <w:jc w:val="both"/>
        <w:outlineLvl w:val="2"/>
      </w:pPr>
      <w:r>
        <w:rPr>
          <w:rFonts w:ascii="黑体" w:hAnsi="黑体" w:eastAsia="黑体"/>
          <w:sz w:val="32"/>
        </w:rPr>
        <w:t>三、支出决算情况说明</w:t>
      </w:r>
    </w:p>
    <w:p w14:paraId="006EFCCC">
      <w:pPr>
        <w:spacing w:line="580" w:lineRule="exact"/>
        <w:ind w:firstLine="640"/>
        <w:jc w:val="both"/>
      </w:pPr>
      <w:r>
        <w:rPr>
          <w:rFonts w:ascii="仿宋_GB2312" w:hAnsi="仿宋_GB2312" w:eastAsia="仿宋_GB2312"/>
          <w:b/>
          <w:sz w:val="32"/>
        </w:rPr>
        <w:t>本年支出791.73万元，</w:t>
      </w:r>
      <w:r>
        <w:rPr>
          <w:rFonts w:ascii="仿宋_GB2312" w:hAnsi="仿宋_GB2312" w:eastAsia="仿宋_GB2312"/>
          <w:b w:val="0"/>
          <w:sz w:val="32"/>
        </w:rPr>
        <w:t>其中：基本支出569.90万元，占71.98%；项目支出221.82万元，占28.02%；上缴上级支出0.00万元，占0.00%；经营支出0.00万元，占0.00%；对附属单位补助支出0.00万元，占0.00%。</w:t>
      </w:r>
    </w:p>
    <w:p w14:paraId="54490A61">
      <w:pPr>
        <w:spacing w:line="640" w:lineRule="exact"/>
        <w:ind w:firstLine="640"/>
        <w:jc w:val="both"/>
        <w:outlineLvl w:val="2"/>
      </w:pPr>
      <w:r>
        <w:rPr>
          <w:rFonts w:ascii="黑体" w:hAnsi="黑体" w:eastAsia="黑体"/>
          <w:sz w:val="32"/>
        </w:rPr>
        <w:t>四、财政拨款收入支出决算总体情况说明</w:t>
      </w:r>
    </w:p>
    <w:p w14:paraId="7B47DC31">
      <w:pPr>
        <w:spacing w:line="580" w:lineRule="exact"/>
        <w:ind w:firstLine="640"/>
        <w:jc w:val="both"/>
      </w:pPr>
      <w:r>
        <w:rPr>
          <w:rFonts w:ascii="仿宋_GB2312" w:hAnsi="仿宋_GB2312" w:eastAsia="仿宋_GB2312"/>
          <w:b/>
          <w:sz w:val="32"/>
        </w:rPr>
        <w:t>2024年度财政拨款收入总计790.90万元，</w:t>
      </w:r>
      <w:r>
        <w:rPr>
          <w:rFonts w:ascii="仿宋_GB2312" w:hAnsi="仿宋_GB2312" w:eastAsia="仿宋_GB2312"/>
          <w:b w:val="0"/>
          <w:sz w:val="32"/>
        </w:rPr>
        <w:t>其中：年初财政拨款结转和结余0.00万元，本年财政拨款收入790.90万元。</w:t>
      </w:r>
      <w:r>
        <w:rPr>
          <w:rFonts w:ascii="仿宋_GB2312" w:hAnsi="仿宋_GB2312" w:eastAsia="仿宋_GB2312"/>
          <w:b/>
          <w:sz w:val="32"/>
        </w:rPr>
        <w:t>财政拨款支出总计790.90万元，</w:t>
      </w:r>
      <w:r>
        <w:rPr>
          <w:rFonts w:ascii="仿宋_GB2312" w:hAnsi="仿宋_GB2312" w:eastAsia="仿宋_GB2312"/>
          <w:b w:val="0"/>
          <w:sz w:val="32"/>
        </w:rPr>
        <w:t>其中：年末财政拨款结转和结余0.00万元，本年财政拨款支出790.90万元。</w:t>
      </w:r>
    </w:p>
    <w:p w14:paraId="0120F733">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增加130.87万元，增长19.83%，主要原因是：本年在职人员工资调增，社保、公积金基数调增，人员经费增加，本年增加乡镇司法所办案家具采购款、心理服务教育培训费等经费，导致相关经费增加。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年初预算数761.32万元，决算数790.90万元，预决算差异率3.89%，主要原因是：年中追加人员工资、社保、公积金基数调增部分资金，导致预决算存在差异。</w:t>
      </w:r>
    </w:p>
    <w:p w14:paraId="6901B627">
      <w:pPr>
        <w:spacing w:line="640" w:lineRule="exact"/>
        <w:ind w:firstLine="640"/>
        <w:jc w:val="both"/>
        <w:outlineLvl w:val="2"/>
      </w:pPr>
      <w:r>
        <w:rPr>
          <w:rFonts w:ascii="黑体" w:hAnsi="黑体" w:eastAsia="黑体"/>
          <w:sz w:val="32"/>
        </w:rPr>
        <w:t>五、一般公共预算财政拨款支出决算情况说明</w:t>
      </w:r>
    </w:p>
    <w:p w14:paraId="01DFDC2D">
      <w:pPr>
        <w:spacing w:line="640" w:lineRule="exact"/>
        <w:ind w:firstLine="640"/>
        <w:jc w:val="both"/>
        <w:outlineLvl w:val="3"/>
      </w:pPr>
      <w:r>
        <w:rPr>
          <w:rFonts w:ascii="楷体_GB2312" w:hAnsi="楷体_GB2312" w:eastAsia="楷体_GB2312"/>
          <w:b/>
          <w:sz w:val="32"/>
        </w:rPr>
        <w:t>（一）一般公共预算财政拨款支出决算总体情况</w:t>
      </w:r>
    </w:p>
    <w:p w14:paraId="3E12BE02">
      <w:pPr>
        <w:spacing w:line="580" w:lineRule="exact"/>
        <w:ind w:firstLine="640"/>
        <w:jc w:val="both"/>
      </w:pPr>
      <w:r>
        <w:rPr>
          <w:rFonts w:ascii="仿宋_GB2312" w:hAnsi="仿宋_GB2312" w:eastAsia="仿宋_GB2312"/>
          <w:b/>
          <w:sz w:val="32"/>
        </w:rPr>
        <w:t>2024年度一般公共预算财政拨款支出790.90万元，</w:t>
      </w:r>
      <w:r>
        <w:rPr>
          <w:rFonts w:ascii="仿宋_GB2312" w:hAnsi="仿宋_GB2312" w:eastAsia="仿宋_GB2312"/>
          <w:b w:val="0"/>
          <w:sz w:val="32"/>
        </w:rPr>
        <w:t>占本年支出合计的99.90%。</w:t>
      </w:r>
      <w:r>
        <w:rPr>
          <w:rFonts w:ascii="仿宋_GB2312" w:hAnsi="仿宋_GB2312" w:eastAsia="仿宋_GB2312"/>
          <w:b/>
          <w:sz w:val="32"/>
        </w:rPr>
        <w:t>与上年相比，</w:t>
      </w:r>
      <w:r>
        <w:rPr>
          <w:rFonts w:ascii="仿宋_GB2312" w:hAnsi="仿宋_GB2312" w:eastAsia="仿宋_GB2312"/>
          <w:b w:val="0"/>
          <w:sz w:val="32"/>
        </w:rPr>
        <w:t>增加130.87万元，增长19.83%，主要原因是：本年在职人员工资调增，社保、公积金基数调增，人员经费增加，本年增加乡镇司法所办案家具采购款、心理服务教育培训费等经费，导致相关经费增加。</w:t>
      </w:r>
      <w:r>
        <w:rPr>
          <w:rFonts w:ascii="仿宋_GB2312" w:hAnsi="仿宋_GB2312" w:eastAsia="仿宋_GB2312"/>
          <w:b/>
          <w:sz w:val="32"/>
        </w:rPr>
        <w:t>与年初预算相比,</w:t>
      </w:r>
      <w:r>
        <w:rPr>
          <w:rFonts w:ascii="仿宋_GB2312" w:hAnsi="仿宋_GB2312" w:eastAsia="仿宋_GB2312"/>
          <w:b w:val="0"/>
          <w:sz w:val="32"/>
        </w:rPr>
        <w:t>年初预算数761.32万元，决算数790.90万元，预决算差异率3.89%，主要原因是：年中追加人员工资、社保、公积金基数调增部分资金，导致预决算存在差异。</w:t>
      </w:r>
    </w:p>
    <w:p w14:paraId="382F7A88">
      <w:pPr>
        <w:spacing w:line="640" w:lineRule="exact"/>
        <w:ind w:firstLine="640"/>
        <w:jc w:val="both"/>
        <w:outlineLvl w:val="3"/>
      </w:pPr>
      <w:r>
        <w:rPr>
          <w:rFonts w:ascii="楷体_GB2312" w:hAnsi="楷体_GB2312" w:eastAsia="楷体_GB2312"/>
          <w:b/>
          <w:sz w:val="32"/>
        </w:rPr>
        <w:t>（二）一般公共预算财政拨款支出决算结构情况</w:t>
      </w:r>
    </w:p>
    <w:p w14:paraId="4BC5D80A">
      <w:pPr>
        <w:spacing w:line="580" w:lineRule="exact"/>
        <w:ind w:firstLine="640"/>
        <w:jc w:val="both"/>
      </w:pPr>
      <w:r>
        <w:rPr>
          <w:rFonts w:ascii="仿宋_GB2312" w:hAnsi="仿宋_GB2312" w:eastAsia="仿宋_GB2312"/>
          <w:b w:val="0"/>
          <w:sz w:val="32"/>
        </w:rPr>
        <w:t>1.公共安全支出(类)642.41万元,占81.23%。</w:t>
      </w:r>
    </w:p>
    <w:p w14:paraId="2710FB4D">
      <w:pPr>
        <w:spacing w:line="580" w:lineRule="exact"/>
        <w:ind w:firstLine="640"/>
        <w:jc w:val="both"/>
      </w:pPr>
      <w:r>
        <w:rPr>
          <w:rFonts w:ascii="仿宋_GB2312" w:hAnsi="仿宋_GB2312" w:eastAsia="仿宋_GB2312"/>
          <w:b w:val="0"/>
          <w:sz w:val="32"/>
        </w:rPr>
        <w:t>2.教育支出(类)13.03万元,占1.65%。</w:t>
      </w:r>
    </w:p>
    <w:p w14:paraId="168B7E03">
      <w:pPr>
        <w:spacing w:line="580" w:lineRule="exact"/>
        <w:ind w:firstLine="640"/>
        <w:jc w:val="both"/>
      </w:pPr>
      <w:r>
        <w:rPr>
          <w:rFonts w:ascii="仿宋_GB2312" w:hAnsi="仿宋_GB2312" w:eastAsia="仿宋_GB2312"/>
          <w:b w:val="0"/>
          <w:sz w:val="32"/>
        </w:rPr>
        <w:t>3.社会保障和就业支出(类)74.22万元,占9.38%。</w:t>
      </w:r>
    </w:p>
    <w:p w14:paraId="1AE61552">
      <w:pPr>
        <w:spacing w:line="580" w:lineRule="exact"/>
        <w:ind w:firstLine="640"/>
        <w:jc w:val="both"/>
      </w:pPr>
      <w:r>
        <w:rPr>
          <w:rFonts w:ascii="仿宋_GB2312" w:hAnsi="仿宋_GB2312" w:eastAsia="仿宋_GB2312"/>
          <w:b w:val="0"/>
          <w:sz w:val="32"/>
        </w:rPr>
        <w:t>4.卫生健康支出(类)27.29万元,占3.45%。</w:t>
      </w:r>
    </w:p>
    <w:p w14:paraId="73BE6B2E">
      <w:pPr>
        <w:spacing w:line="580" w:lineRule="exact"/>
        <w:ind w:firstLine="640"/>
        <w:jc w:val="both"/>
      </w:pPr>
      <w:r>
        <w:rPr>
          <w:rFonts w:ascii="仿宋_GB2312" w:hAnsi="仿宋_GB2312" w:eastAsia="仿宋_GB2312"/>
          <w:b w:val="0"/>
          <w:sz w:val="32"/>
        </w:rPr>
        <w:t>5.住房保障支出(类)33.95万元,占4.29%。</w:t>
      </w:r>
    </w:p>
    <w:p w14:paraId="77E63117">
      <w:pPr>
        <w:spacing w:line="640" w:lineRule="exact"/>
        <w:ind w:firstLine="640"/>
        <w:jc w:val="both"/>
        <w:outlineLvl w:val="3"/>
      </w:pPr>
      <w:r>
        <w:rPr>
          <w:rFonts w:ascii="楷体_GB2312" w:hAnsi="楷体_GB2312" w:eastAsia="楷体_GB2312"/>
          <w:b/>
          <w:sz w:val="32"/>
        </w:rPr>
        <w:t>（三）一般公共预算财政拨款支出决算具体情况</w:t>
      </w:r>
    </w:p>
    <w:p w14:paraId="03D81343">
      <w:pPr>
        <w:spacing w:line="580" w:lineRule="exact"/>
        <w:ind w:firstLine="640"/>
        <w:jc w:val="both"/>
      </w:pPr>
      <w:r>
        <w:rPr>
          <w:rFonts w:ascii="仿宋_GB2312" w:hAnsi="仿宋_GB2312" w:eastAsia="仿宋_GB2312"/>
          <w:b w:val="0"/>
          <w:sz w:val="32"/>
        </w:rPr>
        <w:t>1.公共安全支出(类)司法(款)行政运行(项):支出决算数为333.80万元，比上年决算减少11.44万元，下降3.31%,主要原因是：本年在职人员减少，相应人员经费较上年减少。</w:t>
      </w:r>
    </w:p>
    <w:p w14:paraId="3ED93373">
      <w:pPr>
        <w:spacing w:line="580" w:lineRule="exact"/>
        <w:ind w:firstLine="640"/>
        <w:jc w:val="both"/>
      </w:pPr>
      <w:r>
        <w:rPr>
          <w:rFonts w:ascii="仿宋_GB2312" w:hAnsi="仿宋_GB2312" w:eastAsia="仿宋_GB2312"/>
          <w:b w:val="0"/>
          <w:sz w:val="32"/>
        </w:rPr>
        <w:t>2.公共安全支出(类)司法(款)基层司法业务(项):支出决算数为57.39万元，比上年决算增加11.31万元，增长24.54%,主要原因是：本年增加政法纪检监察专业支付资金，导致相关经费增加。</w:t>
      </w:r>
    </w:p>
    <w:p w14:paraId="0C966211">
      <w:pPr>
        <w:spacing w:line="580" w:lineRule="exact"/>
        <w:ind w:firstLine="640"/>
        <w:jc w:val="both"/>
      </w:pPr>
      <w:r>
        <w:rPr>
          <w:rFonts w:ascii="仿宋_GB2312" w:hAnsi="仿宋_GB2312" w:eastAsia="仿宋_GB2312"/>
          <w:b w:val="0"/>
          <w:sz w:val="32"/>
        </w:rPr>
        <w:t>3.公共安全支出(类)司法(款)普法宣传(项):支出决算数为6.00万元，比上年决算减少5.84万元，下降49.32%,主要原因是：本年减少司法局法宣在线无纸化学习费用，导致相关经费减少。</w:t>
      </w:r>
    </w:p>
    <w:p w14:paraId="053B9100">
      <w:pPr>
        <w:spacing w:line="580" w:lineRule="exact"/>
        <w:ind w:firstLine="640"/>
        <w:jc w:val="both"/>
      </w:pPr>
      <w:r>
        <w:rPr>
          <w:rFonts w:ascii="仿宋_GB2312" w:hAnsi="仿宋_GB2312" w:eastAsia="仿宋_GB2312"/>
          <w:b w:val="0"/>
          <w:sz w:val="32"/>
        </w:rPr>
        <w:t>4.公共安全支出(类)司法(款)事业运行(项):支出决算数为23.40万元，比上年决算增加16.13万元，增长221.87%,主要原因是：本年在职人员工资调增，导致相关人员经费较上年有所增加。</w:t>
      </w:r>
    </w:p>
    <w:p w14:paraId="79F9FED4">
      <w:pPr>
        <w:spacing w:line="580" w:lineRule="exact"/>
        <w:ind w:firstLine="640"/>
        <w:jc w:val="both"/>
      </w:pPr>
      <w:r>
        <w:rPr>
          <w:rFonts w:ascii="仿宋_GB2312" w:hAnsi="仿宋_GB2312" w:eastAsia="仿宋_GB2312"/>
          <w:b w:val="0"/>
          <w:sz w:val="32"/>
        </w:rPr>
        <w:t>5.公共安全支出(类)司法(款)其他司法支出(项):支出决算数为123.01万元，比上年决算减少17.75万元，下降12.61%,主要原因是：本年减少各乡镇司法所维修（护）费等经费，导致相关经费减少。</w:t>
      </w:r>
    </w:p>
    <w:p w14:paraId="0C14FE07">
      <w:pPr>
        <w:spacing w:line="580" w:lineRule="exact"/>
        <w:ind w:firstLine="640"/>
        <w:jc w:val="both"/>
      </w:pPr>
      <w:r>
        <w:rPr>
          <w:rFonts w:ascii="仿宋_GB2312" w:hAnsi="仿宋_GB2312" w:eastAsia="仿宋_GB2312"/>
          <w:b w:val="0"/>
          <w:sz w:val="32"/>
        </w:rPr>
        <w:t>6.公共安全支出(类)其他公共安全支出(款)其他公共安全支出(项):支出决算数为98.81万元，比上年决算增加98.31万元，增长19,662.00%,主要原因是：本年增加乡镇司法所办案家具采购款等经费，导致相关经费增加。</w:t>
      </w:r>
    </w:p>
    <w:p w14:paraId="4055F654">
      <w:pPr>
        <w:spacing w:line="580" w:lineRule="exact"/>
        <w:ind w:firstLine="640"/>
        <w:jc w:val="both"/>
      </w:pPr>
      <w:r>
        <w:rPr>
          <w:rFonts w:ascii="仿宋_GB2312" w:hAnsi="仿宋_GB2312" w:eastAsia="仿宋_GB2312"/>
          <w:b w:val="0"/>
          <w:sz w:val="32"/>
        </w:rPr>
        <w:t>7.教育支出(类)职业教育(款)其他职业教育支出(项):支出决算数为13.03万元，比上年决算增加13.03万元，增长100.00%,主要原因是：本年增加心理服务教育培训费等经费，导致相关经费增加。</w:t>
      </w:r>
    </w:p>
    <w:p w14:paraId="159E72D2">
      <w:pPr>
        <w:spacing w:line="580" w:lineRule="exact"/>
        <w:ind w:firstLine="640"/>
        <w:jc w:val="both"/>
      </w:pPr>
      <w:r>
        <w:rPr>
          <w:rFonts w:ascii="仿宋_GB2312" w:hAnsi="仿宋_GB2312" w:eastAsia="仿宋_GB2312"/>
          <w:b w:val="0"/>
          <w:sz w:val="32"/>
        </w:rPr>
        <w:t>8.社会保障和就业支出(类)行政事业单位养老支出(款)行政单位离退休(项):支出决算数为14.05万元，比上年决算增加3.83万元，增长37.48%,主要原因是：本年退休人员增加，退休费支出增加。</w:t>
      </w:r>
    </w:p>
    <w:p w14:paraId="0A2CA18D">
      <w:pPr>
        <w:spacing w:line="580" w:lineRule="exact"/>
        <w:ind w:firstLine="640"/>
        <w:jc w:val="both"/>
      </w:pPr>
      <w:r>
        <w:rPr>
          <w:rFonts w:ascii="仿宋_GB2312" w:hAnsi="仿宋_GB2312" w:eastAsia="仿宋_GB2312"/>
          <w:b w:val="0"/>
          <w:sz w:val="32"/>
        </w:rPr>
        <w:t>9.社会保障和就业支出(类)行政事业单位养老支出(款)机关事业单位基本养老保险缴费支出(项):支出决算数为42.70万元，比上年决算增加3.54万元，增长9.04%,主要原因是：本年在职人员工资基数调增，养老缴费基数上涨，相应支出增加。</w:t>
      </w:r>
    </w:p>
    <w:p w14:paraId="11EE75AD">
      <w:pPr>
        <w:spacing w:line="580" w:lineRule="exact"/>
        <w:ind w:firstLine="640"/>
        <w:jc w:val="both"/>
      </w:pPr>
      <w:r>
        <w:rPr>
          <w:rFonts w:ascii="仿宋_GB2312" w:hAnsi="仿宋_GB2312" w:eastAsia="仿宋_GB2312"/>
          <w:b w:val="0"/>
          <w:sz w:val="32"/>
        </w:rPr>
        <w:t>10.社会保障和就业支出(类)行政事业单位养老支出(款)机关事业单位职业年金缴费支出(项):支出决算数为17.47万元，比上年决算增加17.47万元，增长100.00%,主要原因是：本年新增退休人员、调出人员，职业年金缴费支出增加。</w:t>
      </w:r>
    </w:p>
    <w:p w14:paraId="04481A50">
      <w:pPr>
        <w:spacing w:line="580" w:lineRule="exact"/>
        <w:ind w:firstLine="640"/>
        <w:jc w:val="both"/>
      </w:pPr>
      <w:r>
        <w:rPr>
          <w:rFonts w:ascii="仿宋_GB2312" w:hAnsi="仿宋_GB2312" w:eastAsia="仿宋_GB2312"/>
          <w:b w:val="0"/>
          <w:sz w:val="32"/>
        </w:rPr>
        <w:t>11.社会保障和就业支出(类)就业补助(款)公益性岗位补贴(项):支出决算数为0.00万元，比上年决算减少1.50万元，下降100.00%,主要原因是：本年减少司法局公益性岗位第一个月生活补助经费，导致相关经费减少。</w:t>
      </w:r>
    </w:p>
    <w:p w14:paraId="52913BF7">
      <w:pPr>
        <w:spacing w:line="580" w:lineRule="exact"/>
        <w:ind w:firstLine="640"/>
        <w:jc w:val="both"/>
      </w:pPr>
      <w:r>
        <w:rPr>
          <w:rFonts w:ascii="仿宋_GB2312" w:hAnsi="仿宋_GB2312" w:eastAsia="仿宋_GB2312"/>
          <w:b w:val="0"/>
          <w:sz w:val="32"/>
        </w:rPr>
        <w:t>12.卫生健康支出(类)行政事业单位医疗(款)行政单位医疗(项):支出决算数为18.27万元，比上年决算增加0.47万元，增长2.64%,主要原因是：本年在职人员工资基数调增，医疗缴费基数上涨，相应支出增加。</w:t>
      </w:r>
    </w:p>
    <w:p w14:paraId="53D6AE26">
      <w:pPr>
        <w:spacing w:line="580" w:lineRule="exact"/>
        <w:ind w:firstLine="640"/>
        <w:jc w:val="both"/>
      </w:pPr>
      <w:r>
        <w:rPr>
          <w:rFonts w:ascii="仿宋_GB2312" w:hAnsi="仿宋_GB2312" w:eastAsia="仿宋_GB2312"/>
          <w:b w:val="0"/>
          <w:sz w:val="32"/>
        </w:rPr>
        <w:t>13.卫生健康支出(类)行政事业单位医疗(款)事业单位医疗(项):支出决算数为1.50万元，比上年决算增加1.38万元，增长1,150.00%,主要原因是：本年在职人员工资基数调增，医疗缴费基数上涨，相应支出增加。</w:t>
      </w:r>
    </w:p>
    <w:p w14:paraId="60681BCC">
      <w:pPr>
        <w:spacing w:line="580" w:lineRule="exact"/>
        <w:ind w:firstLine="640"/>
        <w:jc w:val="both"/>
      </w:pPr>
      <w:r>
        <w:rPr>
          <w:rFonts w:ascii="仿宋_GB2312" w:hAnsi="仿宋_GB2312" w:eastAsia="仿宋_GB2312"/>
          <w:b w:val="0"/>
          <w:sz w:val="32"/>
        </w:rPr>
        <w:t>14.卫生健康支出(类)行政事业单位医疗(款)公务员医疗补助(项):支出决算数为7.51万元，比上年决算增加0.05万元，增长0.67%,主要原因是：本年在职人员工资基数调增，医疗缴费基数上涨，相应支出增加。</w:t>
      </w:r>
    </w:p>
    <w:p w14:paraId="72060606">
      <w:pPr>
        <w:spacing w:line="580" w:lineRule="exact"/>
        <w:ind w:firstLine="640"/>
        <w:jc w:val="both"/>
      </w:pPr>
      <w:r>
        <w:rPr>
          <w:rFonts w:ascii="仿宋_GB2312" w:hAnsi="仿宋_GB2312" w:eastAsia="仿宋_GB2312"/>
          <w:b w:val="0"/>
          <w:sz w:val="32"/>
        </w:rPr>
        <w:t>15.住房保障支出(类)住房改革支出(款)住房公积金(项):支出决算数为33.95万元，比上年决算增加1.87万元，增长5.83%,主要原因是：本年在职人员工资基数调增，公积金缴费基数上涨，相应支出增加。</w:t>
      </w:r>
    </w:p>
    <w:p w14:paraId="33E1610A">
      <w:pPr>
        <w:spacing w:line="640" w:lineRule="exact"/>
        <w:ind w:firstLine="640"/>
        <w:jc w:val="both"/>
        <w:outlineLvl w:val="2"/>
      </w:pPr>
      <w:r>
        <w:rPr>
          <w:rFonts w:ascii="黑体" w:hAnsi="黑体" w:eastAsia="黑体"/>
          <w:sz w:val="32"/>
        </w:rPr>
        <w:t>六、一般公共预算财政拨款基本支出决算情况说明</w:t>
      </w:r>
    </w:p>
    <w:p w14:paraId="3EAA4213">
      <w:pPr>
        <w:spacing w:line="580" w:lineRule="exact"/>
        <w:ind w:firstLine="640"/>
        <w:jc w:val="both"/>
      </w:pPr>
      <w:r>
        <w:rPr>
          <w:rFonts w:ascii="仿宋_GB2312" w:hAnsi="仿宋_GB2312" w:eastAsia="仿宋_GB2312"/>
          <w:b w:val="0"/>
          <w:sz w:val="32"/>
        </w:rPr>
        <w:t>2024年度一般公共预算财政拨款基本支出569.08万元，其中：</w:t>
      </w:r>
      <w:r>
        <w:rPr>
          <w:rFonts w:ascii="仿宋_GB2312" w:hAnsi="仿宋_GB2312" w:eastAsia="仿宋_GB2312"/>
          <w:b/>
          <w:sz w:val="32"/>
        </w:rPr>
        <w:t>人员经费534.12万元，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包括：基本工资、津贴补贴、奖金、绩效工资、机关事业单位基本养老保险缴费、职业年金缴费、职工基本医疗保险缴费、公务员医疗补助缴费、其他社会保障缴费、住房公积金、退休费、生活补助、奖励金。</w:t>
      </w:r>
    </w:p>
    <w:p w14:paraId="1E995BB8">
      <w:pPr>
        <w:spacing w:line="580" w:lineRule="exact"/>
        <w:ind w:firstLine="640"/>
        <w:jc w:val="both"/>
      </w:pPr>
      <w:r>
        <w:rPr>
          <w:rFonts w:ascii="仿宋_GB2312" w:hAnsi="仿宋_GB2312" w:eastAsia="仿宋_GB2312"/>
          <w:b/>
          <w:sz w:val="32"/>
        </w:rPr>
        <w:t>公用经费34.95万元，</w:t>
      </w:r>
      <w:r>
        <w:rPr>
          <w:rFonts w:ascii="仿宋_GB2312" w:hAnsi="仿宋_GB2312" w:eastAsia="仿宋_GB2312"/>
          <w:b w:val="0"/>
          <w:sz w:val="32"/>
        </w:rPr>
        <w:t>包括：办公费、水费、电费、邮电费、差旅费、维修（护）费、会议费、培训费、专用材料费、其他交通费用。</w:t>
      </w:r>
    </w:p>
    <w:p w14:paraId="4AC130A7">
      <w:pPr>
        <w:spacing w:line="640" w:lineRule="exact"/>
        <w:ind w:firstLine="640"/>
        <w:jc w:val="both"/>
        <w:outlineLvl w:val="2"/>
      </w:pPr>
      <w:r>
        <w:rPr>
          <w:rFonts w:ascii="黑体" w:hAnsi="黑体" w:eastAsia="黑体"/>
          <w:sz w:val="32"/>
        </w:rPr>
        <w:t>七、政府性基金预算财政拨款收入支出决算情况说明</w:t>
      </w:r>
    </w:p>
    <w:p w14:paraId="575354A7">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14:paraId="51AC6BFD">
      <w:pPr>
        <w:spacing w:line="640" w:lineRule="exact"/>
        <w:ind w:firstLine="640"/>
        <w:jc w:val="both"/>
        <w:outlineLvl w:val="2"/>
      </w:pPr>
      <w:r>
        <w:rPr>
          <w:rFonts w:ascii="黑体" w:hAnsi="黑体" w:eastAsia="黑体"/>
          <w:sz w:val="32"/>
        </w:rPr>
        <w:t>八、国有资本经营预算财政拨款收入支出决算情况说明</w:t>
      </w:r>
    </w:p>
    <w:p w14:paraId="3E40208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359538B4">
      <w:pPr>
        <w:spacing w:line="640" w:lineRule="exact"/>
        <w:ind w:firstLine="640"/>
        <w:jc w:val="both"/>
        <w:outlineLvl w:val="2"/>
      </w:pPr>
      <w:r>
        <w:rPr>
          <w:rFonts w:ascii="黑体" w:hAnsi="黑体" w:eastAsia="黑体"/>
          <w:sz w:val="32"/>
        </w:rPr>
        <w:t>九、财政拨款“三公”经费支出决算情况说明</w:t>
      </w:r>
    </w:p>
    <w:p w14:paraId="4DC2F034">
      <w:pPr>
        <w:spacing w:line="580" w:lineRule="exact"/>
        <w:ind w:firstLine="640"/>
        <w:jc w:val="both"/>
      </w:pPr>
      <w:r>
        <w:rPr>
          <w:rFonts w:ascii="仿宋_GB2312" w:hAnsi="仿宋_GB2312" w:eastAsia="仿宋_GB2312"/>
          <w:b/>
          <w:sz w:val="32"/>
        </w:rPr>
        <w:t>2024年度财政拨款“三公”经费支出0.00万元，</w:t>
      </w:r>
      <w:r>
        <w:rPr>
          <w:rFonts w:ascii="仿宋_GB2312" w:hAnsi="仿宋_GB2312" w:eastAsia="仿宋_GB2312"/>
          <w:b w:val="0"/>
          <w:sz w:val="32"/>
        </w:rPr>
        <w:t>比上年减少22.08万元，下降100.00%，主要原因是：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本年度无财政拨款“三公”经费支出。其中：因公出国（境）费支出0.00万元，占0.00%，比上年增加0.00万元，增长0.00%，主要原因是：2023年与2024年均未安排因公出国（境）费支出。公务用车购置及运行维护费支出0.00万元，占0.00%，比上年减少22.08万元，下降100.00%，主要原因是：</w:t>
      </w:r>
      <w:r>
        <w:rPr>
          <w:rFonts w:hint="eastAsia" w:ascii="仿宋_GB2312" w:hAnsi="仿宋_GB2312" w:eastAsia="仿宋_GB2312"/>
          <w:b w:val="0"/>
          <w:sz w:val="32"/>
          <w:lang w:eastAsia="zh-CN"/>
        </w:rPr>
        <w:t>本单位</w:t>
      </w:r>
      <w:r>
        <w:rPr>
          <w:rFonts w:ascii="仿宋_GB2312" w:hAnsi="仿宋_GB2312" w:eastAsia="仿宋_GB2312"/>
          <w:b w:val="0"/>
          <w:sz w:val="32"/>
        </w:rPr>
        <w:t>本年度无公务用车购置及运行维护费支出。公务接待费支出0.00万元，占0.00%，比上年增加0.00万元，增长0.00%，主要原因是：2023年与2024年均未安排公务接待费支出。</w:t>
      </w:r>
    </w:p>
    <w:p w14:paraId="05E74884">
      <w:pPr>
        <w:spacing w:line="580" w:lineRule="exact"/>
        <w:ind w:firstLine="640"/>
        <w:jc w:val="both"/>
      </w:pPr>
      <w:r>
        <w:rPr>
          <w:rFonts w:ascii="仿宋_GB2312" w:hAnsi="仿宋_GB2312" w:eastAsia="仿宋_GB2312"/>
          <w:b/>
          <w:sz w:val="32"/>
        </w:rPr>
        <w:t>具体情况如下：</w:t>
      </w:r>
    </w:p>
    <w:p w14:paraId="24092FED">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4C9C3030">
      <w:pPr>
        <w:spacing w:line="580" w:lineRule="exact"/>
        <w:ind w:firstLine="640"/>
        <w:jc w:val="both"/>
      </w:pPr>
      <w:r>
        <w:rPr>
          <w:rFonts w:ascii="仿宋_GB2312" w:hAnsi="仿宋_GB2312" w:eastAsia="仿宋_GB2312"/>
          <w:b w:val="0"/>
          <w:sz w:val="32"/>
        </w:rPr>
        <w:t>公务用车购置及运行维护费0.00万元，其中：公务用车购置费0.00万元，公务用车运行维护费0.00万元。公务用车运行维护费开支内容包括本单位无公务用车运行维护费。公务用车购置数0辆，公务用车保有量0辆。国有资产占用情况中固定资产车辆15辆，与公务用车保有量差异原因是：单位业务用车，车辆费用未使用财政拨款公务用车运行维护费支付。</w:t>
      </w:r>
    </w:p>
    <w:p w14:paraId="04C1016F">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4E3BC1B">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0.00万元，决算数0.00万元，预决算差异率0.00%，主要原因是：本单位无财政拨款“三公”经费。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0.00万元，决算数0.00万元，预决算差异率0.00%，主要原因是：本单位无公务用车运行维护费。公务接待费全年预算数0.00万元，决算数0.00万元，预决算差异率0.00%，主要原因是：本单位无公务接待费。</w:t>
      </w:r>
    </w:p>
    <w:p w14:paraId="797A5B5A">
      <w:pPr>
        <w:spacing w:line="640" w:lineRule="exact"/>
        <w:ind w:firstLine="640"/>
        <w:jc w:val="both"/>
        <w:outlineLvl w:val="2"/>
      </w:pPr>
      <w:r>
        <w:rPr>
          <w:rFonts w:ascii="黑体" w:hAnsi="黑体" w:eastAsia="黑体"/>
          <w:sz w:val="32"/>
        </w:rPr>
        <w:t>十、其他重要事项的情况说明</w:t>
      </w:r>
    </w:p>
    <w:p w14:paraId="1075A450">
      <w:pPr>
        <w:spacing w:line="640" w:lineRule="exact"/>
        <w:ind w:firstLine="640"/>
        <w:jc w:val="both"/>
        <w:outlineLvl w:val="3"/>
      </w:pPr>
      <w:r>
        <w:rPr>
          <w:rFonts w:ascii="楷体_GB2312" w:hAnsi="楷体_GB2312" w:eastAsia="楷体_GB2312"/>
          <w:b/>
          <w:sz w:val="32"/>
        </w:rPr>
        <w:t>（一）机关运行经费及公用经费支出情况</w:t>
      </w:r>
    </w:p>
    <w:p w14:paraId="48FB27CE">
      <w:pPr>
        <w:spacing w:line="580" w:lineRule="exact"/>
        <w:ind w:firstLine="640"/>
        <w:jc w:val="both"/>
      </w:pPr>
      <w:r>
        <w:rPr>
          <w:rFonts w:ascii="仿宋_GB2312" w:hAnsi="仿宋_GB2312" w:eastAsia="仿宋_GB2312"/>
          <w:b w:val="0"/>
          <w:sz w:val="32"/>
        </w:rPr>
        <w:t>2024年度新疆轮台县司法局（行政单位和参照公务员法管理事业单位）机关运行经费支出34.95万元，比上年增加10.09万元，增长40.59%，主要原因是：本年业务量增加，增加办公费、培训费、专用材料费等。</w:t>
      </w:r>
    </w:p>
    <w:p w14:paraId="7C301415">
      <w:pPr>
        <w:spacing w:line="640" w:lineRule="exact"/>
        <w:ind w:firstLine="640"/>
        <w:jc w:val="both"/>
        <w:outlineLvl w:val="3"/>
      </w:pPr>
      <w:r>
        <w:rPr>
          <w:rFonts w:ascii="楷体_GB2312" w:hAnsi="楷体_GB2312" w:eastAsia="楷体_GB2312"/>
          <w:b/>
          <w:sz w:val="32"/>
        </w:rPr>
        <w:t>（二）政府采购情况</w:t>
      </w:r>
    </w:p>
    <w:p w14:paraId="44C29624">
      <w:pPr>
        <w:spacing w:line="580" w:lineRule="exact"/>
        <w:ind w:firstLine="640"/>
        <w:jc w:val="both"/>
      </w:pPr>
      <w:r>
        <w:rPr>
          <w:rFonts w:ascii="仿宋_GB2312" w:hAnsi="仿宋_GB2312" w:eastAsia="仿宋_GB2312"/>
          <w:b w:val="0"/>
          <w:sz w:val="32"/>
        </w:rPr>
        <w:t>2024年度政府采购支出总额153.41万元，其中：政府采购货物支出47.25万元、政府采购工程支出27.34万元、政府采购服务支出78.83万元。</w:t>
      </w:r>
    </w:p>
    <w:p w14:paraId="1B71C18D">
      <w:pPr>
        <w:spacing w:line="580" w:lineRule="exact"/>
        <w:ind w:firstLine="640"/>
        <w:jc w:val="both"/>
      </w:pPr>
      <w:r>
        <w:rPr>
          <w:rFonts w:ascii="仿宋_GB2312" w:hAnsi="仿宋_GB2312" w:eastAsia="仿宋_GB2312"/>
          <w:b w:val="0"/>
          <w:sz w:val="32"/>
        </w:rPr>
        <w:t>授予中小企业合同金额152.55万元，占政府采购支出总额的99.44%，其中：授予小微企业合同金额143.97万元，占政府采购支出总额的93.85%。</w:t>
      </w:r>
    </w:p>
    <w:p w14:paraId="61AA23A7">
      <w:pPr>
        <w:spacing w:line="640" w:lineRule="exact"/>
        <w:ind w:firstLine="640"/>
        <w:jc w:val="both"/>
        <w:outlineLvl w:val="3"/>
      </w:pPr>
      <w:r>
        <w:rPr>
          <w:rFonts w:ascii="楷体_GB2312" w:hAnsi="楷体_GB2312" w:eastAsia="楷体_GB2312"/>
          <w:b/>
          <w:sz w:val="32"/>
        </w:rPr>
        <w:t>（三）国有资产占用情况说明</w:t>
      </w:r>
    </w:p>
    <w:p w14:paraId="68BDFBB3">
      <w:pPr>
        <w:spacing w:line="580" w:lineRule="exact"/>
        <w:ind w:firstLine="640"/>
        <w:jc w:val="both"/>
      </w:pPr>
      <w:r>
        <w:rPr>
          <w:rFonts w:ascii="仿宋_GB2312" w:hAnsi="仿宋_GB2312" w:eastAsia="仿宋_GB2312"/>
          <w:b w:val="0"/>
          <w:sz w:val="32"/>
        </w:rPr>
        <w:t>截至2024年12月31日，房屋826.00平方米，价值64.50万元。车辆15辆，价值180.29万元，其中：副部（省）级及以上领导用车0辆、主要负责人用车0辆、机要通信用车0辆、应急保障用车0辆、执法执勤用车0辆、特种专业技术用车2辆、离退休干部服务用车0辆、其他用车13辆，其他用车主要是：执法巡查车辆。单价100万元（含）以上设备（不含车辆）0台（套）。</w:t>
      </w:r>
    </w:p>
    <w:p w14:paraId="44DA43B6">
      <w:pPr>
        <w:spacing w:line="640" w:lineRule="exact"/>
        <w:ind w:firstLine="640"/>
        <w:jc w:val="both"/>
        <w:outlineLvl w:val="2"/>
      </w:pPr>
      <w:r>
        <w:rPr>
          <w:rFonts w:ascii="黑体" w:hAnsi="黑体" w:eastAsia="黑体"/>
          <w:sz w:val="32"/>
        </w:rPr>
        <w:t>十一、预算绩效的情况说明</w:t>
      </w:r>
    </w:p>
    <w:p w14:paraId="79C95985">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w:t>
      </w:r>
      <w:r>
        <w:rPr>
          <w:rFonts w:hint="eastAsia" w:ascii="仿宋_GB2312" w:hAnsi="仿宋_GB2312" w:eastAsia="仿宋_GB2312"/>
          <w:b w:val="0"/>
          <w:sz w:val="32"/>
        </w:rPr>
        <w:t>792.96</w:t>
      </w:r>
      <w:r>
        <w:rPr>
          <w:rFonts w:ascii="仿宋_GB2312" w:hAnsi="仿宋_GB2312" w:eastAsia="仿宋_GB2312"/>
          <w:b w:val="0"/>
          <w:sz w:val="32"/>
        </w:rPr>
        <w:t>万元，实际执行总额</w:t>
      </w:r>
      <w:r>
        <w:rPr>
          <w:rFonts w:hint="eastAsia" w:ascii="仿宋_GB2312" w:hAnsi="仿宋_GB2312" w:eastAsia="仿宋_GB2312"/>
          <w:b w:val="0"/>
          <w:sz w:val="32"/>
        </w:rPr>
        <w:t>791.73</w:t>
      </w:r>
      <w:r>
        <w:rPr>
          <w:rFonts w:ascii="仿宋_GB2312" w:hAnsi="仿宋_GB2312" w:eastAsia="仿宋_GB2312"/>
          <w:b w:val="0"/>
          <w:sz w:val="32"/>
        </w:rPr>
        <w:t>万元；预算绩效评价项目</w:t>
      </w:r>
      <w:r>
        <w:rPr>
          <w:rFonts w:hint="eastAsia" w:ascii="仿宋_GB2312" w:hAnsi="仿宋_GB2312" w:eastAsia="仿宋_GB2312"/>
          <w:b w:val="0"/>
          <w:sz w:val="32"/>
          <w:lang w:val="en-US" w:eastAsia="zh-CN"/>
        </w:rPr>
        <w:t>2</w:t>
      </w:r>
      <w:r>
        <w:rPr>
          <w:rFonts w:ascii="仿宋_GB2312" w:hAnsi="仿宋_GB2312" w:eastAsia="仿宋_GB2312"/>
          <w:b w:val="0"/>
          <w:sz w:val="32"/>
        </w:rPr>
        <w:t>个，全年预算数84.79万元，全年执行数84.79万元。预算绩效管理取得的成效：一是项目按照预期指标值，达标率高，项目实施成效与利用率较高；二是对项目实施前中后期管控及时科学分析，有效</w:t>
      </w:r>
      <w:r>
        <w:rPr>
          <w:rFonts w:hint="eastAsia" w:ascii="仿宋_GB2312" w:hAnsi="仿宋_GB2312" w:eastAsia="仿宋_GB2312"/>
          <w:b w:val="0"/>
          <w:sz w:val="32"/>
          <w:lang w:eastAsia="zh-CN"/>
        </w:rPr>
        <w:t>地</w:t>
      </w:r>
      <w:r>
        <w:rPr>
          <w:rFonts w:ascii="仿宋_GB2312" w:hAnsi="仿宋_GB2312" w:eastAsia="仿宋_GB2312"/>
          <w:b w:val="0"/>
          <w:sz w:val="32"/>
        </w:rPr>
        <w:t>把握实施节点，项目建成后综合评价好。发现的问题及原因：一是部分时间因轮岗、调动</w:t>
      </w:r>
      <w:r>
        <w:rPr>
          <w:rFonts w:hint="eastAsia" w:ascii="仿宋_GB2312" w:hAnsi="仿宋_GB2312" w:eastAsia="仿宋_GB2312"/>
          <w:b w:val="0"/>
          <w:sz w:val="32"/>
          <w:lang w:eastAsia="zh-CN"/>
        </w:rPr>
        <w:t>等</w:t>
      </w:r>
      <w:r>
        <w:rPr>
          <w:rFonts w:ascii="仿宋_GB2312" w:hAnsi="仿宋_GB2312" w:eastAsia="仿宋_GB2312"/>
          <w:b w:val="0"/>
          <w:sz w:val="32"/>
        </w:rPr>
        <w:t>因素使</w:t>
      </w:r>
      <w:r>
        <w:rPr>
          <w:rFonts w:hint="eastAsia" w:ascii="仿宋_GB2312" w:hAnsi="仿宋_GB2312" w:eastAsia="仿宋_GB2312"/>
          <w:b w:val="0"/>
          <w:sz w:val="32"/>
          <w:lang w:eastAsia="zh-CN"/>
        </w:rPr>
        <w:t>本单位</w:t>
      </w:r>
      <w:r>
        <w:rPr>
          <w:rFonts w:ascii="仿宋_GB2312" w:hAnsi="仿宋_GB2312" w:eastAsia="仿宋_GB2312"/>
          <w:b w:val="0"/>
          <w:sz w:val="32"/>
        </w:rPr>
        <w:t>绩效工作人员流动频繁，造成了工作衔接不到位的情况；二是对项目绩效的认识还不够深入，相关知识了解还不够、掌握还不够多，把绩效管理简单等同于工作目标、工作考核和业务管理；项目资金管理水平有待进一步提高，财务审核还需进一步加强。下一步改进措施：一是加强新行政单位会计制度和新预算法学习培训、规范账务处理，加强新《中华人民共和国预算法</w:t>
      </w:r>
      <w:r>
        <w:rPr>
          <w:rFonts w:hint="eastAsia" w:ascii="仿宋_GB2312" w:hAnsi="仿宋_GB2312" w:eastAsia="仿宋_GB2312"/>
          <w:b w:val="0"/>
          <w:sz w:val="32"/>
          <w:lang w:eastAsia="zh-CN"/>
        </w:rPr>
        <w:t>》《</w:t>
      </w:r>
      <w:r>
        <w:rPr>
          <w:rFonts w:ascii="仿宋_GB2312" w:hAnsi="仿宋_GB2312" w:eastAsia="仿宋_GB2312"/>
          <w:b w:val="0"/>
          <w:sz w:val="32"/>
        </w:rPr>
        <w:t>行政单位会计制度</w:t>
      </w:r>
      <w:r>
        <w:rPr>
          <w:rFonts w:hint="eastAsia" w:ascii="仿宋_GB2312" w:hAnsi="仿宋_GB2312" w:eastAsia="仿宋_GB2312"/>
          <w:b w:val="0"/>
          <w:sz w:val="32"/>
          <w:lang w:eastAsia="zh-CN"/>
        </w:rPr>
        <w:t>》《中华人民共和国会计法》《</w:t>
      </w:r>
      <w:r>
        <w:rPr>
          <w:rFonts w:ascii="仿宋_GB2312" w:hAnsi="仿宋_GB2312" w:eastAsia="仿宋_GB2312"/>
          <w:b w:val="0"/>
          <w:sz w:val="32"/>
        </w:rPr>
        <w:t>行政单位财务规则》等学习培训,规范部门预算收支核算。二是加强学习。进一步明确如何参照考核体系，科学合理设定绩效目标，充分发挥预算绩效管理工作效用。</w:t>
      </w:r>
    </w:p>
    <w:p w14:paraId="682E6CD9">
      <w:r>
        <w:br w:type="page"/>
      </w:r>
    </w:p>
    <w:p w14:paraId="59428525">
      <w:pPr>
        <w:spacing w:line="640" w:lineRule="exact"/>
        <w:ind w:firstLine="640"/>
        <w:jc w:val="both"/>
        <w:outlineLvl w:val="2"/>
      </w:pPr>
      <w:r>
        <w:rPr>
          <w:rFonts w:ascii="黑体" w:hAnsi="黑体" w:eastAsia="黑体"/>
          <w:sz w:val="32"/>
        </w:rPr>
        <w:t>十二、其他需说明的事项</w:t>
      </w:r>
    </w:p>
    <w:p w14:paraId="6B2048D4">
      <w:pPr>
        <w:spacing w:line="580" w:lineRule="exact"/>
        <w:ind w:firstLine="640"/>
        <w:jc w:val="both"/>
        <w:rPr>
          <w:rFonts w:ascii="仿宋_GB2312" w:hAnsi="仿宋_GB2312" w:eastAsia="仿宋_GB2312"/>
          <w:b w:val="0"/>
          <w:sz w:val="32"/>
        </w:rPr>
      </w:pPr>
      <w:r>
        <w:rPr>
          <w:rFonts w:ascii="仿宋_GB2312" w:hAnsi="仿宋_GB2312" w:eastAsia="仿宋_GB2312"/>
          <w:b w:val="0"/>
          <w:sz w:val="32"/>
        </w:rPr>
        <w:t>本年度本单位整体绩效自评表不予公开。</w:t>
      </w:r>
    </w:p>
    <w:p w14:paraId="36B26261">
      <w:pPr>
        <w:spacing w:line="580" w:lineRule="exact"/>
        <w:ind w:firstLine="640"/>
        <w:jc w:val="both"/>
      </w:pPr>
      <w:bookmarkStart w:id="0" w:name="_GoBack"/>
      <w:bookmarkEnd w:id="0"/>
      <w:r>
        <w:rPr>
          <w:rFonts w:ascii="仿宋_GB2312" w:hAnsi="仿宋_GB2312" w:eastAsia="仿宋_GB2312"/>
          <w:b w:val="0"/>
          <w:sz w:val="32"/>
        </w:rPr>
        <w:t>本年本单位SM项目2个，全年预算数84.79万元，全年执行数84.79万元。</w:t>
      </w:r>
    </w:p>
    <w:p w14:paraId="3263445F">
      <w:r>
        <w:br w:type="page"/>
      </w:r>
    </w:p>
    <w:p w14:paraId="187050BA">
      <w:pPr>
        <w:spacing w:line="240" w:lineRule="auto"/>
        <w:jc w:val="center"/>
        <w:outlineLvl w:val="1"/>
      </w:pPr>
      <w:r>
        <w:rPr>
          <w:rFonts w:ascii="黑体" w:hAnsi="黑体" w:eastAsia="黑体"/>
          <w:sz w:val="32"/>
        </w:rPr>
        <w:t>第三部分 专业名词解释</w:t>
      </w:r>
    </w:p>
    <w:p w14:paraId="7FBEE097">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1C6C9990">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8F57153">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3D916809">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E8023C0">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5C93B356">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4AB116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73557D8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37D364FD">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CB0AFEE">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0F07E0F8">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3CBF9CFB">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67B038A">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A51FA4E">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4AA6C3F8">
      <w:r>
        <w:br w:type="page"/>
      </w:r>
    </w:p>
    <w:p w14:paraId="72103F17">
      <w:pPr>
        <w:spacing w:line="240" w:lineRule="auto"/>
        <w:jc w:val="center"/>
        <w:outlineLvl w:val="1"/>
      </w:pPr>
      <w:r>
        <w:rPr>
          <w:rFonts w:ascii="黑体" w:hAnsi="黑体" w:eastAsia="黑体"/>
          <w:sz w:val="32"/>
        </w:rPr>
        <w:t>第四部分 部门决算报表（见附表）</w:t>
      </w:r>
    </w:p>
    <w:p w14:paraId="26F97622">
      <w:pPr>
        <w:spacing w:line="240" w:lineRule="auto"/>
        <w:ind w:firstLine="640"/>
        <w:jc w:val="both"/>
      </w:pPr>
      <w:r>
        <w:rPr>
          <w:rFonts w:ascii="仿宋_GB2312" w:hAnsi="仿宋_GB2312" w:eastAsia="仿宋_GB2312"/>
          <w:b w:val="0"/>
          <w:sz w:val="32"/>
        </w:rPr>
        <w:t>一、《收入支出决算总表》</w:t>
      </w:r>
    </w:p>
    <w:p w14:paraId="03FE8136">
      <w:pPr>
        <w:spacing w:line="240" w:lineRule="auto"/>
        <w:ind w:firstLine="640"/>
        <w:jc w:val="both"/>
      </w:pPr>
      <w:r>
        <w:rPr>
          <w:rFonts w:ascii="仿宋_GB2312" w:hAnsi="仿宋_GB2312" w:eastAsia="仿宋_GB2312"/>
          <w:b w:val="0"/>
          <w:sz w:val="32"/>
        </w:rPr>
        <w:t>二、《收入决算表》</w:t>
      </w:r>
    </w:p>
    <w:p w14:paraId="39A994AC">
      <w:pPr>
        <w:spacing w:line="240" w:lineRule="auto"/>
        <w:ind w:firstLine="640"/>
        <w:jc w:val="both"/>
      </w:pPr>
      <w:r>
        <w:rPr>
          <w:rFonts w:ascii="仿宋_GB2312" w:hAnsi="仿宋_GB2312" w:eastAsia="仿宋_GB2312"/>
          <w:b w:val="0"/>
          <w:sz w:val="32"/>
        </w:rPr>
        <w:t>三、《支出决算表》</w:t>
      </w:r>
    </w:p>
    <w:p w14:paraId="1BF21F5E">
      <w:pPr>
        <w:spacing w:line="240" w:lineRule="auto"/>
        <w:ind w:firstLine="640"/>
        <w:jc w:val="both"/>
      </w:pPr>
      <w:r>
        <w:rPr>
          <w:rFonts w:ascii="仿宋_GB2312" w:hAnsi="仿宋_GB2312" w:eastAsia="仿宋_GB2312"/>
          <w:b w:val="0"/>
          <w:sz w:val="32"/>
        </w:rPr>
        <w:t>四、《财政拨款收入支出决算总表》</w:t>
      </w:r>
    </w:p>
    <w:p w14:paraId="58CBB1A9">
      <w:pPr>
        <w:spacing w:line="240" w:lineRule="auto"/>
        <w:ind w:firstLine="640"/>
        <w:jc w:val="both"/>
      </w:pPr>
      <w:r>
        <w:rPr>
          <w:rFonts w:ascii="仿宋_GB2312" w:hAnsi="仿宋_GB2312" w:eastAsia="仿宋_GB2312"/>
          <w:b w:val="0"/>
          <w:sz w:val="32"/>
        </w:rPr>
        <w:t>五、《一般公共预算财政拨款支出决算表》</w:t>
      </w:r>
    </w:p>
    <w:p w14:paraId="31C6E929">
      <w:pPr>
        <w:spacing w:line="240" w:lineRule="auto"/>
        <w:ind w:firstLine="640"/>
        <w:jc w:val="both"/>
      </w:pPr>
      <w:r>
        <w:rPr>
          <w:rFonts w:ascii="仿宋_GB2312" w:hAnsi="仿宋_GB2312" w:eastAsia="仿宋_GB2312"/>
          <w:b w:val="0"/>
          <w:sz w:val="32"/>
        </w:rPr>
        <w:t>六、《一般公共预算财政拨款基本支出决算表》</w:t>
      </w:r>
    </w:p>
    <w:p w14:paraId="61642B7D">
      <w:pPr>
        <w:spacing w:line="240" w:lineRule="auto"/>
        <w:ind w:firstLine="640"/>
        <w:jc w:val="both"/>
      </w:pPr>
      <w:r>
        <w:rPr>
          <w:rFonts w:ascii="仿宋_GB2312" w:hAnsi="仿宋_GB2312" w:eastAsia="仿宋_GB2312"/>
          <w:b w:val="0"/>
          <w:sz w:val="32"/>
        </w:rPr>
        <w:t>七、《政府性基金预算财政拨款收入支出决算表》</w:t>
      </w:r>
    </w:p>
    <w:p w14:paraId="399D9C66">
      <w:pPr>
        <w:spacing w:line="240" w:lineRule="auto"/>
        <w:ind w:firstLine="640"/>
        <w:jc w:val="both"/>
      </w:pPr>
      <w:r>
        <w:rPr>
          <w:rFonts w:ascii="仿宋_GB2312" w:hAnsi="仿宋_GB2312" w:eastAsia="仿宋_GB2312"/>
          <w:b w:val="0"/>
          <w:sz w:val="32"/>
        </w:rPr>
        <w:t>八、《国有资本经营预算财政拨款收入支出决算表》</w:t>
      </w:r>
    </w:p>
    <w:p w14:paraId="5665607E">
      <w:pPr>
        <w:spacing w:line="240" w:lineRule="auto"/>
        <w:ind w:firstLine="640"/>
        <w:jc w:val="both"/>
      </w:pPr>
      <w:r>
        <w:rPr>
          <w:rFonts w:ascii="仿宋_GB2312" w:hAnsi="仿宋_GB2312" w:eastAsia="仿宋_GB2312"/>
          <w:b w:val="0"/>
          <w:sz w:val="32"/>
        </w:rPr>
        <w:t>九、《财政拨款“三公”经费支出决算表》</w:t>
      </w:r>
    </w:p>
    <w:p w14:paraId="5E0FE0D1">
      <w:pPr>
        <w:spacing w:line="240" w:lineRule="auto"/>
        <w:ind w:firstLine="640"/>
        <w:jc w:val="both"/>
      </w:pPr>
    </w:p>
    <w:p w14:paraId="260F2E79">
      <w:pPr>
        <w:spacing w:line="240" w:lineRule="auto"/>
        <w:ind w:firstLine="640"/>
        <w:jc w:val="both"/>
      </w:pPr>
    </w:p>
    <w:p w14:paraId="5FD3E7F6">
      <w:pPr>
        <w:spacing w:line="240" w:lineRule="auto"/>
        <w:ind w:firstLine="640"/>
        <w:jc w:val="both"/>
      </w:pPr>
    </w:p>
    <w:p w14:paraId="61282B62">
      <w:pPr>
        <w:spacing w:line="240" w:lineRule="auto"/>
        <w:ind w:firstLine="640"/>
        <w:jc w:val="both"/>
      </w:pPr>
    </w:p>
    <w:p w14:paraId="6599F34D">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86301D43-C7D5-42D9-9227-948256DEBCC7}"/>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15B9ECBF-E717-427F-9455-6C7B28F1E51A}"/>
  </w:font>
  <w:font w:name="仿宋_GB2312">
    <w:altName w:val="仿宋"/>
    <w:panose1 w:val="02010609030101010101"/>
    <w:charset w:val="86"/>
    <w:family w:val="modern"/>
    <w:pitch w:val="default"/>
    <w:sig w:usb0="00000000" w:usb1="00000000" w:usb2="00000000" w:usb3="00000000" w:csb0="00040000" w:csb1="00000000"/>
    <w:embedRegular r:id="rId3" w:fontKey="{33321FF1-097B-4045-A289-C3F0C1814ADD}"/>
  </w:font>
  <w:font w:name="楷体_GB2312">
    <w:altName w:val="楷体"/>
    <w:panose1 w:val="00000000000000000000"/>
    <w:charset w:val="00"/>
    <w:family w:val="auto"/>
    <w:pitch w:val="default"/>
    <w:sig w:usb0="00000000" w:usb1="00000000" w:usb2="00000000" w:usb3="00000000" w:csb0="00000000" w:csb1="00000000"/>
    <w:embedRegular r:id="rId4" w:fontKey="{C85A6C1B-0447-4DDD-ACDB-55DAF95C57FA}"/>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9B90AFC"/>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0C22E7"/>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4BD10DE"/>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2920D29"/>
    <w:rsid w:val="73423603"/>
    <w:rsid w:val="737A5923"/>
    <w:rsid w:val="73DE4104"/>
    <w:rsid w:val="73FB6630"/>
    <w:rsid w:val="74CE04EC"/>
    <w:rsid w:val="74E76DCD"/>
    <w:rsid w:val="76660D7C"/>
    <w:rsid w:val="77ED6F44"/>
    <w:rsid w:val="780B56E4"/>
    <w:rsid w:val="795A0A34"/>
    <w:rsid w:val="7A0D3BC7"/>
    <w:rsid w:val="7A3A3CDB"/>
    <w:rsid w:val="7E777CAD"/>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19</Pages>
  <Words>6590</Words>
  <Characters>7396</Characters>
  <Lines>0</Lines>
  <Paragraphs>0</Paragraphs>
  <TotalTime>8</TotalTime>
  <ScaleCrop>false</ScaleCrop>
  <LinksUpToDate>false</LinksUpToDate>
  <CharactersWithSpaces>7406</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来财&amp;十个晴天</cp:lastModifiedBy>
  <cp:lastPrinted>2024-07-22T11:58:00Z</cp:lastPrinted>
  <dcterms:modified xsi:type="dcterms:W3CDTF">2025-09-16T08:22:45Z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eyJoZGlkIjoiZjZjY2YzNDY3YWM4YThjNjdkZTk2MDAwYjE2OGQzNDQiLCJ1c2VySWQiOiIzNzI2MDMzNTYifQ==</vt:lpwstr>
  </property>
</Properties>
</file>