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AADB43">
      <w:r>
        <w:br w:type="page"/>
      </w:r>
    </w:p>
    <w:p w14:paraId="3D9AB9E2">
      <w:pPr>
        <w:spacing w:line="640" w:lineRule="exact"/>
        <w:jc w:val="center"/>
        <w:outlineLvl w:val="1"/>
      </w:pPr>
      <w:r>
        <w:rPr>
          <w:rFonts w:ascii="黑体" w:hAnsi="黑体" w:eastAsia="黑体"/>
          <w:sz w:val="32"/>
        </w:rPr>
        <w:t>第一部分 单位概况</w:t>
      </w:r>
    </w:p>
    <w:p w14:paraId="7355612D">
      <w:pPr>
        <w:spacing w:line="640" w:lineRule="exact"/>
        <w:ind w:firstLine="640"/>
        <w:jc w:val="both"/>
        <w:outlineLvl w:val="2"/>
      </w:pPr>
      <w:r>
        <w:rPr>
          <w:rFonts w:ascii="黑体" w:hAnsi="黑体" w:eastAsia="黑体"/>
          <w:sz w:val="32"/>
        </w:rPr>
        <w:t>一、主要职能</w:t>
      </w:r>
    </w:p>
    <w:p w14:paraId="1A989A26">
      <w:pPr>
        <w:spacing w:line="580" w:lineRule="exact"/>
        <w:ind w:firstLine="640"/>
        <w:jc w:val="both"/>
      </w:pPr>
      <w:r>
        <w:rPr>
          <w:rFonts w:ascii="仿宋_GB2312" w:hAnsi="仿宋_GB2312" w:eastAsia="仿宋_GB2312"/>
          <w:sz w:val="32"/>
        </w:rPr>
        <w:t>（一）贯彻执行国家、自治区财政、税收、行政事业单位国有资产管理法规、制度、方针、政策</w:t>
      </w:r>
      <w:r>
        <w:rPr>
          <w:rFonts w:hint="eastAsia" w:ascii="仿宋_GB2312" w:hAnsi="仿宋_GB2312" w:eastAsia="仿宋_GB2312"/>
          <w:sz w:val="32"/>
          <w:lang w:eastAsia="zh-CN"/>
        </w:rPr>
        <w:t>；</w:t>
      </w:r>
      <w:r>
        <w:rPr>
          <w:rFonts w:ascii="仿宋_GB2312" w:hAnsi="仿宋_GB2312" w:eastAsia="仿宋_GB2312"/>
          <w:sz w:val="32"/>
        </w:rPr>
        <w:t>参与全县有关税收管理办法和制度的拟订工作。</w:t>
      </w:r>
    </w:p>
    <w:p w14:paraId="62CBEBAC">
      <w:pPr>
        <w:spacing w:line="580" w:lineRule="exact"/>
        <w:ind w:firstLine="640"/>
        <w:jc w:val="both"/>
      </w:pPr>
      <w:r>
        <w:rPr>
          <w:rFonts w:ascii="仿宋_GB2312" w:hAnsi="仿宋_GB2312" w:eastAsia="仿宋_GB2312"/>
          <w:sz w:val="32"/>
        </w:rPr>
        <w:t>（二）根据轮台县国民经济和社会发展战略,拟定全县财政发展战略、中长期财政规划和改革方案并组织实施，提出运用财税政策实施宏观经济调控和综合平衡社会财力的建议</w:t>
      </w:r>
      <w:r>
        <w:rPr>
          <w:rFonts w:hint="eastAsia" w:ascii="仿宋_GB2312" w:hAnsi="仿宋_GB2312" w:eastAsia="仿宋_GB2312"/>
          <w:sz w:val="32"/>
          <w:lang w:eastAsia="zh-CN"/>
        </w:rPr>
        <w:t>；</w:t>
      </w:r>
      <w:r>
        <w:rPr>
          <w:rFonts w:ascii="仿宋_GB2312" w:hAnsi="仿宋_GB2312" w:eastAsia="仿宋_GB2312"/>
          <w:sz w:val="32"/>
        </w:rPr>
        <w:t>对全县社会财力进行综合平衡。</w:t>
      </w:r>
    </w:p>
    <w:p w14:paraId="01DBA253">
      <w:pPr>
        <w:spacing w:line="580" w:lineRule="exact"/>
        <w:ind w:firstLine="640"/>
        <w:jc w:val="both"/>
      </w:pPr>
      <w:r>
        <w:rPr>
          <w:rFonts w:ascii="仿宋_GB2312" w:hAnsi="仿宋_GB2312" w:eastAsia="仿宋_GB2312"/>
          <w:sz w:val="32"/>
        </w:rPr>
        <w:t>（三）承担全县各项财政收支管理责任，负责制定县本级预决算草案，制定全县预决算草案并组织执行；审查、编制、批复部门预算</w:t>
      </w:r>
      <w:r>
        <w:rPr>
          <w:rFonts w:hint="eastAsia" w:ascii="仿宋_GB2312" w:hAnsi="仿宋_GB2312" w:eastAsia="仿宋_GB2312"/>
          <w:sz w:val="32"/>
          <w:lang w:eastAsia="zh-CN"/>
        </w:rPr>
        <w:t>；</w:t>
      </w:r>
      <w:r>
        <w:rPr>
          <w:rFonts w:ascii="仿宋_GB2312" w:hAnsi="仿宋_GB2312" w:eastAsia="仿宋_GB2312"/>
          <w:sz w:val="32"/>
        </w:rPr>
        <w:t>受县人民政府委托向县人民代表大会报告县本级和全县预算及其执行情况,向县人大常委会报告预算和决算变动事项；负责财政决算工作。</w:t>
      </w:r>
    </w:p>
    <w:p w14:paraId="10531E7C">
      <w:pPr>
        <w:spacing w:line="580" w:lineRule="exact"/>
        <w:ind w:firstLine="640"/>
        <w:jc w:val="both"/>
      </w:pPr>
      <w:r>
        <w:rPr>
          <w:rFonts w:ascii="仿宋_GB2312" w:hAnsi="仿宋_GB2312" w:eastAsia="仿宋_GB2312"/>
          <w:sz w:val="32"/>
        </w:rPr>
        <w:t>（四）根据预算安排，拟订财政税收计划，并组织实施和监督管理</w:t>
      </w:r>
      <w:r>
        <w:rPr>
          <w:rFonts w:hint="eastAsia" w:ascii="仿宋_GB2312" w:hAnsi="仿宋_GB2312" w:eastAsia="仿宋_GB2312"/>
          <w:sz w:val="32"/>
          <w:lang w:eastAsia="zh-CN"/>
        </w:rPr>
        <w:t>；</w:t>
      </w:r>
      <w:r>
        <w:rPr>
          <w:rFonts w:ascii="仿宋_GB2312" w:hAnsi="仿宋_GB2312" w:eastAsia="仿宋_GB2312"/>
          <w:sz w:val="32"/>
        </w:rPr>
        <w:t>负责全县非税收入和政府性基金管理</w:t>
      </w:r>
      <w:r>
        <w:rPr>
          <w:rFonts w:hint="eastAsia" w:ascii="仿宋_GB2312" w:hAnsi="仿宋_GB2312" w:eastAsia="仿宋_GB2312"/>
          <w:sz w:val="32"/>
          <w:lang w:eastAsia="zh-CN"/>
        </w:rPr>
        <w:t>；</w:t>
      </w:r>
      <w:r>
        <w:rPr>
          <w:rFonts w:ascii="仿宋_GB2312" w:hAnsi="仿宋_GB2312" w:eastAsia="仿宋_GB2312"/>
          <w:sz w:val="32"/>
        </w:rPr>
        <w:t>监督财政票据；监督管理彩票发行工作，按规定管理彩票资金。</w:t>
      </w:r>
    </w:p>
    <w:p w14:paraId="52B064E7">
      <w:pPr>
        <w:spacing w:line="580" w:lineRule="exact"/>
        <w:ind w:firstLine="640"/>
        <w:jc w:val="both"/>
      </w:pPr>
      <w:r>
        <w:rPr>
          <w:rFonts w:ascii="仿宋_GB2312" w:hAnsi="仿宋_GB2312" w:eastAsia="仿宋_GB2312"/>
          <w:sz w:val="32"/>
        </w:rPr>
        <w:t>（五）组织制定县国库管理制度、国库集中收付制度，按规定开展国库现金管理工作，监督管理地方国库资金缴拨使用；负责制定县人民政府采购制度、办法并监督管理；管理县财政统一发放工资工作。</w:t>
      </w:r>
    </w:p>
    <w:p w14:paraId="7CFAE1B0">
      <w:pPr>
        <w:spacing w:line="580" w:lineRule="exact"/>
        <w:ind w:firstLine="640"/>
        <w:jc w:val="both"/>
      </w:pPr>
      <w:r>
        <w:rPr>
          <w:rFonts w:ascii="仿宋_GB2312" w:hAnsi="仿宋_GB2312" w:eastAsia="仿宋_GB2312"/>
          <w:sz w:val="32"/>
        </w:rPr>
        <w:t>（六）负责制定县本级行政事业单位，国有资产管理规章制度，制定和执行需要全县统一规定的开支标准和支出措施。</w:t>
      </w:r>
    </w:p>
    <w:p w14:paraId="6461A20E">
      <w:pPr>
        <w:spacing w:line="580" w:lineRule="exact"/>
        <w:ind w:firstLine="640"/>
        <w:jc w:val="both"/>
      </w:pPr>
      <w:r>
        <w:rPr>
          <w:rFonts w:ascii="仿宋_GB2312" w:hAnsi="仿宋_GB2312" w:eastAsia="仿宋_GB2312"/>
          <w:sz w:val="32"/>
        </w:rPr>
        <w:t>（七）拟订和执行全县地方政府性债务管理制度和办法，按规定开展地方政府债券管理工作；管理国债资金，防范财政风险；负责管理县政府外债，组织实施外国政府、国际金融组织贷款项目和审核、申报、转贷、签订贷款协定以及资金管理工作；承担全县地方金融企业国有资产和财务的监管工作。</w:t>
      </w:r>
    </w:p>
    <w:p w14:paraId="342ABE2A">
      <w:pPr>
        <w:spacing w:line="580" w:lineRule="exact"/>
        <w:ind w:firstLine="640"/>
        <w:jc w:val="both"/>
      </w:pPr>
      <w:r>
        <w:rPr>
          <w:rFonts w:ascii="仿宋_GB2312" w:hAnsi="仿宋_GB2312" w:eastAsia="仿宋_GB2312"/>
          <w:sz w:val="32"/>
        </w:rPr>
        <w:t>（八）参与拟订全县建设投资的有关制度、办法，制定全县基本建设财务管理制度，负责中央和自治区政府性投资项目财政资金的管理工作；承担有关政策性补贴和专项储备资</w:t>
      </w:r>
      <w:r>
        <w:rPr>
          <w:rFonts w:hint="eastAsia" w:ascii="仿宋_GB2312" w:hAnsi="仿宋_GB2312" w:eastAsia="仿宋_GB2312"/>
          <w:sz w:val="32"/>
          <w:lang w:eastAsia="zh-CN"/>
        </w:rPr>
        <w:t>金的</w:t>
      </w:r>
      <w:r>
        <w:rPr>
          <w:rFonts w:ascii="仿宋_GB2312" w:hAnsi="仿宋_GB2312" w:eastAsia="仿宋_GB2312"/>
          <w:sz w:val="32"/>
        </w:rPr>
        <w:t>财政管理工作；管</w:t>
      </w:r>
      <w:r>
        <w:rPr>
          <w:rFonts w:hint="eastAsia" w:ascii="仿宋_GB2312" w:hAnsi="仿宋_GB2312" w:eastAsia="仿宋_GB2312"/>
          <w:sz w:val="32"/>
          <w:lang w:eastAsia="zh-CN"/>
        </w:rPr>
        <w:t>理全</w:t>
      </w:r>
      <w:r>
        <w:rPr>
          <w:rFonts w:ascii="仿宋_GB2312" w:hAnsi="仿宋_GB2312" w:eastAsia="仿宋_GB2312"/>
          <w:sz w:val="32"/>
        </w:rPr>
        <w:t>县农业综合开发项目、管理各项财政扶贫资金。</w:t>
      </w:r>
    </w:p>
    <w:p w14:paraId="00868234">
      <w:pPr>
        <w:spacing w:line="580" w:lineRule="exact"/>
        <w:ind w:firstLine="640"/>
        <w:jc w:val="both"/>
      </w:pPr>
      <w:r>
        <w:rPr>
          <w:rFonts w:ascii="仿宋_GB2312" w:hAnsi="仿宋_GB2312" w:eastAsia="仿宋_GB2312"/>
          <w:sz w:val="32"/>
        </w:rPr>
        <w:t>（九）会同有关部门管理中央、自治区、县财政社会保障、就业及医疗卫生资金管理工作，会同有关部门研究制定社会保障资金（基金）政策和有关的财务管理制度，编制全县社会保障预决算草案。</w:t>
      </w:r>
      <w:bookmarkStart w:id="0" w:name="_GoBack"/>
      <w:bookmarkEnd w:id="0"/>
    </w:p>
    <w:p w14:paraId="3FD7F550">
      <w:pPr>
        <w:spacing w:line="580" w:lineRule="exact"/>
        <w:ind w:firstLine="640"/>
        <w:jc w:val="both"/>
      </w:pPr>
      <w:r>
        <w:rPr>
          <w:rFonts w:ascii="仿宋_GB2312" w:hAnsi="仿宋_GB2312" w:eastAsia="仿宋_GB2312"/>
          <w:sz w:val="32"/>
        </w:rPr>
        <w:t>（十）负责审核和汇总编制县国有资本经营预决算草案，制定县国有资本经营预算的制度和办法，收取县本级企业国有资本收益。</w:t>
      </w:r>
    </w:p>
    <w:p w14:paraId="6B9DC26C">
      <w:pPr>
        <w:spacing w:line="580" w:lineRule="exact"/>
        <w:ind w:firstLine="640"/>
        <w:jc w:val="both"/>
      </w:pPr>
      <w:r>
        <w:rPr>
          <w:rFonts w:ascii="仿宋_GB2312" w:hAnsi="仿宋_GB2312" w:eastAsia="仿宋_GB2312"/>
          <w:sz w:val="32"/>
        </w:rPr>
        <w:t>（十一）管理和指导全县会计工作，规范会计行为；组织执行国家统一的会计制度，制定补充规定并贯彻执行；组织和管理全县会计人员的业务培训和会计人员从业资格证书。</w:t>
      </w:r>
    </w:p>
    <w:p w14:paraId="6FBBEF32">
      <w:pPr>
        <w:spacing w:line="580" w:lineRule="exact"/>
        <w:ind w:firstLine="640"/>
        <w:jc w:val="both"/>
      </w:pPr>
      <w:r>
        <w:rPr>
          <w:rFonts w:ascii="仿宋_GB2312" w:hAnsi="仿宋_GB2312" w:eastAsia="仿宋_GB2312"/>
          <w:sz w:val="32"/>
        </w:rPr>
        <w:t>（十二）监督检查财税法规、政策的执行情况，反映财政收支管理中的重大问题，提出加强财政管理的政策建议；负责县财政系统信息化建设（金财工程）规划，并组织实施。</w:t>
      </w:r>
    </w:p>
    <w:p w14:paraId="6821BA55">
      <w:pPr>
        <w:spacing w:line="580" w:lineRule="exact"/>
        <w:ind w:firstLine="640"/>
        <w:jc w:val="both"/>
      </w:pPr>
      <w:r>
        <w:rPr>
          <w:rFonts w:ascii="仿宋_GB2312" w:hAnsi="仿宋_GB2312" w:eastAsia="仿宋_GB2312"/>
          <w:sz w:val="32"/>
        </w:rPr>
        <w:t>（十三）根据县人民政府授权，依照《中华人民共和国公司法》《企业国有资产监督管理暂行条例》等法律和行政法规履行出资人职责，监管轮台县所属企业的国有资产，加强国有资产的管理工作。</w:t>
      </w:r>
    </w:p>
    <w:p w14:paraId="643E4C85">
      <w:pPr>
        <w:spacing w:line="580" w:lineRule="exact"/>
        <w:ind w:firstLine="640"/>
        <w:jc w:val="both"/>
      </w:pPr>
      <w:r>
        <w:rPr>
          <w:rFonts w:ascii="仿宋_GB2312" w:hAnsi="仿宋_GB2312" w:eastAsia="仿宋_GB2312"/>
          <w:sz w:val="32"/>
        </w:rPr>
        <w:t>（十四）按规定管理全县国有资产，组织实施国有企业、集体企业和国有预算单位的股权管理、清产核资、产权交易、资本金权属界定、产权登记、绩效评价、国有资本金营运监测、统计、分析及收益管理。负责企业国有资产基础管理和流失查处；按照有关规定，代表县人民政府向所监管企业派出监事，参与监事会的日常管理工作。</w:t>
      </w:r>
    </w:p>
    <w:p w14:paraId="16E08FDC">
      <w:pPr>
        <w:spacing w:line="580" w:lineRule="exact"/>
        <w:ind w:firstLine="640"/>
        <w:jc w:val="both"/>
      </w:pPr>
      <w:r>
        <w:rPr>
          <w:rFonts w:ascii="仿宋_GB2312" w:hAnsi="仿宋_GB2312" w:eastAsia="仿宋_GB2312"/>
          <w:sz w:val="32"/>
        </w:rPr>
        <w:t>（十五）承办县人民政府交办的其他事项。</w:t>
      </w:r>
    </w:p>
    <w:p w14:paraId="0A889F2D">
      <w:pPr>
        <w:spacing w:line="640" w:lineRule="exact"/>
        <w:ind w:firstLine="640"/>
        <w:jc w:val="both"/>
        <w:outlineLvl w:val="2"/>
      </w:pPr>
      <w:r>
        <w:rPr>
          <w:rFonts w:ascii="黑体" w:hAnsi="黑体" w:eastAsia="黑体"/>
          <w:sz w:val="32"/>
        </w:rPr>
        <w:t>二、机构设置及人员情况</w:t>
      </w:r>
    </w:p>
    <w:p w14:paraId="7B9E13E4">
      <w:pPr>
        <w:spacing w:line="580" w:lineRule="exact"/>
        <w:ind w:firstLine="640"/>
        <w:jc w:val="both"/>
      </w:pPr>
      <w:r>
        <w:rPr>
          <w:rFonts w:ascii="仿宋_GB2312" w:hAnsi="仿宋_GB2312" w:eastAsia="仿宋_GB2312"/>
          <w:sz w:val="32"/>
        </w:rPr>
        <w:t>新疆轮台县财政局2024年度，实有人数71人，其中：在职人员39人，减少2人；离休人员0人，增加0人；退休人员32人,增加1人。</w:t>
      </w:r>
    </w:p>
    <w:p w14:paraId="2390AE67">
      <w:pPr>
        <w:spacing w:line="580" w:lineRule="exact"/>
        <w:ind w:firstLine="640"/>
        <w:jc w:val="both"/>
      </w:pPr>
      <w:r>
        <w:rPr>
          <w:rFonts w:ascii="仿宋_GB2312" w:hAnsi="仿宋_GB2312" w:eastAsia="仿宋_GB2312"/>
          <w:sz w:val="32"/>
        </w:rPr>
        <w:t>新疆轮台县财政局无下属预算单位，下设9个科室，分别是：办公室、预算股、综合股、经建股、社保股、文行股、乡财股、农财股、固资办。</w:t>
      </w:r>
    </w:p>
    <w:p w14:paraId="68F9FEC7">
      <w:r>
        <w:br w:type="page"/>
      </w:r>
    </w:p>
    <w:p w14:paraId="3B3CD165">
      <w:pPr>
        <w:spacing w:line="240" w:lineRule="auto"/>
        <w:jc w:val="center"/>
        <w:outlineLvl w:val="1"/>
      </w:pPr>
      <w:r>
        <w:rPr>
          <w:rFonts w:ascii="黑体" w:hAnsi="黑体" w:eastAsia="黑体"/>
          <w:sz w:val="32"/>
        </w:rPr>
        <w:t>第二部分 部门决算情况说明</w:t>
      </w:r>
    </w:p>
    <w:p w14:paraId="45B683BD">
      <w:pPr>
        <w:spacing w:line="640" w:lineRule="exact"/>
        <w:ind w:firstLine="640"/>
        <w:jc w:val="both"/>
        <w:outlineLvl w:val="2"/>
      </w:pPr>
      <w:r>
        <w:rPr>
          <w:rFonts w:ascii="黑体" w:hAnsi="黑体" w:eastAsia="黑体"/>
          <w:sz w:val="32"/>
        </w:rPr>
        <w:t>一、收入支出决算总体情况说明</w:t>
      </w:r>
    </w:p>
    <w:p w14:paraId="3E64CD63">
      <w:pPr>
        <w:spacing w:line="580" w:lineRule="exact"/>
        <w:ind w:firstLine="640"/>
        <w:jc w:val="both"/>
      </w:pPr>
      <w:r>
        <w:rPr>
          <w:rFonts w:ascii="仿宋_GB2312" w:hAnsi="仿宋_GB2312" w:eastAsia="仿宋_GB2312"/>
          <w:b/>
          <w:sz w:val="32"/>
        </w:rPr>
        <w:t>2024年度收入总计1,274.05万元，</w:t>
      </w:r>
      <w:r>
        <w:rPr>
          <w:rFonts w:ascii="仿宋_GB2312" w:hAnsi="仿宋_GB2312" w:eastAsia="仿宋_GB2312"/>
          <w:b w:val="0"/>
          <w:sz w:val="32"/>
        </w:rPr>
        <w:t>其中：本年收入合计976.04万元，使用非财政拨款结余（含专用结余）0.00万元，年初结转和结余298.01万元。</w:t>
      </w:r>
    </w:p>
    <w:p w14:paraId="1B4DBE4C">
      <w:pPr>
        <w:spacing w:line="580" w:lineRule="exact"/>
        <w:ind w:firstLine="640"/>
        <w:jc w:val="both"/>
      </w:pPr>
      <w:r>
        <w:rPr>
          <w:rFonts w:ascii="仿宋_GB2312" w:hAnsi="仿宋_GB2312" w:eastAsia="仿宋_GB2312"/>
          <w:b/>
          <w:sz w:val="32"/>
        </w:rPr>
        <w:t>2024年度支出总计1,274.05万元，</w:t>
      </w:r>
      <w:r>
        <w:rPr>
          <w:rFonts w:ascii="仿宋_GB2312" w:hAnsi="仿宋_GB2312" w:eastAsia="仿宋_GB2312"/>
          <w:b w:val="0"/>
          <w:sz w:val="32"/>
        </w:rPr>
        <w:t>其中：本年支出合计975.48万元，结余分配0.00万元，年末结转和结余298.57万元。</w:t>
      </w:r>
    </w:p>
    <w:p w14:paraId="35E6720E">
      <w:pPr>
        <w:spacing w:line="580" w:lineRule="exact"/>
        <w:ind w:firstLine="640"/>
        <w:jc w:val="both"/>
      </w:pPr>
      <w:r>
        <w:rPr>
          <w:rFonts w:ascii="仿宋_GB2312" w:hAnsi="仿宋_GB2312" w:eastAsia="仿宋_GB2312"/>
          <w:b w:val="0"/>
          <w:sz w:val="32"/>
        </w:rPr>
        <w:t>收入支出总体与上年相比，减少132.03万元，下降9.39%，主要原因是：本年减少资源资产资金整合服务费，2022年代理记账服务费，导致经费较上年减少。</w:t>
      </w:r>
    </w:p>
    <w:p w14:paraId="157E5A2E">
      <w:pPr>
        <w:spacing w:line="640" w:lineRule="exact"/>
        <w:ind w:firstLine="640"/>
        <w:jc w:val="both"/>
        <w:outlineLvl w:val="2"/>
      </w:pPr>
      <w:r>
        <w:rPr>
          <w:rFonts w:ascii="黑体" w:hAnsi="黑体" w:eastAsia="黑体"/>
          <w:sz w:val="32"/>
        </w:rPr>
        <w:t>二、收入决算情况说明</w:t>
      </w:r>
    </w:p>
    <w:p w14:paraId="1514DEBF">
      <w:pPr>
        <w:spacing w:line="580" w:lineRule="exact"/>
        <w:ind w:firstLine="640"/>
        <w:jc w:val="both"/>
      </w:pPr>
      <w:r>
        <w:rPr>
          <w:rFonts w:ascii="仿宋_GB2312" w:hAnsi="仿宋_GB2312" w:eastAsia="仿宋_GB2312"/>
          <w:b/>
          <w:sz w:val="32"/>
        </w:rPr>
        <w:t>本年收入976.04万元，</w:t>
      </w:r>
      <w:r>
        <w:rPr>
          <w:rFonts w:ascii="仿宋_GB2312" w:hAnsi="仿宋_GB2312" w:eastAsia="仿宋_GB2312"/>
          <w:b w:val="0"/>
          <w:sz w:val="32"/>
        </w:rPr>
        <w:t>其中：财政拨款收入975.48万元，占99.94%；上级补助收入0.00万元，占0.00%；事业收入0.00万元，占0.00%；经营收入0.00万元，占0.00%；附属单位上缴收入0.00万元，占0.00%；其他收入0.57万元，占0.06%。</w:t>
      </w:r>
    </w:p>
    <w:p w14:paraId="77F7C812">
      <w:pPr>
        <w:spacing w:line="640" w:lineRule="exact"/>
        <w:ind w:firstLine="640"/>
        <w:jc w:val="both"/>
        <w:outlineLvl w:val="2"/>
      </w:pPr>
      <w:r>
        <w:rPr>
          <w:rFonts w:ascii="黑体" w:hAnsi="黑体" w:eastAsia="黑体"/>
          <w:sz w:val="32"/>
        </w:rPr>
        <w:t>三、支出决算情况说明</w:t>
      </w:r>
    </w:p>
    <w:p w14:paraId="52757868">
      <w:pPr>
        <w:spacing w:line="580" w:lineRule="exact"/>
        <w:ind w:firstLine="640"/>
        <w:jc w:val="both"/>
      </w:pPr>
      <w:r>
        <w:rPr>
          <w:rFonts w:ascii="仿宋_GB2312" w:hAnsi="仿宋_GB2312" w:eastAsia="仿宋_GB2312"/>
          <w:b/>
          <w:sz w:val="32"/>
        </w:rPr>
        <w:t>本年支出975.48万元，</w:t>
      </w:r>
      <w:r>
        <w:rPr>
          <w:rFonts w:ascii="仿宋_GB2312" w:hAnsi="仿宋_GB2312" w:eastAsia="仿宋_GB2312"/>
          <w:b w:val="0"/>
          <w:sz w:val="32"/>
        </w:rPr>
        <w:t>其中：基本支出975.48万元，占100.00%；项目支出0.00万元，占0.00%；上缴上级支出0.00万元，占0.00%；经营支出0.00万元，占0.00%；对附属单位补助支出0.00万元，占0.00%。</w:t>
      </w:r>
    </w:p>
    <w:p w14:paraId="69C9A9A5">
      <w:pPr>
        <w:spacing w:line="640" w:lineRule="exact"/>
        <w:ind w:firstLine="640"/>
        <w:jc w:val="both"/>
        <w:outlineLvl w:val="2"/>
      </w:pPr>
      <w:r>
        <w:rPr>
          <w:rFonts w:ascii="黑体" w:hAnsi="黑体" w:eastAsia="黑体"/>
          <w:sz w:val="32"/>
        </w:rPr>
        <w:t>四、财政拨款收入支出决算总体情况说明</w:t>
      </w:r>
    </w:p>
    <w:p w14:paraId="54125347">
      <w:pPr>
        <w:spacing w:line="580" w:lineRule="exact"/>
        <w:ind w:firstLine="640"/>
        <w:jc w:val="both"/>
      </w:pPr>
      <w:r>
        <w:rPr>
          <w:rFonts w:ascii="仿宋_GB2312" w:hAnsi="仿宋_GB2312" w:eastAsia="仿宋_GB2312"/>
          <w:b/>
          <w:sz w:val="32"/>
        </w:rPr>
        <w:t>2024年度财政拨款收入总计975.48万元，</w:t>
      </w:r>
      <w:r>
        <w:rPr>
          <w:rFonts w:ascii="仿宋_GB2312" w:hAnsi="仿宋_GB2312" w:eastAsia="仿宋_GB2312"/>
          <w:b w:val="0"/>
          <w:sz w:val="32"/>
        </w:rPr>
        <w:t>其中：年初财政拨款结转和结余0.00万元，本年财政拨款收入975.48万元。</w:t>
      </w:r>
      <w:r>
        <w:rPr>
          <w:rFonts w:ascii="仿宋_GB2312" w:hAnsi="仿宋_GB2312" w:eastAsia="仿宋_GB2312"/>
          <w:b/>
          <w:sz w:val="32"/>
        </w:rPr>
        <w:t>财政拨款支出总计975.48万元，</w:t>
      </w:r>
      <w:r>
        <w:rPr>
          <w:rFonts w:ascii="仿宋_GB2312" w:hAnsi="仿宋_GB2312" w:eastAsia="仿宋_GB2312"/>
          <w:b w:val="0"/>
          <w:sz w:val="32"/>
        </w:rPr>
        <w:t>其中：年末财政拨款结转和结余0.00万元，本年财政拨款支出975.48万元。</w:t>
      </w:r>
    </w:p>
    <w:p w14:paraId="51BEAC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减少131.58万元，下降11.89%，主要原因是：本年减少资源资产资金整合服务费，2022年代理记账服务费，导致经费较上年减少。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年初预算数744.34万元，决算数975.48万元，预决算差异率31.05%，主要原因是：年中追加抚恤金，对塔乡村民安装马桶补贴金预算，导致预决算存在差异。</w:t>
      </w:r>
    </w:p>
    <w:p w14:paraId="76AFE484">
      <w:pPr>
        <w:spacing w:line="640" w:lineRule="exact"/>
        <w:ind w:firstLine="640"/>
        <w:jc w:val="both"/>
        <w:outlineLvl w:val="2"/>
      </w:pPr>
      <w:r>
        <w:rPr>
          <w:rFonts w:ascii="黑体" w:hAnsi="黑体" w:eastAsia="黑体"/>
          <w:sz w:val="32"/>
        </w:rPr>
        <w:t>五、一般公共预算财政拨款支出决算情况说明</w:t>
      </w:r>
    </w:p>
    <w:p w14:paraId="19A56A59">
      <w:pPr>
        <w:spacing w:line="640" w:lineRule="exact"/>
        <w:ind w:firstLine="640"/>
        <w:jc w:val="both"/>
        <w:outlineLvl w:val="3"/>
      </w:pPr>
      <w:r>
        <w:rPr>
          <w:rFonts w:ascii="楷体_GB2312" w:hAnsi="楷体_GB2312" w:eastAsia="楷体_GB2312"/>
          <w:b/>
          <w:sz w:val="32"/>
        </w:rPr>
        <w:t>（一）一般公共预算财政拨款支出决算总体情况</w:t>
      </w:r>
    </w:p>
    <w:p w14:paraId="08338016">
      <w:pPr>
        <w:spacing w:line="580" w:lineRule="exact"/>
        <w:ind w:firstLine="640"/>
        <w:jc w:val="both"/>
      </w:pPr>
      <w:r>
        <w:rPr>
          <w:rFonts w:ascii="仿宋_GB2312" w:hAnsi="仿宋_GB2312" w:eastAsia="仿宋_GB2312"/>
          <w:b/>
          <w:sz w:val="32"/>
        </w:rPr>
        <w:t>2024年度一般公共预算财政拨款支出975.48万元，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减少131.58万元，下降11.89%，主要原因是：本年减少资源资产资金整合服务费，2022年代理记账服务费，导致经费较上年减少。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年初预算数744.34万元，决算数975.48万元，预决算差异率31.05%，主要原因是：年中追加抚恤金，对塔乡村民安装马桶补贴金预算，导致预决算存在差异。</w:t>
      </w:r>
    </w:p>
    <w:p w14:paraId="4A4359F7">
      <w:pPr>
        <w:spacing w:line="640" w:lineRule="exact"/>
        <w:ind w:firstLine="640"/>
        <w:jc w:val="both"/>
        <w:outlineLvl w:val="3"/>
      </w:pPr>
      <w:r>
        <w:rPr>
          <w:rFonts w:ascii="楷体_GB2312" w:hAnsi="楷体_GB2312" w:eastAsia="楷体_GB2312"/>
          <w:b/>
          <w:sz w:val="32"/>
        </w:rPr>
        <w:t>（二）一般公共预算财政拨款支出决算结构情况</w:t>
      </w:r>
    </w:p>
    <w:p w14:paraId="5971226F">
      <w:pPr>
        <w:spacing w:line="580" w:lineRule="exact"/>
        <w:ind w:firstLine="640"/>
        <w:jc w:val="both"/>
      </w:pPr>
      <w:r>
        <w:rPr>
          <w:rFonts w:ascii="仿宋_GB2312" w:hAnsi="仿宋_GB2312" w:eastAsia="仿宋_GB2312"/>
          <w:b w:val="0"/>
          <w:sz w:val="32"/>
        </w:rPr>
        <w:t>1.一般公共服务支出(类)740.76万元,占75.94%。</w:t>
      </w:r>
    </w:p>
    <w:p w14:paraId="3F09DDC6">
      <w:pPr>
        <w:spacing w:line="580" w:lineRule="exact"/>
        <w:ind w:firstLine="640"/>
        <w:jc w:val="both"/>
      </w:pPr>
      <w:r>
        <w:rPr>
          <w:rFonts w:ascii="仿宋_GB2312" w:hAnsi="仿宋_GB2312" w:eastAsia="仿宋_GB2312"/>
          <w:b w:val="0"/>
          <w:sz w:val="32"/>
        </w:rPr>
        <w:t>2.科学技术支出(类)26.00万元,占2.67%。</w:t>
      </w:r>
    </w:p>
    <w:p w14:paraId="684454C4">
      <w:pPr>
        <w:spacing w:line="580" w:lineRule="exact"/>
        <w:ind w:firstLine="640"/>
        <w:jc w:val="both"/>
      </w:pPr>
      <w:r>
        <w:rPr>
          <w:rFonts w:ascii="仿宋_GB2312" w:hAnsi="仿宋_GB2312" w:eastAsia="仿宋_GB2312"/>
          <w:b w:val="0"/>
          <w:sz w:val="32"/>
        </w:rPr>
        <w:t>3.社会保障和就业支出(类)127.59万元,占13.08%。</w:t>
      </w:r>
    </w:p>
    <w:p w14:paraId="00D2152B">
      <w:pPr>
        <w:spacing w:line="580" w:lineRule="exact"/>
        <w:ind w:firstLine="640"/>
        <w:jc w:val="both"/>
      </w:pPr>
      <w:r>
        <w:rPr>
          <w:rFonts w:ascii="仿宋_GB2312" w:hAnsi="仿宋_GB2312" w:eastAsia="仿宋_GB2312"/>
          <w:b w:val="0"/>
          <w:sz w:val="32"/>
        </w:rPr>
        <w:t>4.卫生健康支出(类)33.38万元,占3.42%。</w:t>
      </w:r>
    </w:p>
    <w:p w14:paraId="6A94209C">
      <w:pPr>
        <w:spacing w:line="580" w:lineRule="exact"/>
        <w:ind w:firstLine="640"/>
        <w:jc w:val="both"/>
      </w:pPr>
      <w:r>
        <w:rPr>
          <w:rFonts w:ascii="仿宋_GB2312" w:hAnsi="仿宋_GB2312" w:eastAsia="仿宋_GB2312"/>
          <w:b w:val="0"/>
          <w:sz w:val="32"/>
        </w:rPr>
        <w:t>5.住房保障支出(类)47.74万元,占4.89%。</w:t>
      </w:r>
    </w:p>
    <w:p w14:paraId="53ADBC49">
      <w:pPr>
        <w:bidi w:val="0"/>
      </w:pPr>
      <w:r>
        <w:t>（三）一般公共预算财政拨款支出决算具体情况</w:t>
      </w:r>
    </w:p>
    <w:p w14:paraId="0F8704A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1.一般公共服务支出(类)政府办公厅（室）及相关机构事务(款)行政运行(项):支出决算数为0.00万元，比上年决算减少0.38万元，下降100.00%,主要原因是：本年度减少个人补发基础性绩效，相关支出减少。</w:t>
      </w:r>
    </w:p>
    <w:p w14:paraId="7F95CEFE">
      <w:pPr>
        <w:spacing w:line="580" w:lineRule="exact"/>
        <w:ind w:firstLine="640"/>
        <w:jc w:val="both"/>
      </w:pPr>
      <w:r>
        <w:rPr>
          <w:rFonts w:ascii="仿宋_GB2312" w:hAnsi="仿宋_GB2312" w:eastAsia="仿宋_GB2312"/>
          <w:b w:val="0"/>
          <w:sz w:val="32"/>
        </w:rPr>
        <w:t>2.一般公共服务支出(类)财政事务(款)行政运行(项):支出决算数为272.96万元，比上年决算减少49.98万元，下降15.48%,主要原因是：本年在职人员减少，相应人员经费较上年减少。本年维修维护费减少，导致公用经费较上年减少。</w:t>
      </w:r>
    </w:p>
    <w:p w14:paraId="74F598D1">
      <w:pPr>
        <w:spacing w:line="580" w:lineRule="exact"/>
        <w:ind w:firstLine="640"/>
        <w:jc w:val="both"/>
      </w:pPr>
      <w:r>
        <w:rPr>
          <w:rFonts w:ascii="仿宋_GB2312" w:hAnsi="仿宋_GB2312" w:eastAsia="仿宋_GB2312"/>
          <w:b w:val="0"/>
          <w:sz w:val="32"/>
        </w:rPr>
        <w:t>3.一般公共服务支出(类)财政事务(款)事业运行(项):支出决算数为181.88万元，比上年决算减少6.60万元，下降3.50%,主要原因是：本年在职人员减少，相应人员经费较上年减少。</w:t>
      </w:r>
    </w:p>
    <w:p w14:paraId="00032F69">
      <w:pPr>
        <w:spacing w:line="580" w:lineRule="exact"/>
        <w:ind w:firstLine="640"/>
        <w:jc w:val="both"/>
      </w:pPr>
      <w:r>
        <w:rPr>
          <w:rFonts w:ascii="仿宋_GB2312" w:hAnsi="仿宋_GB2312" w:eastAsia="仿宋_GB2312"/>
          <w:b w:val="0"/>
          <w:sz w:val="32"/>
        </w:rPr>
        <w:t>4.一般公共服务支出(类)财政事务(款)其他财政事务支出(项):支出决算数为285.93万元，比上年决算减少157.67万元，下降35.54%,主要原因是：本年减少资源资产资金整合服务费，2022年代理记账服务费。</w:t>
      </w:r>
    </w:p>
    <w:p w14:paraId="6168300C">
      <w:pPr>
        <w:spacing w:line="580" w:lineRule="exact"/>
        <w:ind w:firstLine="640"/>
        <w:jc w:val="both"/>
      </w:pPr>
      <w:r>
        <w:rPr>
          <w:rFonts w:ascii="仿宋_GB2312" w:hAnsi="仿宋_GB2312" w:eastAsia="仿宋_GB2312"/>
          <w:b w:val="0"/>
          <w:sz w:val="32"/>
        </w:rPr>
        <w:t>5.科学技术支出(类)其他科学技术支出(款)其他科学技术支出(项):支出决算数为26.00万元，比上年决算增加26.00万元，增长100.00%,主要原因是：本年度增加政采云平台服务费。</w:t>
      </w:r>
    </w:p>
    <w:p w14:paraId="48C1B4D1">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48.64万元，比上年决算增加32.10万元，增长194.07%,主要原因是：本年度退休人员增加1人，相关费用增加；增加丧葬费抚恤金，导致经费较上年增加。</w:t>
      </w:r>
    </w:p>
    <w:p w14:paraId="0027141A">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59.12万元，比上年决算增加1.96万元，增长3.43%,主要原因是：本年在职人员工资基数调增，养老缴费基数上涨，相应支出增加。</w:t>
      </w:r>
    </w:p>
    <w:p w14:paraId="28E5A5C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19.69万元，比上年决算增加19.69万元，增长100.00%,主要原因是：本年度退休人员增加1人，退休人员职业年金增加。</w:t>
      </w:r>
    </w:p>
    <w:p w14:paraId="7066F3EF">
      <w:pPr>
        <w:spacing w:line="580" w:lineRule="exact"/>
        <w:ind w:firstLine="640"/>
        <w:jc w:val="both"/>
      </w:pPr>
      <w:r>
        <w:rPr>
          <w:rFonts w:ascii="仿宋_GB2312" w:hAnsi="仿宋_GB2312" w:eastAsia="仿宋_GB2312"/>
          <w:b w:val="0"/>
          <w:sz w:val="32"/>
        </w:rPr>
        <w:t>9.社会保障和就业支出(类)就业补助(款)公益性岗位补贴(项):支出决算数为0.14万元，比上年决算增加0.14万元，增长100.00%,主要原因是：本年度补发公岗人员工资，支出较上年增加。</w:t>
      </w:r>
    </w:p>
    <w:p w14:paraId="7DBD921A">
      <w:pPr>
        <w:spacing w:line="580" w:lineRule="exact"/>
        <w:ind w:firstLine="640"/>
        <w:jc w:val="both"/>
      </w:pPr>
      <w:r>
        <w:rPr>
          <w:rFonts w:ascii="仿宋_GB2312" w:hAnsi="仿宋_GB2312" w:eastAsia="仿宋_GB2312"/>
          <w:b w:val="0"/>
          <w:sz w:val="32"/>
        </w:rPr>
        <w:t>10.卫生健康支出(类)行政事业单位医疗(款)行政单位医疗(项):支出决算数为15.59万元，比上年决算减少3.46万元，下降18.16%,主要原因是：本年在职人员减少，行政单位医疗支出较上年减少。</w:t>
      </w:r>
    </w:p>
    <w:p w14:paraId="4AB19AD9">
      <w:pPr>
        <w:spacing w:line="580" w:lineRule="exact"/>
        <w:ind w:firstLine="640"/>
        <w:jc w:val="both"/>
      </w:pPr>
      <w:r>
        <w:rPr>
          <w:rFonts w:ascii="仿宋_GB2312" w:hAnsi="仿宋_GB2312" w:eastAsia="仿宋_GB2312"/>
          <w:b w:val="0"/>
          <w:sz w:val="32"/>
        </w:rPr>
        <w:t>11.卫生健康支出(类)行政事业单位医疗(款)事业单位医疗(项):支出决算数为11.38万元，比上年决算增加4.22万元，增长58.94%,主要原因是：本年在职人员工资基数调增，医疗缴费基数上涨，相应支出增加。</w:t>
      </w:r>
    </w:p>
    <w:p w14:paraId="7FDED926">
      <w:pPr>
        <w:spacing w:line="580" w:lineRule="exact"/>
        <w:ind w:firstLine="640"/>
        <w:jc w:val="both"/>
      </w:pPr>
      <w:r>
        <w:rPr>
          <w:rFonts w:ascii="仿宋_GB2312" w:hAnsi="仿宋_GB2312" w:eastAsia="仿宋_GB2312"/>
          <w:b w:val="0"/>
          <w:sz w:val="32"/>
        </w:rPr>
        <w:t>12.卫生健康支出(类)行政事业单位医疗(款)公务员医疗补助(项):支出决算数为6.41万元，比上年决算减少0.43万元，下降6.29%,主要原因是：本年在职人员减少，公务员医疗补助较上年减少。</w:t>
      </w:r>
    </w:p>
    <w:p w14:paraId="78568506">
      <w:pPr>
        <w:spacing w:line="580" w:lineRule="exact"/>
        <w:ind w:firstLine="640"/>
        <w:jc w:val="both"/>
      </w:pPr>
      <w:r>
        <w:rPr>
          <w:rFonts w:ascii="仿宋_GB2312" w:hAnsi="仿宋_GB2312" w:eastAsia="仿宋_GB2312"/>
          <w:b w:val="0"/>
          <w:sz w:val="32"/>
        </w:rPr>
        <w:t>13.住房保障支出(类)住房改革支出(款)住房公积金(项):支出决算数为47.74万元，比上年决算增加2.83万元，增长6.30%,主要原因是：本年在职人员工资基数调增，公积金缴费基数上涨，相应支出增加。</w:t>
      </w:r>
    </w:p>
    <w:p w14:paraId="19833042">
      <w:pPr>
        <w:spacing w:line="640" w:lineRule="exact"/>
        <w:ind w:firstLine="640"/>
        <w:jc w:val="both"/>
        <w:outlineLvl w:val="2"/>
      </w:pPr>
      <w:r>
        <w:rPr>
          <w:rFonts w:ascii="黑体" w:hAnsi="黑体" w:eastAsia="黑体"/>
          <w:sz w:val="32"/>
        </w:rPr>
        <w:t>六、一般公共预算财政拨款基本支出决算情况说明</w:t>
      </w:r>
    </w:p>
    <w:p w14:paraId="662AA93F">
      <w:pPr>
        <w:spacing w:line="580" w:lineRule="exact"/>
        <w:ind w:firstLine="640"/>
        <w:jc w:val="both"/>
      </w:pPr>
      <w:r>
        <w:rPr>
          <w:rFonts w:ascii="仿宋_GB2312" w:hAnsi="仿宋_GB2312" w:eastAsia="仿宋_GB2312"/>
          <w:b w:val="0"/>
          <w:sz w:val="32"/>
        </w:rPr>
        <w:t>2024年度一般公共预算财政拨款基本支出975.48万元，其中：</w:t>
      </w:r>
      <w:r>
        <w:rPr>
          <w:rFonts w:ascii="仿宋_GB2312" w:hAnsi="仿宋_GB2312" w:eastAsia="仿宋_GB2312"/>
          <w:b/>
          <w:sz w:val="32"/>
        </w:rPr>
        <w:t>人员经费624.46万元，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14:paraId="0828E2F8">
      <w:pPr>
        <w:spacing w:line="580" w:lineRule="exact"/>
        <w:ind w:firstLine="640"/>
        <w:jc w:val="both"/>
      </w:pPr>
      <w:r>
        <w:rPr>
          <w:rFonts w:ascii="仿宋_GB2312" w:hAnsi="仿宋_GB2312" w:eastAsia="仿宋_GB2312"/>
          <w:b/>
          <w:sz w:val="32"/>
        </w:rPr>
        <w:t>公用经费351.02万元，</w:t>
      </w:r>
      <w:r>
        <w:rPr>
          <w:rFonts w:ascii="仿宋_GB2312" w:hAnsi="仿宋_GB2312" w:eastAsia="仿宋_GB2312"/>
          <w:b w:val="0"/>
          <w:sz w:val="32"/>
        </w:rPr>
        <w:t>包括：办公费、水费、电费、邮电费、取暖费、物业管理费、差旅费、维修（护）费、公务接待费、劳务费、委托业务费、公务用车运行维护费、其他交通费用。</w:t>
      </w:r>
    </w:p>
    <w:p w14:paraId="021BDE98">
      <w:pPr>
        <w:spacing w:line="640" w:lineRule="exact"/>
        <w:ind w:firstLine="640"/>
        <w:jc w:val="both"/>
        <w:outlineLvl w:val="2"/>
      </w:pPr>
      <w:r>
        <w:rPr>
          <w:rFonts w:ascii="黑体" w:hAnsi="黑体" w:eastAsia="黑体"/>
          <w:sz w:val="32"/>
        </w:rPr>
        <w:t>七、政府性基金预算财政拨款收入支出决算情况说明</w:t>
      </w:r>
    </w:p>
    <w:p w14:paraId="70E6AE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2D82D9">
      <w:pPr>
        <w:spacing w:line="640" w:lineRule="exact"/>
        <w:ind w:firstLine="640"/>
        <w:jc w:val="both"/>
        <w:outlineLvl w:val="2"/>
      </w:pPr>
      <w:r>
        <w:rPr>
          <w:rFonts w:ascii="黑体" w:hAnsi="黑体" w:eastAsia="黑体"/>
          <w:sz w:val="32"/>
        </w:rPr>
        <w:t>八、国有资本经营预算财政拨款收入支出决算情况说明</w:t>
      </w:r>
    </w:p>
    <w:p w14:paraId="662F7C9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55C80B">
      <w:pPr>
        <w:spacing w:line="640" w:lineRule="exact"/>
        <w:ind w:firstLine="640"/>
        <w:jc w:val="both"/>
        <w:outlineLvl w:val="2"/>
      </w:pPr>
      <w:r>
        <w:rPr>
          <w:rFonts w:ascii="黑体" w:hAnsi="黑体" w:eastAsia="黑体"/>
          <w:sz w:val="32"/>
        </w:rPr>
        <w:t>九、财政拨款“三公”经费支出决算情况说明</w:t>
      </w:r>
    </w:p>
    <w:p w14:paraId="63B66A3E">
      <w:pPr>
        <w:spacing w:line="580" w:lineRule="exact"/>
        <w:ind w:firstLine="640"/>
        <w:jc w:val="both"/>
      </w:pPr>
      <w:r>
        <w:rPr>
          <w:rFonts w:ascii="仿宋_GB2312" w:hAnsi="仿宋_GB2312" w:eastAsia="仿宋_GB2312"/>
          <w:b/>
          <w:sz w:val="32"/>
        </w:rPr>
        <w:t>2024年度财政拨款“三公”经费支出2.61万元，</w:t>
      </w:r>
      <w:r>
        <w:rPr>
          <w:rFonts w:ascii="仿宋_GB2312" w:hAnsi="仿宋_GB2312" w:eastAsia="仿宋_GB2312"/>
          <w:b w:val="0"/>
          <w:sz w:val="32"/>
        </w:rPr>
        <w:t>比上年减少0.01万元，下降0.38%，主要原因是：本年度车辆保养较好，维修费减少。其中：因公出国（境）费支出0.00万元，占0.00%，比上年增加0.00万元，增长0.00%，主要原因是：2023年与2024年均未安排因公出国（境）费支出。公务用车购置及运行维护费支出2.46万元，占94.25%，比上年减少0.01万元，下降0.40%，主要原因是：本年度车辆保养较好，维修费减少。公务接待费支出0.15万元，占5.75%，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公务接待费与上年一致无变化。</w:t>
      </w:r>
    </w:p>
    <w:p w14:paraId="76017D78">
      <w:pPr>
        <w:spacing w:line="580" w:lineRule="exact"/>
        <w:ind w:firstLine="640"/>
        <w:jc w:val="both"/>
      </w:pPr>
      <w:r>
        <w:rPr>
          <w:rFonts w:ascii="仿宋_GB2312" w:hAnsi="仿宋_GB2312" w:eastAsia="仿宋_GB2312"/>
          <w:b/>
          <w:sz w:val="32"/>
        </w:rPr>
        <w:t>具体情况如下：</w:t>
      </w:r>
    </w:p>
    <w:p w14:paraId="6D36F3B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59FBAB">
      <w:pPr>
        <w:spacing w:line="580" w:lineRule="exact"/>
        <w:ind w:firstLine="640"/>
        <w:jc w:val="both"/>
      </w:pPr>
      <w:r>
        <w:rPr>
          <w:rFonts w:ascii="仿宋_GB2312" w:hAnsi="仿宋_GB2312" w:eastAsia="仿宋_GB2312"/>
          <w:b w:val="0"/>
          <w:sz w:val="32"/>
        </w:rPr>
        <w:t>公务用车购置及运行维护费2.46万元，其中：公务用车购置费0.00万元，公务用车运行维护费2.46万元。公务用车运行维护费开支内容包括车辆燃油费、维修维护费、车辆保险费。公务用车购置数0辆，公务用车保有量3辆。国有资产占用情况中固定资产车辆3辆，与公务用车保有量差异原因是：本单位固定资产车辆与公务用车保有量一致无差异。</w:t>
      </w:r>
    </w:p>
    <w:p w14:paraId="5593906F">
      <w:pPr>
        <w:spacing w:line="580" w:lineRule="exact"/>
        <w:ind w:firstLine="640"/>
        <w:jc w:val="both"/>
      </w:pPr>
      <w:r>
        <w:rPr>
          <w:rFonts w:ascii="仿宋_GB2312" w:hAnsi="仿宋_GB2312" w:eastAsia="仿宋_GB2312"/>
          <w:b w:val="0"/>
          <w:sz w:val="32"/>
        </w:rPr>
        <w:t>公务接待费0.15万元，开支内容包括本年接待上级领导检查、调研活动餐费。单位全年安排的国内公务接待6批次，30人次。</w:t>
      </w:r>
    </w:p>
    <w:p w14:paraId="66F1CA6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2.61万元，决算数2.61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2.46万元，决算数2.46万元，预决算差异率0.00%，主要原因是：严格按照预算执行，预决算无差异。公务接待费全年预算数0.15万元，决算数0.15万元，预决算差异率0.00%，主要原因是：严格按照预算执行，预决算无差异。</w:t>
      </w:r>
    </w:p>
    <w:p w14:paraId="38EE9F73">
      <w:pPr>
        <w:spacing w:line="640" w:lineRule="exact"/>
        <w:ind w:firstLine="640"/>
        <w:jc w:val="both"/>
        <w:outlineLvl w:val="2"/>
      </w:pPr>
      <w:r>
        <w:rPr>
          <w:rFonts w:ascii="黑体" w:hAnsi="黑体" w:eastAsia="黑体"/>
          <w:sz w:val="32"/>
        </w:rPr>
        <w:t>十、其他重要事项的情况说明</w:t>
      </w:r>
    </w:p>
    <w:p w14:paraId="31F9D293">
      <w:pPr>
        <w:spacing w:line="640" w:lineRule="exact"/>
        <w:ind w:firstLine="640"/>
        <w:jc w:val="both"/>
        <w:outlineLvl w:val="3"/>
      </w:pPr>
      <w:r>
        <w:rPr>
          <w:rFonts w:ascii="楷体_GB2312" w:hAnsi="楷体_GB2312" w:eastAsia="楷体_GB2312"/>
          <w:b/>
          <w:sz w:val="32"/>
        </w:rPr>
        <w:t>（一）机关运行经费及公用经费支出情况</w:t>
      </w:r>
    </w:p>
    <w:p w14:paraId="5D1B37B7">
      <w:pPr>
        <w:spacing w:line="580" w:lineRule="exact"/>
        <w:ind w:firstLine="640"/>
        <w:jc w:val="both"/>
      </w:pPr>
      <w:r>
        <w:rPr>
          <w:rFonts w:ascii="仿宋_GB2312" w:hAnsi="仿宋_GB2312" w:eastAsia="仿宋_GB2312"/>
          <w:b w:val="0"/>
          <w:sz w:val="32"/>
        </w:rPr>
        <w:t>2024年度新疆轮台县财政局（行政单位和参照公务员法管理事业单位）机关运行经费支出351.02万元，比上年减少168.09万元，下降32.38%，主要原因是：本年度资源资产整合委托业务费支出减少。</w:t>
      </w:r>
    </w:p>
    <w:p w14:paraId="2892352D">
      <w:pPr>
        <w:spacing w:line="640" w:lineRule="exact"/>
        <w:ind w:firstLine="640"/>
        <w:jc w:val="both"/>
        <w:outlineLvl w:val="3"/>
      </w:pPr>
      <w:r>
        <w:rPr>
          <w:rFonts w:ascii="楷体_GB2312" w:hAnsi="楷体_GB2312" w:eastAsia="楷体_GB2312"/>
          <w:b/>
          <w:sz w:val="32"/>
        </w:rPr>
        <w:t>（二）政府采购情况</w:t>
      </w:r>
    </w:p>
    <w:p w14:paraId="30C81200">
      <w:pPr>
        <w:spacing w:line="580" w:lineRule="exact"/>
        <w:ind w:firstLine="640"/>
        <w:jc w:val="both"/>
      </w:pPr>
      <w:r>
        <w:rPr>
          <w:rFonts w:ascii="仿宋_GB2312" w:hAnsi="仿宋_GB2312" w:eastAsia="仿宋_GB2312"/>
          <w:b w:val="0"/>
          <w:sz w:val="32"/>
        </w:rPr>
        <w:t>2024年度政府采购支出总额349.04万元，其中：政府采购货物支出11.10万元、政府采购工程支出0.00万元、政府采购服务支出337.94万元。</w:t>
      </w:r>
    </w:p>
    <w:p w14:paraId="57960595">
      <w:pPr>
        <w:spacing w:line="580" w:lineRule="exact"/>
        <w:ind w:firstLine="640"/>
        <w:jc w:val="both"/>
      </w:pPr>
      <w:r>
        <w:rPr>
          <w:rFonts w:ascii="仿宋_GB2312" w:hAnsi="仿宋_GB2312" w:eastAsia="仿宋_GB2312"/>
          <w:b w:val="0"/>
          <w:sz w:val="32"/>
        </w:rPr>
        <w:t>授予中小企业合同金额349.04万元，占政府采购支出总额的100.00%，其中：授予小微企业合同金额336.85万元，占政府采购支出总额的96.51%。</w:t>
      </w:r>
    </w:p>
    <w:p w14:paraId="3D0BCFBC">
      <w:pPr>
        <w:spacing w:line="640" w:lineRule="exact"/>
        <w:ind w:firstLine="640"/>
        <w:jc w:val="both"/>
        <w:outlineLvl w:val="3"/>
      </w:pPr>
      <w:r>
        <w:rPr>
          <w:rFonts w:ascii="楷体_GB2312" w:hAnsi="楷体_GB2312" w:eastAsia="楷体_GB2312"/>
          <w:b/>
          <w:sz w:val="32"/>
        </w:rPr>
        <w:t>（三）国有资产占用情况说明</w:t>
      </w:r>
    </w:p>
    <w:p w14:paraId="74C21519">
      <w:pPr>
        <w:spacing w:line="580" w:lineRule="exact"/>
        <w:ind w:firstLine="640"/>
        <w:jc w:val="both"/>
      </w:pPr>
      <w:r>
        <w:rPr>
          <w:rFonts w:ascii="仿宋_GB2312" w:hAnsi="仿宋_GB2312" w:eastAsia="仿宋_GB2312"/>
          <w:b w:val="0"/>
          <w:sz w:val="32"/>
        </w:rPr>
        <w:t>截至2024年12月31日，房屋7,000.00平方米，价值1,993.22万元。车辆3辆，价值74.43万元，其中：副部（省）级及以上领导用车0辆、主要负责人用车3辆、机要通信用车0辆、应急保障用车0辆、执法执勤用车0辆、特种专业技术用车0辆、离退休干部服务用车0辆、其他用车0辆，其他用车主要是：本单位无其他用车。单价100万元（含）以上设备（不含车辆）0台（套）。</w:t>
      </w:r>
    </w:p>
    <w:p w14:paraId="2C19F17F">
      <w:pPr>
        <w:spacing w:line="640" w:lineRule="exact"/>
        <w:ind w:firstLine="640"/>
        <w:jc w:val="both"/>
        <w:outlineLvl w:val="2"/>
      </w:pPr>
      <w:r>
        <w:rPr>
          <w:rFonts w:ascii="黑体" w:hAnsi="黑体" w:eastAsia="黑体"/>
          <w:sz w:val="32"/>
        </w:rPr>
        <w:t>十一、预算绩效的情况说明</w:t>
      </w:r>
    </w:p>
    <w:p w14:paraId="5D903D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1,274.05万元，实际执行总额975.48万元；预算绩效评价项目3个，全年预算数288.70万元，全年执行数288.70万元。预算绩效管理取得的成效：一是已完成预决算公开工作，公开率达100%，提高财政资金透明度；二是已完成全县财政资金通过预算2.0系统国库集中支付工作，达到宏观经济调控和综合平衡社会财力效果。发现的问题及原因：一是绩效管理意识薄弱，单位自身缺乏配套绩效评价制度，</w:t>
      </w:r>
      <w:r>
        <w:rPr>
          <w:rFonts w:hint="eastAsia" w:ascii="仿宋_GB2312" w:hAnsi="仿宋_GB2312" w:eastAsia="仿宋_GB2312"/>
          <w:b w:val="0"/>
          <w:sz w:val="32"/>
          <w:lang w:eastAsia="zh-CN"/>
        </w:rPr>
        <w:t>重</w:t>
      </w:r>
      <w:r>
        <w:rPr>
          <w:rFonts w:ascii="仿宋_GB2312" w:hAnsi="仿宋_GB2312" w:eastAsia="仿宋_GB2312"/>
          <w:b w:val="0"/>
          <w:sz w:val="32"/>
        </w:rPr>
        <w:t>投入轻管理、重支出轻绩效，忽略财政资金具体使用效果；二是绩效评价指标设定不合理，单位在设定绩效指标时不符合相关性、重性原则，指标设定形式化。下一步改进措施：一是深入预算绩效管理理念，提高财政资金使用效益，确保本年度预算项目顺利完成、资金合规使用，发挥财政资金最大效益；二是在设定绩效指标时，要符合国家的政策导向，并对项目实施中项目进行监督检查、跟踪督导绩效管理。具体附整体支出绩效自评表，项目支出绩效自评表和评价报告。</w:t>
      </w:r>
    </w:p>
    <w:p w14:paraId="5D94299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FF156DC">
        <w:tblPrEx>
          <w:tblCellMar>
            <w:top w:w="0" w:type="dxa"/>
            <w:left w:w="108" w:type="dxa"/>
            <w:bottom w:w="0" w:type="dxa"/>
            <w:right w:w="108" w:type="dxa"/>
          </w:tblCellMar>
        </w:tblPrEx>
        <w:tc>
          <w:tcPr>
            <w:tcW w:w="8840" w:type="dxa"/>
            <w:gridSpan w:val="8"/>
            <w:vAlign w:val="center"/>
          </w:tcPr>
          <w:p w14:paraId="2C348FA5">
            <w:pPr>
              <w:jc w:val="center"/>
            </w:pPr>
            <w:r>
              <w:rPr>
                <w:rFonts w:ascii="宋体" w:hAnsi="宋体" w:eastAsia="宋体"/>
                <w:sz w:val="24"/>
              </w:rPr>
              <w:t>单位整体支出绩效自评表</w:t>
            </w:r>
          </w:p>
        </w:tc>
      </w:tr>
      <w:tr w14:paraId="7AFCF158">
        <w:tblPrEx>
          <w:tblCellMar>
            <w:top w:w="0" w:type="dxa"/>
            <w:left w:w="108" w:type="dxa"/>
            <w:bottom w:w="0" w:type="dxa"/>
            <w:right w:w="108" w:type="dxa"/>
          </w:tblCellMar>
        </w:tblPrEx>
        <w:tc>
          <w:tcPr>
            <w:tcW w:w="8840" w:type="dxa"/>
            <w:gridSpan w:val="8"/>
            <w:vAlign w:val="center"/>
          </w:tcPr>
          <w:p w14:paraId="662818CA">
            <w:pPr>
              <w:jc w:val="center"/>
            </w:pPr>
            <w:r>
              <w:rPr>
                <w:rFonts w:ascii="宋体" w:hAnsi="宋体" w:eastAsia="宋体"/>
                <w:sz w:val="24"/>
              </w:rPr>
              <w:t>（2024年度）</w:t>
            </w:r>
          </w:p>
        </w:tc>
      </w:tr>
      <w:tr w14:paraId="23C3051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B4E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32B35">
            <w:pPr>
              <w:jc w:val="center"/>
            </w:pPr>
            <w:r>
              <w:rPr>
                <w:rFonts w:ascii="宋体" w:hAnsi="宋体" w:eastAsia="宋体"/>
                <w:sz w:val="16"/>
              </w:rPr>
              <w:t>新疆轮台县财政局</w:t>
            </w:r>
          </w:p>
        </w:tc>
      </w:tr>
      <w:tr w14:paraId="23989E2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CBCC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F2E4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D82A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85A7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D68D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38F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3884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71401">
            <w:pPr>
              <w:jc w:val="center"/>
            </w:pPr>
            <w:r>
              <w:rPr>
                <w:rFonts w:ascii="宋体" w:hAnsi="宋体" w:eastAsia="宋体"/>
                <w:sz w:val="16"/>
              </w:rPr>
              <w:t>得分</w:t>
            </w:r>
          </w:p>
        </w:tc>
      </w:tr>
      <w:tr w14:paraId="716BAE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AE09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3FA9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5B1E6">
            <w:pPr>
              <w:jc w:val="center"/>
            </w:pPr>
            <w:r>
              <w:rPr>
                <w:rFonts w:ascii="宋体" w:hAnsi="宋体" w:eastAsia="宋体"/>
                <w:sz w:val="16"/>
              </w:rPr>
              <w:t>744.34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B7C84">
            <w:pPr>
              <w:jc w:val="center"/>
            </w:pPr>
            <w:r>
              <w:rPr>
                <w:rFonts w:ascii="宋体" w:hAnsi="宋体" w:eastAsia="宋体"/>
                <w:sz w:val="16"/>
              </w:rPr>
              <w:t>1,274.05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F5357">
            <w:pPr>
              <w:jc w:val="center"/>
            </w:pPr>
            <w:r>
              <w:rPr>
                <w:rFonts w:ascii="宋体" w:hAnsi="宋体" w:eastAsia="宋体"/>
                <w:sz w:val="16"/>
              </w:rPr>
              <w:t>975.48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050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D20E7">
            <w:pPr>
              <w:jc w:val="center"/>
            </w:pPr>
            <w:r>
              <w:rPr>
                <w:rFonts w:ascii="宋体" w:hAnsi="宋体" w:eastAsia="宋体"/>
                <w:sz w:val="16"/>
              </w:rPr>
              <w:t>76.57%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C849F">
            <w:pPr>
              <w:jc w:val="center"/>
            </w:pPr>
            <w:r>
              <w:rPr>
                <w:rFonts w:ascii="宋体" w:hAnsi="宋体" w:eastAsia="宋体"/>
                <w:sz w:val="16"/>
              </w:rPr>
              <w:t>7.66</w:t>
            </w:r>
          </w:p>
        </w:tc>
      </w:tr>
      <w:tr w14:paraId="229E49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C2C1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08A3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664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90F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502A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80B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FE8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FBBD0">
            <w:pPr>
              <w:jc w:val="center"/>
            </w:pPr>
            <w:r>
              <w:rPr>
                <w:rFonts w:ascii="宋体" w:hAnsi="宋体" w:eastAsia="宋体"/>
                <w:sz w:val="16"/>
              </w:rPr>
              <w:t>-</w:t>
            </w:r>
          </w:p>
        </w:tc>
      </w:tr>
      <w:tr w14:paraId="47BD9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739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D1FC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47965">
            <w:pPr>
              <w:jc w:val="center"/>
            </w:pPr>
            <w:r>
              <w:rPr>
                <w:rFonts w:ascii="宋体" w:hAnsi="宋体" w:eastAsia="宋体"/>
                <w:sz w:val="16"/>
              </w:rPr>
              <w:t>744.34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27950">
            <w:pPr>
              <w:jc w:val="center"/>
            </w:pPr>
            <w:r>
              <w:rPr>
                <w:rFonts w:ascii="宋体" w:hAnsi="宋体" w:eastAsia="宋体"/>
                <w:sz w:val="16"/>
              </w:rPr>
              <w:t>975.48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9851F">
            <w:pPr>
              <w:jc w:val="center"/>
            </w:pPr>
            <w:r>
              <w:rPr>
                <w:rFonts w:ascii="宋体" w:hAnsi="宋体" w:eastAsia="宋体"/>
                <w:sz w:val="16"/>
              </w:rPr>
              <w:t>975.48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1C9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0B0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EBB6A">
            <w:pPr>
              <w:jc w:val="center"/>
            </w:pPr>
            <w:r>
              <w:rPr>
                <w:rFonts w:ascii="宋体" w:hAnsi="宋体" w:eastAsia="宋体"/>
                <w:sz w:val="16"/>
              </w:rPr>
              <w:t>-</w:t>
            </w:r>
          </w:p>
        </w:tc>
      </w:tr>
      <w:tr w14:paraId="1D7C3E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3CCE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A086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C5F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36B3B">
            <w:pPr>
              <w:jc w:val="center"/>
            </w:pPr>
            <w:r>
              <w:rPr>
                <w:rFonts w:ascii="宋体" w:hAnsi="宋体" w:eastAsia="宋体"/>
                <w:sz w:val="16"/>
              </w:rPr>
              <w:t>298.57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BBC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CCB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D2E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DC2DD">
            <w:pPr>
              <w:jc w:val="center"/>
            </w:pPr>
            <w:r>
              <w:rPr>
                <w:rFonts w:ascii="宋体" w:hAnsi="宋体" w:eastAsia="宋体"/>
                <w:sz w:val="16"/>
              </w:rPr>
              <w:t>-</w:t>
            </w:r>
          </w:p>
        </w:tc>
      </w:tr>
      <w:tr w14:paraId="47A82A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E263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5F8DB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6BBE42">
            <w:pPr>
              <w:jc w:val="center"/>
            </w:pPr>
            <w:r>
              <w:rPr>
                <w:rFonts w:ascii="宋体" w:hAnsi="宋体" w:eastAsia="宋体"/>
                <w:sz w:val="16"/>
              </w:rPr>
              <w:t>实际完成情况</w:t>
            </w:r>
          </w:p>
        </w:tc>
      </w:tr>
      <w:tr w14:paraId="62FCD3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AF8B7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B6D40E">
            <w:pPr>
              <w:jc w:val="both"/>
            </w:pPr>
            <w:r>
              <w:rPr>
                <w:rFonts w:ascii="宋体" w:hAnsi="宋体" w:eastAsia="宋体"/>
                <w:sz w:val="16"/>
              </w:rPr>
              <w:t>1.拟定全县财政发展战略、中长期财政规划和改革方案并组织实施预决算公开率达100%；2.全县财政资金通过预算2.0系统国库集中支付实现宏观经济调控和综合平衡社会财力；3.全县财政资金监管111个单位，发挥财政资金最大效益；4.管理和指导全县会计工作，规范会计行为；组织执行国家统一的会计制度，制定补充规定并贯彻执行；组织和管理全县会计人员的业务培训不少于6次，5.按规定开展财政资金预算绩效管理工作；防范财政风险；6.组织协调和承办政府采购任务，使全县政府采购信息覆盖率达100%；7.监督检查单位基本支出预算执行情况，反映财政收支管理中的重大问题，提出加强财政管理的政策建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F3236B">
            <w:pPr>
              <w:jc w:val="both"/>
            </w:pPr>
            <w:r>
              <w:rPr>
                <w:rFonts w:ascii="宋体" w:hAnsi="宋体" w:eastAsia="宋体"/>
                <w:sz w:val="16"/>
              </w:rPr>
              <w:t>为落实全县财政发展战略、中长期财政规划和改革方案要求，2024年已完成：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1.已完成预决算公开工作，公开率达100%，提高财政资金透明度；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2.已完成全县财政资金通过预算2.0系统国库集中支付工作，达到宏观经济调控和综合平衡社会财力效果；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全县财政资金监管全覆盖，实现财政资金最大效益；4.已完成组织和管理全县会计人员的业务培训6次，实现了综合管理和指导全县会计工作，规范财务会计行为的效果；5.已完成财政资金预算绩效管理工作，有效防范财政资金风险；6.已完成全县政府采购覆盖率100%，实现了政府采购信息透明化；7.已完成监管各预算单位基本支出预算执行情况，实现了财政收支管理中风险问题的规避。</w:t>
            </w:r>
          </w:p>
        </w:tc>
      </w:tr>
      <w:tr w14:paraId="4685BA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B07E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3D2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F8A7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AF65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1091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B387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7C43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C34E1">
            <w:pPr>
              <w:jc w:val="center"/>
            </w:pPr>
            <w:r>
              <w:rPr>
                <w:rFonts w:ascii="宋体" w:hAnsi="宋体" w:eastAsia="宋体"/>
                <w:sz w:val="16"/>
              </w:rPr>
              <w:t>得分</w:t>
            </w:r>
          </w:p>
        </w:tc>
      </w:tr>
      <w:tr w14:paraId="5091E8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3CD2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E2DA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896E2">
            <w:pPr>
              <w:jc w:val="center"/>
            </w:pPr>
            <w:r>
              <w:rPr>
                <w:rFonts w:ascii="宋体" w:hAnsi="宋体" w:eastAsia="宋体"/>
                <w:sz w:val="16"/>
              </w:rPr>
              <w:t>开展预决算公开率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814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89B57">
            <w:pPr>
              <w:jc w:val="center"/>
            </w:pPr>
            <w:r>
              <w:rPr>
                <w:rFonts w:ascii="宋体" w:hAnsi="宋体" w:eastAsia="宋体"/>
                <w:sz w:val="16"/>
              </w:rPr>
              <w:t>《中华人民共和国预算法》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9D03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220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AC0E5">
            <w:pPr>
              <w:jc w:val="center"/>
            </w:pPr>
            <w:r>
              <w:rPr>
                <w:rFonts w:ascii="宋体" w:hAnsi="宋体" w:eastAsia="宋体"/>
                <w:sz w:val="16"/>
              </w:rPr>
              <w:t>15</w:t>
            </w:r>
          </w:p>
        </w:tc>
      </w:tr>
      <w:tr w14:paraId="7F6863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01BB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E2B9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0A57B">
            <w:pPr>
              <w:jc w:val="center"/>
            </w:pPr>
            <w:r>
              <w:rPr>
                <w:rFonts w:ascii="宋体" w:hAnsi="宋体" w:eastAsia="宋体"/>
                <w:sz w:val="16"/>
              </w:rPr>
              <w:t>国库集中支付直接支付率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4DEB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DCC37">
            <w:pPr>
              <w:jc w:val="center"/>
            </w:pPr>
            <w:r>
              <w:rPr>
                <w:rFonts w:ascii="宋体" w:hAnsi="宋体" w:eastAsia="宋体"/>
                <w:sz w:val="16"/>
              </w:rPr>
              <w:t>《国库集中支付管理办法》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22E7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181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B8EDE">
            <w:pPr>
              <w:jc w:val="center"/>
            </w:pPr>
            <w:r>
              <w:rPr>
                <w:rFonts w:ascii="宋体" w:hAnsi="宋体" w:eastAsia="宋体"/>
                <w:sz w:val="16"/>
              </w:rPr>
              <w:t>15</w:t>
            </w:r>
          </w:p>
        </w:tc>
      </w:tr>
      <w:tr w14:paraId="3D1C91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470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F102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31221">
            <w:pPr>
              <w:jc w:val="center"/>
            </w:pPr>
            <w:r>
              <w:rPr>
                <w:rFonts w:ascii="宋体" w:hAnsi="宋体" w:eastAsia="宋体"/>
                <w:sz w:val="16"/>
              </w:rPr>
              <w:t>开展财政资金监管涉及单位个数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74C04">
            <w:pPr>
              <w:jc w:val="center"/>
            </w:pPr>
            <w:r>
              <w:rPr>
                <w:rFonts w:ascii="宋体" w:hAnsi="宋体" w:eastAsia="宋体"/>
                <w:sz w:val="16"/>
              </w:rPr>
              <w:t>&gt;=111个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3B3C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B726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8621A">
            <w:pPr>
              <w:jc w:val="center"/>
            </w:pPr>
            <w:r>
              <w:rPr>
                <w:rFonts w:ascii="宋体" w:hAnsi="宋体" w:eastAsia="宋体"/>
                <w:sz w:val="16"/>
              </w:rPr>
              <w:t>111个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A2062">
            <w:pPr>
              <w:jc w:val="center"/>
            </w:pPr>
            <w:r>
              <w:rPr>
                <w:rFonts w:ascii="宋体" w:hAnsi="宋体" w:eastAsia="宋体"/>
                <w:sz w:val="16"/>
              </w:rPr>
              <w:t>15</w:t>
            </w:r>
          </w:p>
        </w:tc>
      </w:tr>
      <w:tr w14:paraId="40C728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44F0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1DA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17060">
            <w:pPr>
              <w:jc w:val="center"/>
            </w:pPr>
            <w:r>
              <w:rPr>
                <w:rFonts w:ascii="宋体" w:hAnsi="宋体" w:eastAsia="宋体"/>
                <w:sz w:val="16"/>
              </w:rPr>
              <w:t>开展财政业务培训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C9650">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3112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0CE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40CE0">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E3450">
            <w:pPr>
              <w:jc w:val="center"/>
            </w:pPr>
            <w:r>
              <w:rPr>
                <w:rFonts w:ascii="宋体" w:hAnsi="宋体" w:eastAsia="宋体"/>
                <w:sz w:val="16"/>
              </w:rPr>
              <w:t>10</w:t>
            </w:r>
          </w:p>
        </w:tc>
      </w:tr>
      <w:tr w14:paraId="7FBA9A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BF8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6F5E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1E856">
            <w:pPr>
              <w:jc w:val="center"/>
            </w:pPr>
            <w:r>
              <w:rPr>
                <w:rFonts w:ascii="宋体" w:hAnsi="宋体" w:eastAsia="宋体"/>
                <w:sz w:val="16"/>
              </w:rPr>
              <w:t>财政资金预算绩效管理覆盖率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F74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1997F">
            <w:pPr>
              <w:jc w:val="center"/>
            </w:pPr>
            <w:r>
              <w:rPr>
                <w:rFonts w:ascii="宋体" w:hAnsi="宋体" w:eastAsia="宋体"/>
                <w:sz w:val="16"/>
              </w:rPr>
              <w:t>《轮台县预算绩效监控管理暂行办法》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8B7F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AB15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67EF6">
            <w:pPr>
              <w:jc w:val="center"/>
            </w:pPr>
            <w:r>
              <w:rPr>
                <w:rFonts w:ascii="宋体" w:hAnsi="宋体" w:eastAsia="宋体"/>
                <w:sz w:val="16"/>
              </w:rPr>
              <w:t>15</w:t>
            </w:r>
          </w:p>
        </w:tc>
      </w:tr>
      <w:tr w14:paraId="46A446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97F6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4092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BB724">
            <w:pPr>
              <w:jc w:val="center"/>
            </w:pPr>
            <w:r>
              <w:rPr>
                <w:rFonts w:ascii="宋体" w:hAnsi="宋体" w:eastAsia="宋体"/>
                <w:sz w:val="16"/>
              </w:rPr>
              <w:t>预算单位政府采购覆盖率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9899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DEF5B">
            <w:pPr>
              <w:jc w:val="center"/>
            </w:pPr>
            <w:r>
              <w:rPr>
                <w:rFonts w:ascii="宋体" w:hAnsi="宋体" w:eastAsia="宋体"/>
                <w:sz w:val="16"/>
              </w:rPr>
              <w:t>《中华人民共和国政府采购法》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231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B317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6E129">
            <w:pPr>
              <w:jc w:val="center"/>
            </w:pPr>
            <w:r>
              <w:rPr>
                <w:rFonts w:ascii="宋体" w:hAnsi="宋体" w:eastAsia="宋体"/>
                <w:sz w:val="16"/>
              </w:rPr>
              <w:t>10</w:t>
            </w:r>
          </w:p>
        </w:tc>
      </w:tr>
      <w:tr w14:paraId="3D6A82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F511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9153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ECAD9">
            <w:pPr>
              <w:jc w:val="center"/>
            </w:pPr>
            <w:r>
              <w:rPr>
                <w:rFonts w:ascii="宋体" w:hAnsi="宋体" w:eastAsia="宋体"/>
                <w:sz w:val="16"/>
              </w:rPr>
              <w:t>基本支出预算执行率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76F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AA138">
            <w:pPr>
              <w:jc w:val="center"/>
            </w:pPr>
            <w:r>
              <w:rPr>
                <w:rFonts w:ascii="宋体" w:hAnsi="宋体" w:eastAsia="宋体"/>
                <w:sz w:val="16"/>
              </w:rPr>
              <w:t>《中华人民共和国预算法》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56B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433B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76B10">
            <w:pPr>
              <w:jc w:val="center"/>
            </w:pPr>
            <w:r>
              <w:rPr>
                <w:rFonts w:ascii="宋体" w:hAnsi="宋体" w:eastAsia="宋体"/>
                <w:sz w:val="16"/>
              </w:rPr>
              <w:t>10</w:t>
            </w:r>
          </w:p>
        </w:tc>
      </w:tr>
    </w:tbl>
    <w:p w14:paraId="0367F0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5526233">
        <w:tblPrEx>
          <w:tblCellMar>
            <w:top w:w="0" w:type="dxa"/>
            <w:left w:w="108" w:type="dxa"/>
            <w:bottom w:w="0" w:type="dxa"/>
            <w:right w:w="108" w:type="dxa"/>
          </w:tblCellMar>
        </w:tblPrEx>
        <w:tc>
          <w:tcPr>
            <w:tcW w:w="8848" w:type="dxa"/>
            <w:gridSpan w:val="14"/>
            <w:vAlign w:val="center"/>
          </w:tcPr>
          <w:p w14:paraId="61380BE1">
            <w:pPr>
              <w:jc w:val="center"/>
            </w:pPr>
            <w:r>
              <w:rPr>
                <w:rFonts w:ascii="宋体" w:hAnsi="宋体" w:eastAsia="宋体"/>
                <w:sz w:val="24"/>
              </w:rPr>
              <w:t>项目支出绩效自评表</w:t>
            </w:r>
          </w:p>
        </w:tc>
      </w:tr>
      <w:tr w14:paraId="1FEE418E">
        <w:tblPrEx>
          <w:tblCellMar>
            <w:top w:w="0" w:type="dxa"/>
            <w:left w:w="108" w:type="dxa"/>
            <w:bottom w:w="0" w:type="dxa"/>
            <w:right w:w="108" w:type="dxa"/>
          </w:tblCellMar>
        </w:tblPrEx>
        <w:tc>
          <w:tcPr>
            <w:tcW w:w="8848" w:type="dxa"/>
            <w:gridSpan w:val="14"/>
            <w:vAlign w:val="center"/>
          </w:tcPr>
          <w:p w14:paraId="63BE103A">
            <w:pPr>
              <w:jc w:val="center"/>
            </w:pPr>
            <w:r>
              <w:rPr>
                <w:rFonts w:ascii="宋体" w:hAnsi="宋体" w:eastAsia="宋体"/>
                <w:sz w:val="24"/>
              </w:rPr>
              <w:t>(2024年度)</w:t>
            </w:r>
          </w:p>
        </w:tc>
      </w:tr>
      <w:tr w14:paraId="069677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3F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1A0C4A">
            <w:pPr>
              <w:jc w:val="center"/>
            </w:pPr>
            <w:r>
              <w:rPr>
                <w:rFonts w:ascii="宋体" w:hAnsi="宋体" w:eastAsia="宋体"/>
                <w:sz w:val="16"/>
              </w:rPr>
              <w:t>2023年政府采购平台服务费</w:t>
            </w:r>
          </w:p>
        </w:tc>
      </w:tr>
      <w:tr w14:paraId="5C2580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A8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876BF">
            <w:pPr>
              <w:jc w:val="center"/>
            </w:pPr>
            <w:r>
              <w:rPr>
                <w:rFonts w:ascii="宋体" w:hAnsi="宋体" w:eastAsia="宋体"/>
                <w:sz w:val="16"/>
              </w:rPr>
              <w:t>新疆轮台县财政局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15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C22E5">
            <w:pPr>
              <w:jc w:val="center"/>
            </w:pPr>
            <w:r>
              <w:rPr>
                <w:rFonts w:ascii="宋体" w:hAnsi="宋体" w:eastAsia="宋体"/>
                <w:sz w:val="16"/>
              </w:rPr>
              <w:t>新疆轮台县财政局</w:t>
            </w:r>
          </w:p>
        </w:tc>
      </w:tr>
      <w:tr w14:paraId="444890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5C76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93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A38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1B2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E8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E854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32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F19C">
            <w:pPr>
              <w:jc w:val="center"/>
            </w:pPr>
            <w:r>
              <w:rPr>
                <w:rFonts w:ascii="宋体" w:hAnsi="宋体" w:eastAsia="宋体"/>
                <w:sz w:val="16"/>
              </w:rPr>
              <w:t>得分</w:t>
            </w:r>
          </w:p>
        </w:tc>
      </w:tr>
      <w:tr w14:paraId="3C9925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27E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FF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9E05">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C795">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37DB7">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3B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79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FC60">
            <w:pPr>
              <w:jc w:val="center"/>
            </w:pPr>
            <w:r>
              <w:rPr>
                <w:rFonts w:ascii="宋体" w:hAnsi="宋体" w:eastAsia="宋体"/>
                <w:sz w:val="16"/>
              </w:rPr>
              <w:t>10.00</w:t>
            </w:r>
          </w:p>
        </w:tc>
      </w:tr>
      <w:tr w14:paraId="0DEAA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2A1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54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469E">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656B1">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E17E">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B9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D74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28F5">
            <w:pPr>
              <w:jc w:val="center"/>
            </w:pPr>
            <w:r>
              <w:rPr>
                <w:rFonts w:ascii="宋体" w:hAnsi="宋体" w:eastAsia="宋体"/>
                <w:sz w:val="16"/>
              </w:rPr>
              <w:t>-</w:t>
            </w:r>
          </w:p>
        </w:tc>
      </w:tr>
      <w:tr w14:paraId="0D33F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C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B662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1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B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9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D0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D53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A82E">
            <w:pPr>
              <w:jc w:val="center"/>
            </w:pPr>
            <w:r>
              <w:rPr>
                <w:rFonts w:ascii="宋体" w:hAnsi="宋体" w:eastAsia="宋体"/>
                <w:sz w:val="16"/>
              </w:rPr>
              <w:t>-</w:t>
            </w:r>
          </w:p>
        </w:tc>
      </w:tr>
      <w:tr w14:paraId="1AFE1E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C04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850E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CDFF3">
            <w:pPr>
              <w:jc w:val="center"/>
            </w:pPr>
            <w:r>
              <w:rPr>
                <w:rFonts w:ascii="宋体" w:hAnsi="宋体" w:eastAsia="宋体"/>
                <w:sz w:val="16"/>
              </w:rPr>
              <w:t>总体目标完成情况</w:t>
            </w:r>
          </w:p>
        </w:tc>
      </w:tr>
      <w:tr w14:paraId="5AF3A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4B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4B264">
            <w:pPr>
              <w:jc w:val="both"/>
            </w:pPr>
            <w:r>
              <w:rPr>
                <w:rFonts w:ascii="宋体" w:hAnsi="宋体" w:eastAsia="宋体"/>
                <w:sz w:val="16"/>
              </w:rPr>
              <w:t>为构建统一开放、竞争有序的政府采购市场体系，积极促进政府采购领域公平竞争、优化营商环境：</w:t>
            </w:r>
            <w:r>
              <w:rPr>
                <w:rFonts w:ascii="宋体" w:hAnsi="宋体" w:eastAsia="宋体"/>
                <w:sz w:val="16"/>
              </w:rPr>
              <w:br w:type="textWrapping"/>
            </w:r>
            <w:r>
              <w:rPr>
                <w:rFonts w:ascii="宋体" w:hAnsi="宋体" w:eastAsia="宋体"/>
                <w:sz w:val="16"/>
              </w:rPr>
              <w:t>目标1：支付2023年政府采购平台服务费，保障平台运行，有效提高各单位工作效率，规范采购流程。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0DFC36">
            <w:pPr>
              <w:jc w:val="both"/>
            </w:pPr>
            <w:r>
              <w:rPr>
                <w:rFonts w:hint="eastAsia" w:ascii="宋体" w:hAnsi="宋体"/>
                <w:sz w:val="16"/>
                <w:lang w:eastAsia="zh-CN"/>
              </w:rPr>
              <w:t>本单位</w:t>
            </w:r>
            <w:r>
              <w:rPr>
                <w:rFonts w:ascii="宋体" w:hAnsi="宋体" w:eastAsia="宋体"/>
                <w:sz w:val="16"/>
              </w:rPr>
              <w:t>本年度严格执行</w:t>
            </w:r>
            <w:r>
              <w:rPr>
                <w:rFonts w:hint="eastAsia" w:ascii="宋体" w:hAnsi="宋体"/>
                <w:sz w:val="16"/>
                <w:lang w:eastAsia="zh-CN"/>
              </w:rPr>
              <w:t>《中华人民共和国政府采购法》</w:t>
            </w:r>
            <w:r>
              <w:rPr>
                <w:rFonts w:ascii="宋体" w:hAnsi="宋体" w:eastAsia="宋体"/>
                <w:sz w:val="16"/>
              </w:rPr>
              <w:t>，构建统一开放、竞争有序的政府采购市场体系，积极促进了政府采购领域公平竞争、优化营商环境，已完成2023年政府采购平台服务费项目目标内容；</w:t>
            </w:r>
            <w:r>
              <w:rPr>
                <w:rFonts w:ascii="宋体" w:hAnsi="宋体" w:eastAsia="宋体"/>
                <w:sz w:val="16"/>
              </w:rPr>
              <w:br w:type="textWrapping"/>
            </w:r>
            <w:r>
              <w:rPr>
                <w:rFonts w:ascii="宋体" w:hAnsi="宋体" w:eastAsia="宋体"/>
                <w:sz w:val="16"/>
              </w:rPr>
              <w:t>1.实现了政采云全覆盖流程，政采云使用单位109家，有效提高了各单位工作效率，规范采购流程，全县行政事业单位满意度达98%。</w:t>
            </w:r>
          </w:p>
        </w:tc>
      </w:tr>
      <w:tr w14:paraId="2B239B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F95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B0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2C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D3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E3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C3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A7C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30B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E0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53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9A5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D6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899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8270">
            <w:pPr>
              <w:jc w:val="center"/>
            </w:pPr>
            <w:r>
              <w:rPr>
                <w:rFonts w:ascii="宋体" w:hAnsi="宋体" w:eastAsia="宋体"/>
                <w:sz w:val="16"/>
              </w:rPr>
              <w:t>偏差原因分析及改进措施</w:t>
            </w:r>
          </w:p>
        </w:tc>
      </w:tr>
      <w:tr w14:paraId="548AEF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6C4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E82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60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C185">
            <w:pPr>
              <w:jc w:val="center"/>
            </w:pPr>
            <w:r>
              <w:rPr>
                <w:rFonts w:ascii="宋体" w:hAnsi="宋体" w:eastAsia="宋体"/>
                <w:sz w:val="16"/>
              </w:rPr>
              <w:t>政采云使用单位数量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FDAF">
            <w:pPr>
              <w:jc w:val="center"/>
            </w:pPr>
            <w:r>
              <w:rPr>
                <w:rFonts w:ascii="宋体" w:hAnsi="宋体" w:eastAsia="宋体"/>
                <w:sz w:val="16"/>
              </w:rPr>
              <w:t>&gt;=109家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D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1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5E6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57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3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B8A2">
            <w:pPr>
              <w:jc w:val="center"/>
            </w:pPr>
            <w:r>
              <w:rPr>
                <w:rFonts w:ascii="宋体" w:hAnsi="宋体" w:eastAsia="宋体"/>
                <w:sz w:val="16"/>
              </w:rPr>
              <w:t>=109家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1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D5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6F1B">
            <w:pPr>
              <w:jc w:val="center"/>
            </w:pPr>
          </w:p>
        </w:tc>
      </w:tr>
      <w:tr w14:paraId="33933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90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7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C5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8E14">
            <w:pPr>
              <w:jc w:val="center"/>
            </w:pPr>
            <w:r>
              <w:rPr>
                <w:rFonts w:ascii="宋体" w:hAnsi="宋体" w:eastAsia="宋体"/>
                <w:sz w:val="16"/>
              </w:rPr>
              <w:t>各预算单位政采云使用率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030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0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1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75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E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34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CFB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B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36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635C">
            <w:pPr>
              <w:jc w:val="center"/>
            </w:pPr>
          </w:p>
        </w:tc>
      </w:tr>
      <w:tr w14:paraId="594BA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AD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D3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1A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B625">
            <w:pPr>
              <w:jc w:val="center"/>
            </w:pPr>
            <w:r>
              <w:rPr>
                <w:rFonts w:ascii="宋体" w:hAnsi="宋体" w:eastAsia="宋体"/>
                <w:sz w:val="16"/>
              </w:rPr>
              <w:t>政采云使用覆盖率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4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8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0A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9D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6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2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DF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1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0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20D9">
            <w:pPr>
              <w:jc w:val="center"/>
            </w:pPr>
          </w:p>
        </w:tc>
      </w:tr>
      <w:tr w14:paraId="75C9C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92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0D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7C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08D2">
            <w:pPr>
              <w:jc w:val="center"/>
            </w:pPr>
            <w:r>
              <w:rPr>
                <w:rFonts w:ascii="宋体" w:hAnsi="宋体" w:eastAsia="宋体"/>
                <w:sz w:val="16"/>
              </w:rPr>
              <w:t>单位平均使用政采云成本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F3E6">
            <w:pPr>
              <w:jc w:val="center"/>
            </w:pPr>
            <w:r>
              <w:rPr>
                <w:rFonts w:ascii="宋体" w:hAnsi="宋体" w:eastAsia="宋体"/>
                <w:sz w:val="16"/>
              </w:rPr>
              <w:t>&lt;=2389元/家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F5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9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2C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C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F3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94C9">
            <w:pPr>
              <w:jc w:val="center"/>
            </w:pPr>
            <w:r>
              <w:rPr>
                <w:rFonts w:ascii="宋体" w:hAnsi="宋体" w:eastAsia="宋体"/>
                <w:sz w:val="16"/>
              </w:rPr>
              <w:t>=2389元/家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F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C0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F49E">
            <w:pPr>
              <w:jc w:val="center"/>
            </w:pPr>
          </w:p>
        </w:tc>
      </w:tr>
      <w:tr w14:paraId="30E4B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129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5E36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FC5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65A2">
            <w:pPr>
              <w:jc w:val="center"/>
            </w:pPr>
            <w:r>
              <w:rPr>
                <w:rFonts w:ascii="宋体" w:hAnsi="宋体" w:eastAsia="宋体"/>
                <w:sz w:val="16"/>
              </w:rPr>
              <w:t>各单位工作效率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B5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3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54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6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A4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29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CD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0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3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7469">
            <w:pPr>
              <w:jc w:val="center"/>
            </w:pPr>
          </w:p>
        </w:tc>
      </w:tr>
      <w:tr w14:paraId="7BD8F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53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AD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3A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EF35">
            <w:pPr>
              <w:jc w:val="center"/>
            </w:pPr>
            <w:r>
              <w:rPr>
                <w:rFonts w:ascii="宋体" w:hAnsi="宋体" w:eastAsia="宋体"/>
                <w:sz w:val="16"/>
              </w:rPr>
              <w:t>规范采购流程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7F7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8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A7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A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D4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6D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588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9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3A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0EF4">
            <w:pPr>
              <w:jc w:val="center"/>
            </w:pPr>
          </w:p>
        </w:tc>
      </w:tr>
      <w:tr w14:paraId="3867C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0B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2B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9B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CCBC">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F2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D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1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99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0C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CA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BF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2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36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C3A6">
            <w:pPr>
              <w:jc w:val="center"/>
            </w:pPr>
          </w:p>
        </w:tc>
      </w:tr>
      <w:tr w14:paraId="69503B3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EE6D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5F3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B95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31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7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2BB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261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2D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71A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3BB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BD172"/>
        </w:tc>
      </w:tr>
    </w:tbl>
    <w:p w14:paraId="3C2D65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39C8793">
        <w:tblPrEx>
          <w:tblCellMar>
            <w:top w:w="0" w:type="dxa"/>
            <w:left w:w="108" w:type="dxa"/>
            <w:bottom w:w="0" w:type="dxa"/>
            <w:right w:w="108" w:type="dxa"/>
          </w:tblCellMar>
        </w:tblPrEx>
        <w:tc>
          <w:tcPr>
            <w:tcW w:w="8848" w:type="dxa"/>
            <w:gridSpan w:val="14"/>
            <w:vAlign w:val="center"/>
          </w:tcPr>
          <w:p w14:paraId="478DF293">
            <w:pPr>
              <w:jc w:val="center"/>
            </w:pPr>
            <w:r>
              <w:rPr>
                <w:rFonts w:ascii="宋体" w:hAnsi="宋体" w:eastAsia="宋体"/>
                <w:sz w:val="24"/>
              </w:rPr>
              <w:t>项目支出绩效自评表</w:t>
            </w:r>
          </w:p>
        </w:tc>
      </w:tr>
      <w:tr w14:paraId="6172F2FB">
        <w:tblPrEx>
          <w:tblCellMar>
            <w:top w:w="0" w:type="dxa"/>
            <w:left w:w="108" w:type="dxa"/>
            <w:bottom w:w="0" w:type="dxa"/>
            <w:right w:w="108" w:type="dxa"/>
          </w:tblCellMar>
        </w:tblPrEx>
        <w:tc>
          <w:tcPr>
            <w:tcW w:w="8848" w:type="dxa"/>
            <w:gridSpan w:val="14"/>
            <w:vAlign w:val="center"/>
          </w:tcPr>
          <w:p w14:paraId="0576721B">
            <w:pPr>
              <w:jc w:val="center"/>
            </w:pPr>
            <w:r>
              <w:rPr>
                <w:rFonts w:ascii="宋体" w:hAnsi="宋体" w:eastAsia="宋体"/>
                <w:sz w:val="24"/>
              </w:rPr>
              <w:t>(2024年度)</w:t>
            </w:r>
          </w:p>
        </w:tc>
      </w:tr>
      <w:tr w14:paraId="00CBB5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CD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1AF7B0">
            <w:pPr>
              <w:jc w:val="center"/>
            </w:pPr>
            <w:r>
              <w:rPr>
                <w:rFonts w:ascii="宋体" w:hAnsi="宋体" w:eastAsia="宋体"/>
                <w:sz w:val="16"/>
              </w:rPr>
              <w:t>轮台县2021年、2023年代理记账服务费</w:t>
            </w:r>
          </w:p>
        </w:tc>
      </w:tr>
      <w:tr w14:paraId="6FD907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E0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E9132">
            <w:pPr>
              <w:jc w:val="center"/>
            </w:pPr>
            <w:r>
              <w:rPr>
                <w:rFonts w:ascii="宋体" w:hAnsi="宋体" w:eastAsia="宋体"/>
                <w:sz w:val="16"/>
              </w:rPr>
              <w:t>新疆轮台县财政局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C7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39FD9">
            <w:pPr>
              <w:jc w:val="center"/>
            </w:pPr>
            <w:r>
              <w:rPr>
                <w:rFonts w:ascii="宋体" w:hAnsi="宋体" w:eastAsia="宋体"/>
                <w:sz w:val="16"/>
              </w:rPr>
              <w:t>新疆轮台县财政局</w:t>
            </w:r>
          </w:p>
        </w:tc>
      </w:tr>
      <w:tr w14:paraId="318F9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869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5C0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ECF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081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B6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CA7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31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5CB6">
            <w:pPr>
              <w:jc w:val="center"/>
            </w:pPr>
            <w:r>
              <w:rPr>
                <w:rFonts w:ascii="宋体" w:hAnsi="宋体" w:eastAsia="宋体"/>
                <w:sz w:val="16"/>
              </w:rPr>
              <w:t>得分</w:t>
            </w:r>
          </w:p>
        </w:tc>
      </w:tr>
      <w:tr w14:paraId="126FAC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2BC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AE4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A642">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B1A2C">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CCDA">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4E9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E07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4BB2">
            <w:pPr>
              <w:jc w:val="center"/>
            </w:pPr>
            <w:r>
              <w:rPr>
                <w:rFonts w:ascii="宋体" w:hAnsi="宋体" w:eastAsia="宋体"/>
                <w:sz w:val="16"/>
              </w:rPr>
              <w:t>10.00</w:t>
            </w:r>
          </w:p>
        </w:tc>
      </w:tr>
      <w:tr w14:paraId="4C000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93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B2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EAE6">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07DA">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993E">
            <w:pPr>
              <w:jc w:val="center"/>
            </w:pPr>
            <w:r>
              <w:rPr>
                <w:rFonts w:ascii="宋体" w:hAnsi="宋体" w:eastAsia="宋体"/>
                <w:sz w:val="16"/>
              </w:rPr>
              <w:t>183.10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24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7E2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DFCD">
            <w:pPr>
              <w:jc w:val="center"/>
            </w:pPr>
            <w:r>
              <w:rPr>
                <w:rFonts w:ascii="宋体" w:hAnsi="宋体" w:eastAsia="宋体"/>
                <w:sz w:val="16"/>
              </w:rPr>
              <w:t>-</w:t>
            </w:r>
          </w:p>
        </w:tc>
      </w:tr>
      <w:tr w14:paraId="772DE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BAD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B9B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F0C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145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E8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68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939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F7AC">
            <w:pPr>
              <w:jc w:val="center"/>
            </w:pPr>
            <w:r>
              <w:rPr>
                <w:rFonts w:ascii="宋体" w:hAnsi="宋体" w:eastAsia="宋体"/>
                <w:sz w:val="16"/>
              </w:rPr>
              <w:t>-</w:t>
            </w:r>
          </w:p>
        </w:tc>
      </w:tr>
      <w:tr w14:paraId="12B87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0BA5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FF03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BF4A05">
            <w:pPr>
              <w:jc w:val="center"/>
            </w:pPr>
            <w:r>
              <w:rPr>
                <w:rFonts w:ascii="宋体" w:hAnsi="宋体" w:eastAsia="宋体"/>
                <w:sz w:val="16"/>
              </w:rPr>
              <w:t>总体目标完成情况</w:t>
            </w:r>
          </w:p>
        </w:tc>
      </w:tr>
      <w:tr w14:paraId="0C40F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39B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4C082">
            <w:pPr>
              <w:jc w:val="both"/>
            </w:pPr>
            <w:r>
              <w:rPr>
                <w:rFonts w:ascii="宋体" w:hAnsi="宋体" w:eastAsia="宋体"/>
                <w:sz w:val="16"/>
              </w:rPr>
              <w:t xml:space="preserve">为进一步规范全县各行政事业单位会计核算，提升财务管理水平，妥善解决部分预算单位没有专业知识财务人员，实现单位财务管理科学化、规范化、制度化。    </w:t>
            </w:r>
            <w:r>
              <w:rPr>
                <w:rFonts w:ascii="宋体" w:hAnsi="宋体" w:eastAsia="宋体"/>
                <w:sz w:val="16"/>
              </w:rPr>
              <w:br w:type="textWrapping"/>
            </w:r>
            <w:r>
              <w:rPr>
                <w:rFonts w:ascii="宋体" w:hAnsi="宋体" w:eastAsia="宋体"/>
                <w:sz w:val="16"/>
              </w:rPr>
              <w:t>目标1：保障全县行政事业代理记账单位89家，保质完成12个月记账任务，缓解财务工作压力，提高行政事业单位会计核算水平。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FB1892">
            <w:pPr>
              <w:jc w:val="both"/>
            </w:pPr>
            <w:r>
              <w:rPr>
                <w:rFonts w:hint="eastAsia" w:ascii="宋体" w:hAnsi="宋体"/>
                <w:sz w:val="16"/>
                <w:lang w:eastAsia="zh-CN"/>
              </w:rPr>
              <w:t>本单位</w:t>
            </w:r>
            <w:r>
              <w:rPr>
                <w:rFonts w:ascii="宋体" w:hAnsi="宋体" w:eastAsia="宋体"/>
                <w:sz w:val="16"/>
              </w:rPr>
              <w:t>本年度严格执行《中华人民共和国会计法》《中华人民共和国预算法》精神，已完成轮台县2023年代理记账项目，规范了全县各行政事业单位会计核算，提升了财务管理水平，实现单位财务管理科学化、规范化、制度化，有效提高了行政事业单位会计核算水平，为轮台县经济高质量发展奠定坚实基础。</w:t>
            </w:r>
          </w:p>
        </w:tc>
      </w:tr>
      <w:tr w14:paraId="7BABE1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3E7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8B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A0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39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7D6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52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C64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B9D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8C6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6D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0A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54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E5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C29C">
            <w:pPr>
              <w:jc w:val="center"/>
            </w:pPr>
            <w:r>
              <w:rPr>
                <w:rFonts w:ascii="宋体" w:hAnsi="宋体" w:eastAsia="宋体"/>
                <w:sz w:val="16"/>
              </w:rPr>
              <w:t>偏差原因分析及改进措施</w:t>
            </w:r>
          </w:p>
        </w:tc>
      </w:tr>
      <w:tr w14:paraId="268213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5B5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5EE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3F8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8CE4">
            <w:pPr>
              <w:jc w:val="center"/>
            </w:pPr>
            <w:r>
              <w:rPr>
                <w:rFonts w:ascii="宋体" w:hAnsi="宋体" w:eastAsia="宋体"/>
                <w:sz w:val="16"/>
              </w:rPr>
              <w:t>完成代理记账单位数量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B14D">
            <w:pPr>
              <w:jc w:val="center"/>
            </w:pPr>
            <w:r>
              <w:rPr>
                <w:rFonts w:ascii="宋体" w:hAnsi="宋体" w:eastAsia="宋体"/>
                <w:sz w:val="16"/>
              </w:rPr>
              <w:t>&gt;=89家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9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B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39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B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5C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37E5">
            <w:pPr>
              <w:jc w:val="center"/>
            </w:pPr>
            <w:r>
              <w:rPr>
                <w:rFonts w:ascii="宋体" w:hAnsi="宋体" w:eastAsia="宋体"/>
                <w:sz w:val="16"/>
              </w:rPr>
              <w:t>=89家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7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60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6B79">
            <w:pPr>
              <w:jc w:val="center"/>
            </w:pPr>
          </w:p>
        </w:tc>
      </w:tr>
      <w:tr w14:paraId="30BD1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6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AB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96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0707">
            <w:pPr>
              <w:jc w:val="center"/>
            </w:pPr>
            <w:r>
              <w:rPr>
                <w:rFonts w:ascii="宋体" w:hAnsi="宋体" w:eastAsia="宋体"/>
                <w:sz w:val="16"/>
              </w:rPr>
              <w:t>完成代理记账月数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A36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5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93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B7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4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74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9BB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5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68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6B14">
            <w:pPr>
              <w:jc w:val="center"/>
            </w:pPr>
          </w:p>
        </w:tc>
      </w:tr>
      <w:tr w14:paraId="7A2E7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1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B31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1CA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5E5A">
            <w:pPr>
              <w:jc w:val="center"/>
            </w:pPr>
            <w:r>
              <w:rPr>
                <w:rFonts w:ascii="宋体" w:hAnsi="宋体" w:eastAsia="宋体"/>
                <w:sz w:val="16"/>
              </w:rPr>
              <w:t>会计核算规范性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FA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E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54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9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A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8A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C6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AC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C8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E234">
            <w:pPr>
              <w:jc w:val="center"/>
            </w:pPr>
          </w:p>
        </w:tc>
      </w:tr>
      <w:tr w14:paraId="51D7E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35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4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60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DFFF">
            <w:pPr>
              <w:jc w:val="center"/>
            </w:pPr>
            <w:r>
              <w:rPr>
                <w:rFonts w:ascii="宋体" w:hAnsi="宋体" w:eastAsia="宋体"/>
                <w:sz w:val="16"/>
              </w:rPr>
              <w:t>预决算公开准确性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19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B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09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03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8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D9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AB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1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8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C108">
            <w:pPr>
              <w:jc w:val="center"/>
            </w:pPr>
          </w:p>
        </w:tc>
      </w:tr>
      <w:tr w14:paraId="5B96F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93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4E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D2A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A1E5">
            <w:pPr>
              <w:jc w:val="center"/>
            </w:pPr>
            <w:r>
              <w:rPr>
                <w:rFonts w:ascii="宋体" w:hAnsi="宋体" w:eastAsia="宋体"/>
                <w:sz w:val="16"/>
              </w:rPr>
              <w:t>记账完成时间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FF87">
            <w:pPr>
              <w:jc w:val="center"/>
            </w:pPr>
            <w:r>
              <w:rPr>
                <w:rFonts w:ascii="宋体" w:hAnsi="宋体" w:eastAsia="宋体"/>
                <w:sz w:val="16"/>
              </w:rPr>
              <w:t>次月15日前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E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18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A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6D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F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CBDD">
            <w:pPr>
              <w:jc w:val="center"/>
            </w:pPr>
            <w:r>
              <w:rPr>
                <w:rFonts w:ascii="宋体" w:hAnsi="宋体" w:eastAsia="宋体"/>
                <w:sz w:val="16"/>
              </w:rPr>
              <w:t>次月15日前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2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C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8708">
            <w:pPr>
              <w:jc w:val="center"/>
            </w:pPr>
          </w:p>
        </w:tc>
      </w:tr>
      <w:tr w14:paraId="0C4CA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FA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19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5A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94FD">
            <w:pPr>
              <w:jc w:val="center"/>
            </w:pPr>
            <w:r>
              <w:rPr>
                <w:rFonts w:ascii="宋体" w:hAnsi="宋体" w:eastAsia="宋体"/>
                <w:sz w:val="16"/>
              </w:rPr>
              <w:t>预决算公开及时率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EC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AB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8A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EA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F1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CA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84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C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99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0852">
            <w:pPr>
              <w:jc w:val="center"/>
            </w:pPr>
          </w:p>
        </w:tc>
      </w:tr>
      <w:tr w14:paraId="73F2C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BD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44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91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131B">
            <w:pPr>
              <w:jc w:val="center"/>
            </w:pPr>
            <w:r>
              <w:rPr>
                <w:rFonts w:ascii="宋体" w:hAnsi="宋体" w:eastAsia="宋体"/>
                <w:sz w:val="16"/>
              </w:rPr>
              <w:t>全县行政事业单位平均代理记账成本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2B42">
            <w:pPr>
              <w:jc w:val="center"/>
            </w:pPr>
            <w:r>
              <w:rPr>
                <w:rFonts w:ascii="宋体" w:hAnsi="宋体" w:eastAsia="宋体"/>
                <w:sz w:val="16"/>
              </w:rPr>
              <w:t>&lt;=2.18万元/家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83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50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20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94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4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1DA5">
            <w:pPr>
              <w:jc w:val="center"/>
            </w:pPr>
            <w:r>
              <w:rPr>
                <w:rFonts w:ascii="宋体" w:hAnsi="宋体" w:eastAsia="宋体"/>
                <w:sz w:val="16"/>
              </w:rPr>
              <w:t>=2.18万元/家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B1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C2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0815">
            <w:pPr>
              <w:jc w:val="center"/>
            </w:pPr>
          </w:p>
        </w:tc>
      </w:tr>
      <w:tr w14:paraId="7EE29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AF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2D2A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CBD1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DFFA">
            <w:pPr>
              <w:jc w:val="center"/>
            </w:pPr>
            <w:r>
              <w:rPr>
                <w:rFonts w:ascii="宋体" w:hAnsi="宋体" w:eastAsia="宋体"/>
                <w:sz w:val="16"/>
              </w:rPr>
              <w:t>缓解财务工作压力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6B1D">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0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B2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CF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C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1C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800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0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E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33CB">
            <w:pPr>
              <w:jc w:val="center"/>
            </w:pPr>
          </w:p>
        </w:tc>
      </w:tr>
      <w:tr w14:paraId="67773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B4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1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7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6966">
            <w:pPr>
              <w:jc w:val="center"/>
            </w:pPr>
            <w:r>
              <w:rPr>
                <w:rFonts w:ascii="宋体" w:hAnsi="宋体" w:eastAsia="宋体"/>
                <w:sz w:val="16"/>
              </w:rPr>
              <w:t>提高行政事业单位会计核算水平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9A7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E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6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7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57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34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59C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3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9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5D8A">
            <w:pPr>
              <w:jc w:val="center"/>
            </w:pPr>
          </w:p>
        </w:tc>
      </w:tr>
      <w:tr w14:paraId="3064E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E56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E4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E5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A9C1">
            <w:pPr>
              <w:jc w:val="center"/>
            </w:pPr>
            <w:r>
              <w:rPr>
                <w:rFonts w:ascii="宋体" w:hAnsi="宋体" w:eastAsia="宋体"/>
                <w:sz w:val="16"/>
              </w:rPr>
              <w:t>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F2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38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5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F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5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AA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B3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9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9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73FA">
            <w:pPr>
              <w:jc w:val="center"/>
            </w:pPr>
          </w:p>
        </w:tc>
      </w:tr>
      <w:tr w14:paraId="540846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8536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6FB9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ABB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0E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9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14A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FE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0DE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75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28C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EBC4D"/>
        </w:tc>
      </w:tr>
    </w:tbl>
    <w:p w14:paraId="7A1CADCC">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3"/>
        <w:gridCol w:w="575"/>
        <w:gridCol w:w="632"/>
        <w:gridCol w:w="632"/>
        <w:gridCol w:w="632"/>
        <w:gridCol w:w="632"/>
        <w:gridCol w:w="632"/>
        <w:gridCol w:w="632"/>
        <w:gridCol w:w="632"/>
        <w:gridCol w:w="696"/>
        <w:gridCol w:w="632"/>
      </w:tblGrid>
      <w:tr w14:paraId="5A28ECD0">
        <w:tblPrEx>
          <w:tblCellMar>
            <w:top w:w="0" w:type="dxa"/>
            <w:left w:w="108" w:type="dxa"/>
            <w:bottom w:w="0" w:type="dxa"/>
            <w:right w:w="108" w:type="dxa"/>
          </w:tblCellMar>
        </w:tblPrEx>
        <w:tc>
          <w:tcPr>
            <w:tcW w:w="8976" w:type="dxa"/>
            <w:gridSpan w:val="14"/>
            <w:vAlign w:val="center"/>
          </w:tcPr>
          <w:p w14:paraId="71193463">
            <w:pPr>
              <w:jc w:val="center"/>
            </w:pPr>
            <w:r>
              <w:rPr>
                <w:rFonts w:ascii="宋体" w:hAnsi="宋体" w:eastAsia="宋体"/>
                <w:sz w:val="24"/>
              </w:rPr>
              <w:t>项目支出绩效自评表</w:t>
            </w:r>
          </w:p>
        </w:tc>
      </w:tr>
      <w:tr w14:paraId="53D954FD">
        <w:tblPrEx>
          <w:tblCellMar>
            <w:top w:w="0" w:type="dxa"/>
            <w:left w:w="108" w:type="dxa"/>
            <w:bottom w:w="0" w:type="dxa"/>
            <w:right w:w="108" w:type="dxa"/>
          </w:tblCellMar>
        </w:tblPrEx>
        <w:tc>
          <w:tcPr>
            <w:tcW w:w="8976" w:type="dxa"/>
            <w:gridSpan w:val="14"/>
            <w:vAlign w:val="center"/>
          </w:tcPr>
          <w:p w14:paraId="6552C379">
            <w:pPr>
              <w:jc w:val="center"/>
            </w:pPr>
            <w:r>
              <w:rPr>
                <w:rFonts w:ascii="宋体" w:hAnsi="宋体" w:eastAsia="宋体"/>
                <w:sz w:val="24"/>
              </w:rPr>
              <w:t>(2024年度)</w:t>
            </w:r>
          </w:p>
        </w:tc>
      </w:tr>
      <w:tr w14:paraId="76319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7012">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30EC22">
            <w:pPr>
              <w:jc w:val="center"/>
            </w:pPr>
            <w:r>
              <w:rPr>
                <w:rFonts w:ascii="宋体" w:hAnsi="宋体" w:eastAsia="宋体"/>
                <w:sz w:val="16"/>
              </w:rPr>
              <w:t>轮台县2023年、2024年预算绩效管理服务</w:t>
            </w:r>
          </w:p>
        </w:tc>
      </w:tr>
      <w:tr w14:paraId="79E946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B122">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7343D">
            <w:pPr>
              <w:jc w:val="center"/>
            </w:pPr>
            <w:r>
              <w:rPr>
                <w:rFonts w:ascii="宋体" w:hAnsi="宋体" w:eastAsia="宋体"/>
                <w:sz w:val="16"/>
              </w:rPr>
              <w:t>新疆轮台县财政局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F18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7A8A9">
            <w:pPr>
              <w:jc w:val="center"/>
            </w:pPr>
            <w:r>
              <w:rPr>
                <w:rFonts w:ascii="宋体" w:hAnsi="宋体" w:eastAsia="宋体"/>
                <w:sz w:val="16"/>
              </w:rPr>
              <w:t>新疆轮台县财政局</w:t>
            </w:r>
          </w:p>
        </w:tc>
      </w:tr>
      <w:tr w14:paraId="46BA4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F23F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381F5">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EDB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552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38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DA8D">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7E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E473">
            <w:pPr>
              <w:jc w:val="center"/>
            </w:pPr>
            <w:r>
              <w:rPr>
                <w:rFonts w:ascii="宋体" w:hAnsi="宋体" w:eastAsia="宋体"/>
                <w:sz w:val="16"/>
              </w:rPr>
              <w:t>得分</w:t>
            </w:r>
          </w:p>
        </w:tc>
      </w:tr>
      <w:tr w14:paraId="717738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386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0C36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C662">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0A317">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02AE7">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7F289">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35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0459">
            <w:pPr>
              <w:jc w:val="center"/>
            </w:pPr>
            <w:r>
              <w:rPr>
                <w:rFonts w:ascii="宋体" w:hAnsi="宋体" w:eastAsia="宋体"/>
                <w:sz w:val="16"/>
              </w:rPr>
              <w:t>10.00</w:t>
            </w:r>
          </w:p>
        </w:tc>
      </w:tr>
      <w:tr w14:paraId="789D3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CE6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9225">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33C28">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A90C9">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D523">
            <w:pPr>
              <w:jc w:val="center"/>
            </w:pPr>
            <w:r>
              <w:rPr>
                <w:rFonts w:ascii="宋体" w:hAnsi="宋体" w:eastAsia="宋体"/>
                <w:sz w:val="16"/>
              </w:rPr>
              <w:t>79.60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995B">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C3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26E3">
            <w:pPr>
              <w:jc w:val="center"/>
            </w:pPr>
            <w:r>
              <w:rPr>
                <w:rFonts w:ascii="宋体" w:hAnsi="宋体" w:eastAsia="宋体"/>
                <w:sz w:val="16"/>
              </w:rPr>
              <w:t>-</w:t>
            </w:r>
          </w:p>
        </w:tc>
      </w:tr>
      <w:tr w14:paraId="33BB3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F85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F6963">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37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C4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2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07E94">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7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26DA">
            <w:pPr>
              <w:jc w:val="center"/>
            </w:pPr>
            <w:r>
              <w:rPr>
                <w:rFonts w:ascii="宋体" w:hAnsi="宋体" w:eastAsia="宋体"/>
                <w:sz w:val="16"/>
              </w:rPr>
              <w:t>-</w:t>
            </w:r>
          </w:p>
        </w:tc>
      </w:tr>
      <w:tr w14:paraId="5E012D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105EC">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5F472">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01226A">
            <w:pPr>
              <w:jc w:val="center"/>
            </w:pPr>
            <w:r>
              <w:rPr>
                <w:rFonts w:ascii="宋体" w:hAnsi="宋体" w:eastAsia="宋体"/>
                <w:sz w:val="16"/>
              </w:rPr>
              <w:t>总体目标完成情况</w:t>
            </w:r>
          </w:p>
        </w:tc>
      </w:tr>
      <w:tr w14:paraId="3BF16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7E6A1"/>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C1F5C">
            <w:pPr>
              <w:jc w:val="both"/>
            </w:pPr>
            <w:r>
              <w:rPr>
                <w:rFonts w:ascii="宋体" w:hAnsi="宋体" w:eastAsia="宋体"/>
                <w:sz w:val="16"/>
              </w:rPr>
              <w:t>为落实自治区财政厅《自治区全面实施预算绩效管理的工作方案》（新财预〔2018〕158号）文件要求，全面推进本县全面实施预算绩效管理：</w:t>
            </w:r>
            <w:r>
              <w:rPr>
                <w:rFonts w:ascii="宋体" w:hAnsi="宋体" w:eastAsia="宋体"/>
                <w:sz w:val="16"/>
              </w:rPr>
              <w:br w:type="textWrapping"/>
            </w:r>
            <w:r>
              <w:rPr>
                <w:rFonts w:ascii="宋体" w:hAnsi="宋体" w:eastAsia="宋体"/>
                <w:sz w:val="16"/>
              </w:rPr>
              <w:t>目标1：计划聘请专业第三方对全县110家预算单位开展绩效相关工作审核，提升单位申报绩效工作质量，提高单位开展绩效工作效率，提高预算管理水平和政策实施效果。</w:t>
            </w:r>
            <w:r>
              <w:rPr>
                <w:rFonts w:ascii="宋体" w:hAnsi="宋体" w:eastAsia="宋体"/>
                <w:sz w:val="16"/>
              </w:rPr>
              <w:br w:type="textWrapping"/>
            </w:r>
            <w:r>
              <w:rPr>
                <w:rFonts w:ascii="宋体" w:hAnsi="宋体" w:eastAsia="宋体"/>
                <w:sz w:val="16"/>
              </w:rPr>
              <w:t>目标2：完成重点项目评价不少于10个，提高财政资源配置效率和使用效益。</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E2B3F">
            <w:pPr>
              <w:jc w:val="both"/>
            </w:pPr>
            <w:r>
              <w:rPr>
                <w:rFonts w:ascii="宋体" w:hAnsi="宋体" w:eastAsia="宋体"/>
                <w:sz w:val="16"/>
              </w:rPr>
              <w:t>落实自治区财政厅《自治区全面实施预算绩效管理的工作方案》（新财预〔2018〕158号）文件要求，</w:t>
            </w:r>
            <w:r>
              <w:rPr>
                <w:rFonts w:hint="eastAsia" w:ascii="宋体" w:hAnsi="宋体"/>
                <w:sz w:val="16"/>
                <w:lang w:eastAsia="zh-CN"/>
              </w:rPr>
              <w:t>本单位</w:t>
            </w:r>
            <w:r>
              <w:rPr>
                <w:rFonts w:ascii="宋体" w:hAnsi="宋体" w:eastAsia="宋体"/>
                <w:sz w:val="16"/>
              </w:rPr>
              <w:t>晚会层了轮台县2023年、2024年预算绩效管理服务项目，全面推进了本县全面实施预算绩效管理工作，聘请专业第三方对全县110家预算单位开展绩效相关工作审核，提升了单位申报绩效工作质量，提高了单位开展绩效工作效率，落实了预算管理水平和政策实施的效果。完成了重点项目评价2个，有效提高了财政资源配置效率和使用效益。</w:t>
            </w:r>
          </w:p>
        </w:tc>
      </w:tr>
      <w:tr w14:paraId="7EFA6C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F5D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01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90C4">
            <w:pPr>
              <w:jc w:val="center"/>
            </w:pPr>
            <w:r>
              <w:rPr>
                <w:rFonts w:ascii="宋体" w:hAnsi="宋体" w:eastAsia="宋体"/>
                <w:sz w:val="16"/>
              </w:rPr>
              <w:t>二级指标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2C06068">
            <w:pPr>
              <w:jc w:val="center"/>
            </w:pPr>
            <w:r>
              <w:rPr>
                <w:rFonts w:ascii="宋体" w:hAnsi="宋体" w:eastAsia="宋体"/>
                <w:sz w:val="16"/>
              </w:rPr>
              <w:t>三级指标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EC1947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85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0A8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4B3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39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49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CF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5E75">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30007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0857">
            <w:pPr>
              <w:jc w:val="center"/>
            </w:pPr>
            <w:r>
              <w:rPr>
                <w:rFonts w:ascii="宋体" w:hAnsi="宋体" w:eastAsia="宋体"/>
                <w:sz w:val="16"/>
              </w:rPr>
              <w:t>偏差原因分析及改进措施</w:t>
            </w:r>
          </w:p>
        </w:tc>
      </w:tr>
      <w:tr w14:paraId="1005ED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151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339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0C147">
            <w:pPr>
              <w:jc w:val="center"/>
            </w:pPr>
            <w:r>
              <w:rPr>
                <w:rFonts w:ascii="宋体" w:hAnsi="宋体" w:eastAsia="宋体"/>
                <w:sz w:val="16"/>
              </w:rPr>
              <w:t>数量指标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09BCA7A0">
            <w:pPr>
              <w:jc w:val="center"/>
            </w:pPr>
            <w:r>
              <w:rPr>
                <w:rFonts w:ascii="宋体" w:hAnsi="宋体" w:eastAsia="宋体"/>
                <w:sz w:val="16"/>
              </w:rPr>
              <w:t>绩效审核覆盖单位数量</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3BEF1CF">
            <w:pPr>
              <w:jc w:val="center"/>
            </w:pPr>
            <w:r>
              <w:rPr>
                <w:rFonts w:ascii="宋体" w:hAnsi="宋体" w:eastAsia="宋体"/>
                <w:sz w:val="16"/>
              </w:rPr>
              <w:t>&gt;=110家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D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F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55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5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B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1690">
            <w:pPr>
              <w:jc w:val="center"/>
            </w:pPr>
            <w:r>
              <w:rPr>
                <w:rFonts w:ascii="宋体" w:hAnsi="宋体" w:eastAsia="宋体"/>
                <w:sz w:val="16"/>
              </w:rPr>
              <w:t>=110家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255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7F49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5529">
            <w:pPr>
              <w:jc w:val="center"/>
            </w:pPr>
          </w:p>
        </w:tc>
      </w:tr>
      <w:tr w14:paraId="78E75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06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E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B27F1"/>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51A80C22">
            <w:pPr>
              <w:jc w:val="center"/>
            </w:pPr>
            <w:r>
              <w:rPr>
                <w:rFonts w:ascii="宋体" w:hAnsi="宋体" w:eastAsia="宋体"/>
                <w:sz w:val="16"/>
              </w:rPr>
              <w:t>完成重点项目评价数量</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C7590A7">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A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CE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61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D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1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266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3D0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2BD7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83A5">
            <w:pPr>
              <w:jc w:val="center"/>
            </w:pPr>
          </w:p>
        </w:tc>
      </w:tr>
      <w:tr w14:paraId="0FD50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584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C3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7D76F">
            <w:pPr>
              <w:jc w:val="center"/>
            </w:pPr>
            <w:r>
              <w:rPr>
                <w:rFonts w:ascii="宋体" w:hAnsi="宋体" w:eastAsia="宋体"/>
                <w:sz w:val="16"/>
              </w:rPr>
              <w:t>质量指标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FE63568">
            <w:pPr>
              <w:jc w:val="center"/>
            </w:pPr>
            <w:r>
              <w:rPr>
                <w:rFonts w:ascii="宋体" w:hAnsi="宋体" w:eastAsia="宋体"/>
                <w:sz w:val="16"/>
              </w:rPr>
              <w:t>绩效审核质量合格率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98C339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3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61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A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C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58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328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8A4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DC9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7950">
            <w:pPr>
              <w:jc w:val="center"/>
            </w:pPr>
          </w:p>
        </w:tc>
      </w:tr>
      <w:tr w14:paraId="5CE31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AE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3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E6E35"/>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A156E84">
            <w:pPr>
              <w:jc w:val="center"/>
            </w:pPr>
            <w:r>
              <w:rPr>
                <w:rFonts w:ascii="宋体" w:hAnsi="宋体" w:eastAsia="宋体"/>
                <w:sz w:val="16"/>
              </w:rPr>
              <w:t>重点项目评价审核通过率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271547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0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A5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78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1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5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2E1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A42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122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D8C5">
            <w:pPr>
              <w:jc w:val="center"/>
            </w:pPr>
          </w:p>
        </w:tc>
      </w:tr>
      <w:tr w14:paraId="1CF57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04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27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68C29">
            <w:pPr>
              <w:jc w:val="center"/>
            </w:pPr>
            <w:r>
              <w:rPr>
                <w:rFonts w:ascii="宋体" w:hAnsi="宋体" w:eastAsia="宋体"/>
                <w:sz w:val="16"/>
              </w:rPr>
              <w:t>时效指标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1251D555">
            <w:pPr>
              <w:jc w:val="center"/>
            </w:pPr>
            <w:r>
              <w:rPr>
                <w:rFonts w:ascii="宋体" w:hAnsi="宋体" w:eastAsia="宋体"/>
                <w:sz w:val="16"/>
              </w:rPr>
              <w:t>绩效节点工作审核完成及时率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C2CB27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7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5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C2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77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8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6DB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727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6B59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37A4">
            <w:pPr>
              <w:jc w:val="center"/>
            </w:pPr>
          </w:p>
        </w:tc>
      </w:tr>
      <w:tr w14:paraId="3F787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0B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B1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812E2"/>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2E2DBE33">
            <w:pPr>
              <w:jc w:val="center"/>
            </w:pPr>
            <w:r>
              <w:rPr>
                <w:rFonts w:ascii="宋体" w:hAnsi="宋体" w:eastAsia="宋体"/>
                <w:sz w:val="16"/>
              </w:rPr>
              <w:t>重点项目评价完成及时率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EBD697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E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7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1A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3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B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700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6D6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6141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621F">
            <w:pPr>
              <w:jc w:val="center"/>
            </w:pPr>
          </w:p>
        </w:tc>
      </w:tr>
      <w:tr w14:paraId="0A403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AE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83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96A2">
            <w:pPr>
              <w:jc w:val="center"/>
            </w:pPr>
            <w:r>
              <w:rPr>
                <w:rFonts w:ascii="宋体" w:hAnsi="宋体" w:eastAsia="宋体"/>
                <w:sz w:val="16"/>
              </w:rPr>
              <w:t>经济成本指标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047886E2">
            <w:pPr>
              <w:jc w:val="center"/>
            </w:pPr>
            <w:r>
              <w:rPr>
                <w:rFonts w:ascii="宋体" w:hAnsi="宋体" w:eastAsia="宋体"/>
                <w:sz w:val="16"/>
              </w:rPr>
              <w:t>预算控制率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4289B2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38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F0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63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F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5D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7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454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88DA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7F73">
            <w:pPr>
              <w:jc w:val="center"/>
            </w:pPr>
          </w:p>
        </w:tc>
      </w:tr>
      <w:tr w14:paraId="5D80E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227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F7B8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43863">
            <w:pPr>
              <w:jc w:val="center"/>
            </w:pPr>
            <w:r>
              <w:rPr>
                <w:rFonts w:ascii="宋体" w:hAnsi="宋体" w:eastAsia="宋体"/>
                <w:sz w:val="16"/>
              </w:rPr>
              <w:t>社会效益指标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02E42FF9">
            <w:pPr>
              <w:jc w:val="center"/>
            </w:pPr>
            <w:r>
              <w:rPr>
                <w:rFonts w:ascii="宋体" w:hAnsi="宋体" w:eastAsia="宋体"/>
                <w:sz w:val="16"/>
              </w:rPr>
              <w:t>提升单位申报绩效工作质量</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04D2B3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80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1E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CE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2E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9E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B45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6C1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64A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0CFB">
            <w:pPr>
              <w:jc w:val="center"/>
            </w:pPr>
          </w:p>
        </w:tc>
      </w:tr>
      <w:tr w14:paraId="01AEC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76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83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44AEA"/>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ED4EFC4">
            <w:pPr>
              <w:jc w:val="center"/>
            </w:pPr>
            <w:r>
              <w:rPr>
                <w:rFonts w:ascii="宋体" w:hAnsi="宋体" w:eastAsia="宋体"/>
                <w:sz w:val="16"/>
              </w:rPr>
              <w:t>提高单位开展绩效工作效率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1722D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B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1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B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77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BA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910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026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FC4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1D5D">
            <w:pPr>
              <w:jc w:val="center"/>
            </w:pPr>
          </w:p>
        </w:tc>
      </w:tr>
      <w:tr w14:paraId="46EE1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DB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01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1102">
            <w:pPr>
              <w:jc w:val="center"/>
            </w:pPr>
            <w:r>
              <w:rPr>
                <w:rFonts w:ascii="宋体" w:hAnsi="宋体" w:eastAsia="宋体"/>
                <w:sz w:val="16"/>
              </w:rPr>
              <w:t>满意度指标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416A07C5">
            <w:pPr>
              <w:jc w:val="center"/>
            </w:pPr>
            <w:r>
              <w:rPr>
                <w:rFonts w:ascii="宋体" w:hAnsi="宋体" w:eastAsia="宋体"/>
                <w:sz w:val="16"/>
              </w:rPr>
              <w:t>单位满意度</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5CA2EC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44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A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B3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CF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E7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AD7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4F4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930D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7F31">
            <w:pPr>
              <w:jc w:val="center"/>
            </w:pPr>
          </w:p>
        </w:tc>
      </w:tr>
      <w:tr w14:paraId="65A15BCF">
        <w:tblPrEx>
          <w:tblCellMar>
            <w:top w:w="0" w:type="dxa"/>
            <w:left w:w="108" w:type="dxa"/>
            <w:bottom w:w="0" w:type="dxa"/>
            <w:right w:w="108" w:type="dxa"/>
          </w:tblCellMar>
        </w:tblPrEx>
        <w:tc>
          <w:tcPr>
            <w:tcW w:w="26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114FB8">
            <w:pPr>
              <w:jc w:val="center"/>
            </w:pPr>
            <w:r>
              <w:rPr>
                <w:rFonts w:ascii="宋体" w:hAnsi="宋体" w:eastAsia="宋体"/>
                <w:sz w:val="16"/>
              </w:rPr>
              <w:t>总分</w:t>
            </w:r>
          </w:p>
        </w:tc>
        <w:tc>
          <w:tcPr>
            <w:tcW w:w="575" w:type="dxa"/>
            <w:tcBorders>
              <w:top w:val="single" w:color="auto" w:sz="10" w:space="0"/>
              <w:left w:val="single" w:color="auto" w:sz="10" w:space="0"/>
              <w:bottom w:val="single" w:color="auto" w:sz="10" w:space="0"/>
              <w:right w:val="single" w:color="auto" w:sz="10" w:space="0"/>
              <w:insideV w:val="single" w:sz="10" w:space="0"/>
            </w:tcBorders>
          </w:tcPr>
          <w:p w14:paraId="72B72D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D00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D0C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0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CB7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3095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26F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028D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64D9D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41656"/>
        </w:tc>
      </w:tr>
    </w:tbl>
    <w:p w14:paraId="37438924">
      <w:r>
        <w:br w:type="page"/>
      </w:r>
    </w:p>
    <w:p w14:paraId="0CFD53AA">
      <w:pPr>
        <w:spacing w:line="640" w:lineRule="exact"/>
        <w:ind w:firstLine="640"/>
        <w:jc w:val="both"/>
        <w:outlineLvl w:val="2"/>
      </w:pPr>
      <w:r>
        <w:rPr>
          <w:rFonts w:ascii="黑体" w:hAnsi="黑体" w:eastAsia="黑体"/>
          <w:sz w:val="32"/>
        </w:rPr>
        <w:t>十二、其他需说明的事项</w:t>
      </w:r>
    </w:p>
    <w:p w14:paraId="352D37EB">
      <w:pPr>
        <w:spacing w:line="580" w:lineRule="exact"/>
        <w:ind w:firstLine="640"/>
        <w:jc w:val="both"/>
      </w:pPr>
      <w:r>
        <w:rPr>
          <w:rFonts w:ascii="仿宋_GB2312" w:hAnsi="仿宋_GB2312" w:eastAsia="仿宋_GB2312"/>
          <w:b w:val="0"/>
          <w:sz w:val="32"/>
        </w:rPr>
        <w:t>本单位无其他需说明的事项。</w:t>
      </w:r>
    </w:p>
    <w:p w14:paraId="289B5E6D">
      <w:r>
        <w:br w:type="page"/>
      </w:r>
    </w:p>
    <w:p w14:paraId="471539ED">
      <w:pPr>
        <w:spacing w:line="240" w:lineRule="auto"/>
        <w:jc w:val="center"/>
        <w:outlineLvl w:val="1"/>
      </w:pPr>
      <w:r>
        <w:rPr>
          <w:rFonts w:ascii="黑体" w:hAnsi="黑体" w:eastAsia="黑体"/>
          <w:sz w:val="32"/>
        </w:rPr>
        <w:t>第三部分 专业名词解释</w:t>
      </w:r>
    </w:p>
    <w:p w14:paraId="4B2A90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9AC5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6C17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BBED8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22340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6670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09F0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739AE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14CC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50FA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0B40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C515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845B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5F2A4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EB5631">
      <w:r>
        <w:br w:type="page"/>
      </w:r>
    </w:p>
    <w:p w14:paraId="25064637">
      <w:pPr>
        <w:spacing w:line="240" w:lineRule="auto"/>
        <w:jc w:val="center"/>
        <w:outlineLvl w:val="1"/>
      </w:pPr>
      <w:r>
        <w:rPr>
          <w:rFonts w:ascii="黑体" w:hAnsi="黑体" w:eastAsia="黑体"/>
          <w:sz w:val="32"/>
        </w:rPr>
        <w:t>第四部分 部门决算报表（见附表）</w:t>
      </w:r>
    </w:p>
    <w:p w14:paraId="1A1BDFB5">
      <w:pPr>
        <w:spacing w:line="240" w:lineRule="auto"/>
        <w:ind w:firstLine="640"/>
        <w:jc w:val="both"/>
      </w:pPr>
      <w:r>
        <w:rPr>
          <w:rFonts w:ascii="仿宋_GB2312" w:hAnsi="仿宋_GB2312" w:eastAsia="仿宋_GB2312"/>
          <w:b w:val="0"/>
          <w:sz w:val="32"/>
        </w:rPr>
        <w:t>一、《收入支出决算总表》</w:t>
      </w:r>
    </w:p>
    <w:p w14:paraId="05562669">
      <w:pPr>
        <w:spacing w:line="240" w:lineRule="auto"/>
        <w:ind w:firstLine="640"/>
        <w:jc w:val="both"/>
      </w:pPr>
      <w:r>
        <w:rPr>
          <w:rFonts w:ascii="仿宋_GB2312" w:hAnsi="仿宋_GB2312" w:eastAsia="仿宋_GB2312"/>
          <w:b w:val="0"/>
          <w:sz w:val="32"/>
        </w:rPr>
        <w:t>二、《收入决算表》</w:t>
      </w:r>
    </w:p>
    <w:p w14:paraId="0FE3F9FD">
      <w:pPr>
        <w:spacing w:line="240" w:lineRule="auto"/>
        <w:ind w:firstLine="640"/>
        <w:jc w:val="both"/>
      </w:pPr>
      <w:r>
        <w:rPr>
          <w:rFonts w:ascii="仿宋_GB2312" w:hAnsi="仿宋_GB2312" w:eastAsia="仿宋_GB2312"/>
          <w:b w:val="0"/>
          <w:sz w:val="32"/>
        </w:rPr>
        <w:t>三、《支出决算表》</w:t>
      </w:r>
    </w:p>
    <w:p w14:paraId="081F2FAF">
      <w:pPr>
        <w:spacing w:line="240" w:lineRule="auto"/>
        <w:ind w:firstLine="640"/>
        <w:jc w:val="both"/>
      </w:pPr>
      <w:r>
        <w:rPr>
          <w:rFonts w:ascii="仿宋_GB2312" w:hAnsi="仿宋_GB2312" w:eastAsia="仿宋_GB2312"/>
          <w:b w:val="0"/>
          <w:sz w:val="32"/>
        </w:rPr>
        <w:t>四、《财政拨款收入支出决算总表》</w:t>
      </w:r>
    </w:p>
    <w:p w14:paraId="1500EA47">
      <w:pPr>
        <w:spacing w:line="240" w:lineRule="auto"/>
        <w:ind w:firstLine="640"/>
        <w:jc w:val="both"/>
      </w:pPr>
      <w:r>
        <w:rPr>
          <w:rFonts w:ascii="仿宋_GB2312" w:hAnsi="仿宋_GB2312" w:eastAsia="仿宋_GB2312"/>
          <w:b w:val="0"/>
          <w:sz w:val="32"/>
        </w:rPr>
        <w:t>五、《一般公共预算财政拨款支出决算表》</w:t>
      </w:r>
    </w:p>
    <w:p w14:paraId="6FD50262">
      <w:pPr>
        <w:spacing w:line="240" w:lineRule="auto"/>
        <w:ind w:firstLine="640"/>
        <w:jc w:val="both"/>
      </w:pPr>
      <w:r>
        <w:rPr>
          <w:rFonts w:ascii="仿宋_GB2312" w:hAnsi="仿宋_GB2312" w:eastAsia="仿宋_GB2312"/>
          <w:b w:val="0"/>
          <w:sz w:val="32"/>
        </w:rPr>
        <w:t>六、《一般公共预算财政拨款基本支出决算表》</w:t>
      </w:r>
    </w:p>
    <w:p w14:paraId="4E56D741">
      <w:pPr>
        <w:spacing w:line="240" w:lineRule="auto"/>
        <w:ind w:firstLine="640"/>
        <w:jc w:val="both"/>
      </w:pPr>
      <w:r>
        <w:rPr>
          <w:rFonts w:ascii="仿宋_GB2312" w:hAnsi="仿宋_GB2312" w:eastAsia="仿宋_GB2312"/>
          <w:b w:val="0"/>
          <w:sz w:val="32"/>
        </w:rPr>
        <w:t>七、《政府性基金预算财政拨款收入支出决算表》</w:t>
      </w:r>
    </w:p>
    <w:p w14:paraId="0EF1DBC4">
      <w:pPr>
        <w:spacing w:line="240" w:lineRule="auto"/>
        <w:ind w:firstLine="640"/>
        <w:jc w:val="both"/>
      </w:pPr>
      <w:r>
        <w:rPr>
          <w:rFonts w:ascii="仿宋_GB2312" w:hAnsi="仿宋_GB2312" w:eastAsia="仿宋_GB2312"/>
          <w:b w:val="0"/>
          <w:sz w:val="32"/>
        </w:rPr>
        <w:t>八、《国有资本经营预算财政拨款收入支出决算表》</w:t>
      </w:r>
    </w:p>
    <w:p w14:paraId="337B0D85">
      <w:pPr>
        <w:spacing w:line="240" w:lineRule="auto"/>
        <w:ind w:firstLine="640"/>
        <w:jc w:val="both"/>
      </w:pPr>
      <w:r>
        <w:rPr>
          <w:rFonts w:ascii="仿宋_GB2312" w:hAnsi="仿宋_GB2312" w:eastAsia="仿宋_GB2312"/>
          <w:b w:val="0"/>
          <w:sz w:val="32"/>
        </w:rPr>
        <w:t>九、《财政拨款“三公”经费支出决算表》</w:t>
      </w:r>
    </w:p>
    <w:p w14:paraId="101BC63B">
      <w:pPr>
        <w:spacing w:line="240" w:lineRule="auto"/>
        <w:ind w:firstLine="640"/>
        <w:jc w:val="both"/>
      </w:pPr>
    </w:p>
    <w:p w14:paraId="7ABED921">
      <w:pPr>
        <w:spacing w:line="240" w:lineRule="auto"/>
        <w:ind w:firstLine="640"/>
        <w:jc w:val="both"/>
      </w:pPr>
    </w:p>
    <w:p w14:paraId="6CCD8696">
      <w:pPr>
        <w:spacing w:line="240" w:lineRule="auto"/>
        <w:ind w:firstLine="640"/>
        <w:jc w:val="both"/>
      </w:pPr>
    </w:p>
    <w:p w14:paraId="32FF18C0">
      <w:pPr>
        <w:spacing w:line="240" w:lineRule="auto"/>
        <w:ind w:firstLine="640"/>
        <w:jc w:val="both"/>
      </w:pPr>
    </w:p>
    <w:p w14:paraId="192DCC3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294EB3-1E22-4A6B-ACAB-3388CDB334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86C474A-1170-4A58-B8D3-7965BDF44ADF}"/>
  </w:font>
  <w:font w:name="仿宋_GB2312">
    <w:panose1 w:val="02010609030101010101"/>
    <w:charset w:val="86"/>
    <w:family w:val="modern"/>
    <w:pitch w:val="default"/>
    <w:sig w:usb0="00000001" w:usb1="080E0000" w:usb2="00000000" w:usb3="00000000" w:csb0="00040000" w:csb1="00000000"/>
    <w:embedRegular r:id="rId3" w:fontKey="{56CCBA13-2D5B-4E2A-8841-71AF4D58C931}"/>
  </w:font>
  <w:font w:name="楷体_GB2312">
    <w:panose1 w:val="02010609030101010101"/>
    <w:charset w:val="86"/>
    <w:family w:val="auto"/>
    <w:pitch w:val="default"/>
    <w:sig w:usb0="00000001" w:usb1="080E0000" w:usb2="00000000" w:usb3="00000000" w:csb0="00040000" w:csb1="00000000"/>
    <w:embedRegular r:id="rId4" w:fontKey="{0B107027-1715-4E7E-B234-2597DE6011B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D128E3"/>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066F9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6057</Words>
  <Characters>6840</Characters>
  <Lines>0</Lines>
  <Paragraphs>0</Paragraphs>
  <TotalTime>7</TotalTime>
  <ScaleCrop>false</ScaleCrop>
  <LinksUpToDate>false</LinksUpToDate>
  <CharactersWithSpaces>6848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