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轮台县交通运输局2024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A307B3A">
      <w:r>
        <w:br w:type="page"/>
      </w:r>
    </w:p>
    <w:p w14:paraId="54535AFA">
      <w:pPr>
        <w:spacing w:line="640" w:lineRule="exact"/>
        <w:jc w:val="center"/>
        <w:outlineLvl w:val="1"/>
      </w:pPr>
      <w:r>
        <w:rPr>
          <w:rFonts w:ascii="黑体" w:hAnsi="黑体" w:eastAsia="黑体"/>
          <w:sz w:val="32"/>
        </w:rPr>
        <w:t>第一部分 单位概况</w:t>
      </w:r>
    </w:p>
    <w:p w14:paraId="37B5FB8F">
      <w:pPr>
        <w:spacing w:line="640" w:lineRule="exact"/>
        <w:ind w:firstLine="640"/>
        <w:jc w:val="both"/>
        <w:outlineLvl w:val="2"/>
      </w:pPr>
      <w:r>
        <w:rPr>
          <w:rFonts w:ascii="黑体" w:hAnsi="黑体" w:eastAsia="黑体"/>
          <w:sz w:val="32"/>
        </w:rPr>
        <w:t>一、主要职能</w:t>
      </w:r>
    </w:p>
    <w:p w14:paraId="2FDC5148">
      <w:pPr>
        <w:spacing w:line="580" w:lineRule="exact"/>
        <w:ind w:firstLine="640"/>
        <w:jc w:val="both"/>
      </w:pPr>
      <w:r>
        <w:rPr>
          <w:rFonts w:ascii="仿宋_GB2312" w:hAnsi="仿宋_GB2312" w:eastAsia="仿宋_GB2312"/>
          <w:sz w:val="32"/>
        </w:rPr>
        <w:t>（一）将轮台县本级道路运输、地方海事局与交通运输各类行政执法队伍整合，组建交通运输综合行政执法队伍，在新疆巴州轮台县交通运输局加挂“轮台县交通运输综合行政执法大队”牌子，实行“局队合一”体制，负责本行政区域内县、乡、村级农村公路路政行政执法、公路工程质量监督行政执法和道路运输、地方海事领域的行政执法工作。</w:t>
      </w:r>
    </w:p>
    <w:p w14:paraId="585BF4D7">
      <w:pPr>
        <w:spacing w:line="580" w:lineRule="exact"/>
        <w:ind w:firstLine="640"/>
        <w:jc w:val="both"/>
      </w:pPr>
      <w:r>
        <w:rPr>
          <w:rFonts w:ascii="仿宋_GB2312" w:hAnsi="仿宋_GB2312" w:eastAsia="仿宋_GB2312"/>
          <w:sz w:val="32"/>
        </w:rPr>
        <w:t>（二）将轮台县道路运输管理局承担的行政管理、行政执法职责划转至县交通运输局，轮台县交通运输局增加以下职责。</w:t>
      </w:r>
    </w:p>
    <w:p w14:paraId="2438FF8A">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负责制定县域内道路运输、城市客运发展规划；制定交通运输综合行政执法规划、管理制度等。</w:t>
      </w:r>
    </w:p>
    <w:p w14:paraId="645ABB06">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负责职责范围内的道路运输经营、地方海事领域的行政许可工作。</w:t>
      </w:r>
    </w:p>
    <w:p w14:paraId="7CADC572">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负责道路运输、地方海事领域、渔业船舶检测等方面的行政执法工作。</w:t>
      </w:r>
    </w:p>
    <w:p w14:paraId="7DF91704">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负责对职责范围内公民、法人或者其他组织遵守交通行政管理法律、法规、规章的情况进行监督检查、受理投诉，依法纠正和查处违法违规行为。</w:t>
      </w:r>
    </w:p>
    <w:p w14:paraId="325F0880">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统筹组织、指挥协调全县交通运输行业的专项整治；负责组织查处全县交通运输行业违法案件。</w:t>
      </w:r>
    </w:p>
    <w:p w14:paraId="3A0E8C89">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负责全县交通运输行业安全生产执法工作；参与交通运输安全事故调查和应急处置工作。</w:t>
      </w:r>
    </w:p>
    <w:p w14:paraId="7A7595A9">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承担全县交通运输行政执法队伍的教育培训、考核、监督和行风建设工作。</w:t>
      </w:r>
    </w:p>
    <w:p w14:paraId="1BAEE50A">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依法履行法律法规赋予的其他职责。</w:t>
      </w:r>
    </w:p>
    <w:p w14:paraId="4103B4DF">
      <w:pPr>
        <w:spacing w:line="580" w:lineRule="exact"/>
        <w:ind w:firstLine="640"/>
        <w:jc w:val="both"/>
      </w:pPr>
      <w:r>
        <w:rPr>
          <w:rFonts w:ascii="仿宋_GB2312" w:hAnsi="仿宋_GB2312" w:eastAsia="仿宋_GB2312"/>
          <w:sz w:val="32"/>
        </w:rPr>
        <w:t>（三）将轮台县道路运输管理局承担的相关事业职责划转至轮台县农村公路路政稽查队，轮台县农村公路路政稽查队增加以下职能。</w:t>
      </w:r>
    </w:p>
    <w:p w14:paraId="28314F10">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负责道路运输行业法治宣传教育。负责对道路运输经营者和从业人员实行质量信誉考核制度。参与拟订并组织、协调本地道路客运、货运、机动车维修、机动车驾驶培训、机动车综合性能检测、货运代理(代办)、汽车租赁、道路运输物流发展规划工作。负责开展本行政区域道路行业统计、经济运行分析。</w:t>
      </w:r>
    </w:p>
    <w:p w14:paraId="2B3A866D">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运输行业信息服务。向社会公布12328交通运输服务监督电话，受理服务质量投诉和咨询服务。向社会提供道路运输从业人员相关从业信息的查询服务。为公众提供全区汽车维修求援网络建设的组织与信息服务。制定</w:t>
      </w:r>
      <w:r>
        <w:rPr>
          <w:rFonts w:hint="eastAsia" w:ascii="仿宋_GB2312" w:hAnsi="仿宋_GB2312" w:eastAsia="仿宋_GB2312"/>
          <w:sz w:val="32"/>
          <w:lang w:eastAsia="zh-CN"/>
        </w:rPr>
        <w:t>救援</w:t>
      </w:r>
      <w:r>
        <w:rPr>
          <w:rFonts w:ascii="仿宋_GB2312" w:hAnsi="仿宋_GB2312" w:eastAsia="仿宋_GB2312"/>
          <w:sz w:val="32"/>
        </w:rPr>
        <w:t>服务规范并发布。推广现代信息技术，做好道路运输行业相关业务和车辆技术的信息资源共享。</w:t>
      </w:r>
    </w:p>
    <w:p w14:paraId="1429FE5A">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发放和管理道路运输证牌、客票、路单、运单和费用结算凭证。</w:t>
      </w:r>
    </w:p>
    <w:p w14:paraId="46103E8B">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推进全县道路运输行业节能减排工作、宣传节能减排政策。</w:t>
      </w:r>
    </w:p>
    <w:p w14:paraId="31C22644">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维护船舶航行、停泊秩序。</w:t>
      </w:r>
    </w:p>
    <w:p w14:paraId="0268B243">
      <w:pPr>
        <w:spacing w:line="640" w:lineRule="exact"/>
        <w:ind w:firstLine="640"/>
        <w:jc w:val="both"/>
        <w:outlineLvl w:val="2"/>
      </w:pPr>
      <w:r>
        <w:rPr>
          <w:rFonts w:ascii="黑体" w:hAnsi="黑体" w:eastAsia="黑体"/>
          <w:sz w:val="32"/>
        </w:rPr>
        <w:t>二、机构设置及人员情况</w:t>
      </w:r>
    </w:p>
    <w:p w14:paraId="329B4C3A">
      <w:pPr>
        <w:spacing w:line="580" w:lineRule="exact"/>
        <w:ind w:firstLine="640"/>
        <w:jc w:val="both"/>
      </w:pPr>
      <w:r>
        <w:rPr>
          <w:rFonts w:ascii="仿宋_GB2312" w:hAnsi="仿宋_GB2312" w:eastAsia="仿宋_GB2312"/>
          <w:sz w:val="32"/>
        </w:rPr>
        <w:t>轮台县交通运输局2024年度，实有人数23人，其中：在职人员16人，减少2人；离休人员1人，增加0人；退休人员6人,增加2人。</w:t>
      </w:r>
    </w:p>
    <w:p w14:paraId="1CA2BE80">
      <w:pPr>
        <w:spacing w:line="580" w:lineRule="exact"/>
        <w:ind w:firstLine="640"/>
        <w:jc w:val="both"/>
      </w:pPr>
      <w:r>
        <w:rPr>
          <w:rFonts w:ascii="仿宋_GB2312" w:hAnsi="仿宋_GB2312" w:eastAsia="仿宋_GB2312"/>
          <w:sz w:val="32"/>
        </w:rPr>
        <w:t>轮台县交通运输局无下属预算单位，下设5个科室，分别是：办公室、项目办、执法大队、财务室、驾驶室。</w:t>
      </w:r>
    </w:p>
    <w:p w14:paraId="26133378">
      <w:r>
        <w:br w:type="page"/>
      </w:r>
    </w:p>
    <w:p w14:paraId="23A6B206">
      <w:pPr>
        <w:spacing w:line="240" w:lineRule="auto"/>
        <w:jc w:val="center"/>
        <w:outlineLvl w:val="1"/>
      </w:pPr>
      <w:r>
        <w:rPr>
          <w:rFonts w:ascii="黑体" w:hAnsi="黑体" w:eastAsia="黑体"/>
          <w:sz w:val="32"/>
        </w:rPr>
        <w:t>第二部分 部门决算情况说明</w:t>
      </w:r>
    </w:p>
    <w:p w14:paraId="3BF2FA12">
      <w:pPr>
        <w:spacing w:line="640" w:lineRule="exact"/>
        <w:ind w:firstLine="640"/>
        <w:jc w:val="both"/>
        <w:outlineLvl w:val="2"/>
      </w:pPr>
      <w:r>
        <w:rPr>
          <w:rFonts w:ascii="黑体" w:hAnsi="黑体" w:eastAsia="黑体"/>
          <w:sz w:val="32"/>
        </w:rPr>
        <w:t>一、收入支出决算总体情况说明</w:t>
      </w:r>
    </w:p>
    <w:p w14:paraId="34AE2E08">
      <w:pPr>
        <w:spacing w:line="580" w:lineRule="exact"/>
        <w:ind w:firstLine="640"/>
        <w:jc w:val="both"/>
      </w:pPr>
      <w:r>
        <w:rPr>
          <w:rFonts w:ascii="仿宋_GB2312" w:hAnsi="仿宋_GB2312" w:eastAsia="仿宋_GB2312"/>
          <w:b/>
          <w:sz w:val="32"/>
        </w:rPr>
        <w:t>2024年度收入总计3,471.01万元，</w:t>
      </w:r>
      <w:r>
        <w:rPr>
          <w:rFonts w:ascii="仿宋_GB2312" w:hAnsi="仿宋_GB2312" w:eastAsia="仿宋_GB2312"/>
          <w:b w:val="0"/>
          <w:sz w:val="32"/>
        </w:rPr>
        <w:t>其中：本年收入合计2,991.23万元，使用非财政拨款结余（含专用结余）0.00万元，年初结转和结余479.78万元。</w:t>
      </w:r>
    </w:p>
    <w:p w14:paraId="56351DA2">
      <w:pPr>
        <w:spacing w:line="580" w:lineRule="exact"/>
        <w:ind w:firstLine="640"/>
        <w:jc w:val="both"/>
      </w:pPr>
      <w:r>
        <w:rPr>
          <w:rFonts w:ascii="仿宋_GB2312" w:hAnsi="仿宋_GB2312" w:eastAsia="仿宋_GB2312"/>
          <w:b/>
          <w:sz w:val="32"/>
        </w:rPr>
        <w:t>2024年度支出总计3,471.01万元，</w:t>
      </w:r>
      <w:r>
        <w:rPr>
          <w:rFonts w:ascii="仿宋_GB2312" w:hAnsi="仿宋_GB2312" w:eastAsia="仿宋_GB2312"/>
          <w:b w:val="0"/>
          <w:sz w:val="32"/>
        </w:rPr>
        <w:t>其中：本年支出合计3,394.18万元，结余分配0.00万元，年末结转和结余76.83万元。</w:t>
      </w:r>
    </w:p>
    <w:p w14:paraId="1FEF0C6B">
      <w:pPr>
        <w:spacing w:line="580" w:lineRule="exact"/>
        <w:ind w:firstLine="640"/>
        <w:jc w:val="both"/>
      </w:pPr>
      <w:r>
        <w:rPr>
          <w:rFonts w:ascii="仿宋_GB2312" w:hAnsi="仿宋_GB2312" w:eastAsia="仿宋_GB2312"/>
          <w:b w:val="0"/>
          <w:sz w:val="32"/>
        </w:rPr>
        <w:t>收入支出总体与上年相比，减少2,887.59万元，下降45.41%，主要原因是：本年度减少农村公路改建项目设计费、乡村振兴农村公路工程款、车辆购置税农村公路款、开发区</w:t>
      </w:r>
      <w:r>
        <w:rPr>
          <w:rFonts w:hint="eastAsia" w:ascii="仿宋_GB2312" w:hAnsi="仿宋_GB2312" w:eastAsia="仿宋_GB2312"/>
          <w:b w:val="0"/>
          <w:sz w:val="32"/>
          <w:lang w:eastAsia="zh-CN"/>
        </w:rPr>
        <w:t>－</w:t>
      </w:r>
      <w:r>
        <w:rPr>
          <w:rFonts w:ascii="仿宋_GB2312" w:hAnsi="仿宋_GB2312" w:eastAsia="仿宋_GB2312"/>
          <w:b w:val="0"/>
          <w:sz w:val="32"/>
        </w:rPr>
        <w:t>托乎拉村工程款、第一批自然村项目款、车辆购置税补助农村公路项目工程款、村道安全生命防护工程款、旅游项目工程款、全域旅游基础设施建设项目工程款。</w:t>
      </w:r>
    </w:p>
    <w:p w14:paraId="663E6DBF">
      <w:pPr>
        <w:spacing w:line="640" w:lineRule="exact"/>
        <w:ind w:firstLine="640"/>
        <w:jc w:val="both"/>
        <w:outlineLvl w:val="2"/>
      </w:pPr>
      <w:r>
        <w:rPr>
          <w:rFonts w:ascii="黑体" w:hAnsi="黑体" w:eastAsia="黑体"/>
          <w:sz w:val="32"/>
        </w:rPr>
        <w:t>二、收入决算情况说明</w:t>
      </w:r>
    </w:p>
    <w:p w14:paraId="6A802506">
      <w:pPr>
        <w:spacing w:line="580" w:lineRule="exact"/>
        <w:ind w:firstLine="640"/>
        <w:jc w:val="both"/>
      </w:pPr>
      <w:r>
        <w:rPr>
          <w:rFonts w:ascii="仿宋_GB2312" w:hAnsi="仿宋_GB2312" w:eastAsia="仿宋_GB2312"/>
          <w:b/>
          <w:sz w:val="32"/>
        </w:rPr>
        <w:t>本年收入2,991.23万元，</w:t>
      </w:r>
      <w:r>
        <w:rPr>
          <w:rFonts w:ascii="仿宋_GB2312" w:hAnsi="仿宋_GB2312" w:eastAsia="仿宋_GB2312"/>
          <w:b w:val="0"/>
          <w:sz w:val="32"/>
        </w:rPr>
        <w:t>其中：财政拨款收入2,808.27万元，占93.88%；上级补助收入0.00万元，占0.00%；事业收入0.00万元，占0.00%；经营收入0.00万元，占0.00%；附属单位上缴收入0.00万元，占0.00%；其他收入182.96万元，占6.12%。</w:t>
      </w:r>
    </w:p>
    <w:p w14:paraId="00D115D5">
      <w:pPr>
        <w:spacing w:line="640" w:lineRule="exact"/>
        <w:ind w:firstLine="640"/>
        <w:jc w:val="both"/>
        <w:outlineLvl w:val="2"/>
      </w:pPr>
      <w:r>
        <w:rPr>
          <w:rFonts w:ascii="黑体" w:hAnsi="黑体" w:eastAsia="黑体"/>
          <w:sz w:val="32"/>
        </w:rPr>
        <w:t>三、支出决算情况说明</w:t>
      </w:r>
    </w:p>
    <w:p w14:paraId="35694F36">
      <w:pPr>
        <w:spacing w:line="580" w:lineRule="exact"/>
        <w:ind w:firstLine="640"/>
        <w:jc w:val="both"/>
      </w:pPr>
      <w:r>
        <w:rPr>
          <w:rFonts w:ascii="仿宋_GB2312" w:hAnsi="仿宋_GB2312" w:eastAsia="仿宋_GB2312"/>
          <w:b/>
          <w:sz w:val="32"/>
        </w:rPr>
        <w:t>本年支出3,394.18万元，</w:t>
      </w:r>
      <w:r>
        <w:rPr>
          <w:rFonts w:ascii="仿宋_GB2312" w:hAnsi="仿宋_GB2312" w:eastAsia="仿宋_GB2312"/>
          <w:b w:val="0"/>
          <w:sz w:val="32"/>
        </w:rPr>
        <w:t>其中：基本支出483.58万元，占14.25%；项目支出2,910.60万元，占85.75%；上缴上级支出0.00万元，占0.00%；经营支出0.00万元，占0.00%；对附属单位补助支出0.00万元，占0.00%。</w:t>
      </w:r>
    </w:p>
    <w:p w14:paraId="7AA783E5">
      <w:pPr>
        <w:spacing w:line="640" w:lineRule="exact"/>
        <w:ind w:firstLine="640"/>
        <w:jc w:val="both"/>
        <w:outlineLvl w:val="2"/>
      </w:pPr>
      <w:r>
        <w:rPr>
          <w:rFonts w:ascii="黑体" w:hAnsi="黑体" w:eastAsia="黑体"/>
          <w:sz w:val="32"/>
        </w:rPr>
        <w:t>四、财政拨款收入支出决算总体情况说明</w:t>
      </w:r>
    </w:p>
    <w:p w14:paraId="575BBE0E">
      <w:pPr>
        <w:spacing w:line="580" w:lineRule="exact"/>
        <w:ind w:firstLine="640"/>
        <w:jc w:val="both"/>
      </w:pPr>
      <w:r>
        <w:rPr>
          <w:rFonts w:ascii="仿宋_GB2312" w:hAnsi="仿宋_GB2312" w:eastAsia="仿宋_GB2312"/>
          <w:b/>
          <w:sz w:val="32"/>
        </w:rPr>
        <w:t>2024年度财政拨款收入总计2,808.27万元，</w:t>
      </w:r>
      <w:r>
        <w:rPr>
          <w:rFonts w:ascii="仿宋_GB2312" w:hAnsi="仿宋_GB2312" w:eastAsia="仿宋_GB2312"/>
          <w:b w:val="0"/>
          <w:sz w:val="32"/>
        </w:rPr>
        <w:t>其中：年初财政拨款结转和结余0.00万元，本年财政拨款收入2,808.27万元。</w:t>
      </w:r>
      <w:r>
        <w:rPr>
          <w:rFonts w:ascii="仿宋_GB2312" w:hAnsi="仿宋_GB2312" w:eastAsia="仿宋_GB2312"/>
          <w:b/>
          <w:sz w:val="32"/>
        </w:rPr>
        <w:t>财政拨款支出总计2,808.27万元，</w:t>
      </w:r>
      <w:r>
        <w:rPr>
          <w:rFonts w:ascii="仿宋_GB2312" w:hAnsi="仿宋_GB2312" w:eastAsia="仿宋_GB2312"/>
          <w:b w:val="0"/>
          <w:sz w:val="32"/>
        </w:rPr>
        <w:t>其中：年末财政拨款结转和结余0.00万元，本年财政拨款支出2,808.27万元。</w:t>
      </w:r>
    </w:p>
    <w:p w14:paraId="1D06005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减少3,135.57万元，下降52.75%，主要原因是：本年度减少农村公路改建项目设计费、乡村振兴农村公路工程款、车辆购置税农村公路款、开发区</w:t>
      </w:r>
      <w:r>
        <w:rPr>
          <w:rFonts w:hint="eastAsia" w:ascii="仿宋_GB2312" w:hAnsi="仿宋_GB2312" w:eastAsia="仿宋_GB2312"/>
          <w:b w:val="0"/>
          <w:sz w:val="32"/>
          <w:lang w:eastAsia="zh-CN"/>
        </w:rPr>
        <w:t>－</w:t>
      </w:r>
      <w:r>
        <w:rPr>
          <w:rFonts w:ascii="仿宋_GB2312" w:hAnsi="仿宋_GB2312" w:eastAsia="仿宋_GB2312"/>
          <w:b w:val="0"/>
          <w:sz w:val="32"/>
        </w:rPr>
        <w:t>托乎拉村工程款、第一批自然村项目款、车辆购置税补助农村公路项目工程款、村道安全生命防护工程款、旅游项目工程款、全域旅游基础设施建设项目工程款。</w:t>
      </w:r>
      <w:r>
        <w:rPr>
          <w:rFonts w:ascii="仿宋_GB2312" w:hAnsi="仿宋_GB2312" w:eastAsia="仿宋_GB2312"/>
          <w:b/>
          <w:sz w:val="32"/>
        </w:rPr>
        <w:t>与年初预算相比，</w:t>
      </w:r>
      <w:r>
        <w:rPr>
          <w:rFonts w:ascii="仿宋_GB2312" w:hAnsi="仿宋_GB2312" w:eastAsia="仿宋_GB2312"/>
          <w:b w:val="0"/>
          <w:sz w:val="32"/>
        </w:rPr>
        <w:t>年初预算数1,299.56万元，决算数2,808.27万元，预决算差异率116.09%，主要原因是：年中追加车辆购置税工程款、边界公路建设项目款、农村公路提质增效建设项目和养护公路建设项目款、车辆购置税补助农村公路项目款预算，导致预决算存在差异。</w:t>
      </w:r>
    </w:p>
    <w:p w14:paraId="02EC7EEB">
      <w:pPr>
        <w:spacing w:line="640" w:lineRule="exact"/>
        <w:ind w:firstLine="640"/>
        <w:jc w:val="both"/>
        <w:outlineLvl w:val="2"/>
      </w:pPr>
      <w:r>
        <w:rPr>
          <w:rFonts w:ascii="黑体" w:hAnsi="黑体" w:eastAsia="黑体"/>
          <w:sz w:val="32"/>
        </w:rPr>
        <w:t>五、一般公共预算财政拨款支出决算情况说明</w:t>
      </w:r>
    </w:p>
    <w:p w14:paraId="25506DC0">
      <w:pPr>
        <w:spacing w:line="640" w:lineRule="exact"/>
        <w:ind w:firstLine="640"/>
        <w:jc w:val="both"/>
        <w:outlineLvl w:val="3"/>
      </w:pPr>
      <w:r>
        <w:rPr>
          <w:rFonts w:ascii="楷体_GB2312" w:hAnsi="楷体_GB2312" w:eastAsia="楷体_GB2312"/>
          <w:b/>
          <w:sz w:val="32"/>
        </w:rPr>
        <w:t>（一）一般公共预算财政拨款支出决算总体情况</w:t>
      </w:r>
    </w:p>
    <w:p w14:paraId="1BC8FF9C">
      <w:pPr>
        <w:spacing w:line="580" w:lineRule="exact"/>
        <w:ind w:firstLine="640"/>
        <w:jc w:val="both"/>
      </w:pPr>
      <w:r>
        <w:rPr>
          <w:rFonts w:ascii="仿宋_GB2312" w:hAnsi="仿宋_GB2312" w:eastAsia="仿宋_GB2312"/>
          <w:b/>
          <w:sz w:val="32"/>
        </w:rPr>
        <w:t>2024年度一般公共预算财政拨款支出2,736.77万元，</w:t>
      </w:r>
      <w:r>
        <w:rPr>
          <w:rFonts w:ascii="仿宋_GB2312" w:hAnsi="仿宋_GB2312" w:eastAsia="仿宋_GB2312"/>
          <w:b w:val="0"/>
          <w:sz w:val="32"/>
        </w:rPr>
        <w:t>占本年支出合计的80.63%。</w:t>
      </w:r>
      <w:r>
        <w:rPr>
          <w:rFonts w:ascii="仿宋_GB2312" w:hAnsi="仿宋_GB2312" w:eastAsia="仿宋_GB2312"/>
          <w:b/>
          <w:sz w:val="32"/>
        </w:rPr>
        <w:t>与上年相比，</w:t>
      </w:r>
      <w:r>
        <w:rPr>
          <w:rFonts w:ascii="仿宋_GB2312" w:hAnsi="仿宋_GB2312" w:eastAsia="仿宋_GB2312"/>
          <w:b w:val="0"/>
          <w:sz w:val="32"/>
        </w:rPr>
        <w:t>减少2,442.57万元，下降47.16%，主要原因是：本年度减少车辆购置税农村公路款、开发区</w:t>
      </w:r>
      <w:r>
        <w:rPr>
          <w:rFonts w:hint="eastAsia" w:ascii="仿宋_GB2312" w:hAnsi="仿宋_GB2312" w:eastAsia="仿宋_GB2312"/>
          <w:b w:val="0"/>
          <w:sz w:val="32"/>
          <w:lang w:eastAsia="zh-CN"/>
        </w:rPr>
        <w:t>－</w:t>
      </w:r>
      <w:r>
        <w:rPr>
          <w:rFonts w:ascii="仿宋_GB2312" w:hAnsi="仿宋_GB2312" w:eastAsia="仿宋_GB2312"/>
          <w:b w:val="0"/>
          <w:sz w:val="32"/>
        </w:rPr>
        <w:t>托乎拉村工程款、第一批自然村项目款、车辆购置税补助农村公路项目工程款、村道安全生命防护工程款。</w:t>
      </w:r>
      <w:r>
        <w:rPr>
          <w:rFonts w:ascii="仿宋_GB2312" w:hAnsi="仿宋_GB2312" w:eastAsia="仿宋_GB2312"/>
          <w:b/>
          <w:sz w:val="32"/>
        </w:rPr>
        <w:t>与年初预算相比,</w:t>
      </w:r>
      <w:r>
        <w:rPr>
          <w:rFonts w:ascii="仿宋_GB2312" w:hAnsi="仿宋_GB2312" w:eastAsia="仿宋_GB2312"/>
          <w:b w:val="0"/>
          <w:sz w:val="32"/>
        </w:rPr>
        <w:t>年初预算数1,249.56万元，决算数2,736.77万元，预决算差异率119.02%，主要原因是：年中追加车辆购置税工程款、边界公路建设项目款、农村公路提质增效建设项目和养护公路建设项目款、车辆购置税补助农村公路项目款预算，导致预决算存在差异。</w:t>
      </w:r>
    </w:p>
    <w:p w14:paraId="3C2AE145">
      <w:pPr>
        <w:spacing w:line="640" w:lineRule="exact"/>
        <w:ind w:firstLine="640"/>
        <w:jc w:val="both"/>
        <w:outlineLvl w:val="3"/>
      </w:pPr>
      <w:r>
        <w:rPr>
          <w:rFonts w:ascii="楷体_GB2312" w:hAnsi="楷体_GB2312" w:eastAsia="楷体_GB2312"/>
          <w:b/>
          <w:sz w:val="32"/>
        </w:rPr>
        <w:t>（二）一般公共预算财政拨款支出决算结构情况</w:t>
      </w:r>
    </w:p>
    <w:p w14:paraId="0B3E963E">
      <w:pPr>
        <w:spacing w:line="580" w:lineRule="exact"/>
        <w:ind w:firstLine="640"/>
        <w:jc w:val="both"/>
      </w:pPr>
      <w:r>
        <w:rPr>
          <w:rFonts w:ascii="仿宋_GB2312" w:hAnsi="仿宋_GB2312" w:eastAsia="仿宋_GB2312"/>
          <w:b w:val="0"/>
          <w:sz w:val="32"/>
        </w:rPr>
        <w:t>1.社会保障和就业支出(类)52.99万元,占1.94%。</w:t>
      </w:r>
    </w:p>
    <w:p w14:paraId="36275255">
      <w:pPr>
        <w:spacing w:line="580" w:lineRule="exact"/>
        <w:ind w:firstLine="640"/>
        <w:jc w:val="both"/>
      </w:pPr>
      <w:r>
        <w:rPr>
          <w:rFonts w:ascii="仿宋_GB2312" w:hAnsi="仿宋_GB2312" w:eastAsia="仿宋_GB2312"/>
          <w:b w:val="0"/>
          <w:sz w:val="32"/>
        </w:rPr>
        <w:t>2.卫生健康支出(类)17.69万元,占0.65%。</w:t>
      </w:r>
    </w:p>
    <w:p w14:paraId="2F7C1716">
      <w:pPr>
        <w:spacing w:line="580" w:lineRule="exact"/>
        <w:ind w:firstLine="640"/>
        <w:jc w:val="both"/>
      </w:pPr>
      <w:r>
        <w:rPr>
          <w:rFonts w:ascii="仿宋_GB2312" w:hAnsi="仿宋_GB2312" w:eastAsia="仿宋_GB2312"/>
          <w:b w:val="0"/>
          <w:sz w:val="32"/>
        </w:rPr>
        <w:t>3.城乡社区支出(类)30.90万元,占1.13%。</w:t>
      </w:r>
    </w:p>
    <w:p w14:paraId="7EF359BE">
      <w:pPr>
        <w:spacing w:line="580" w:lineRule="exact"/>
        <w:ind w:firstLine="640"/>
        <w:jc w:val="both"/>
      </w:pPr>
      <w:r>
        <w:rPr>
          <w:rFonts w:ascii="仿宋_GB2312" w:hAnsi="仿宋_GB2312" w:eastAsia="仿宋_GB2312"/>
          <w:b w:val="0"/>
          <w:sz w:val="32"/>
        </w:rPr>
        <w:t>4.农林水支出(类)176.27万元,占6.44%。</w:t>
      </w:r>
    </w:p>
    <w:p w14:paraId="3C725EEF">
      <w:pPr>
        <w:spacing w:line="580" w:lineRule="exact"/>
        <w:ind w:firstLine="640"/>
        <w:jc w:val="both"/>
      </w:pPr>
      <w:r>
        <w:rPr>
          <w:rFonts w:ascii="仿宋_GB2312" w:hAnsi="仿宋_GB2312" w:eastAsia="仿宋_GB2312"/>
          <w:b w:val="0"/>
          <w:sz w:val="32"/>
        </w:rPr>
        <w:t>5.交通运输支出(类)2,436.19万元,占89.02%。</w:t>
      </w:r>
    </w:p>
    <w:p w14:paraId="4BD5E296">
      <w:pPr>
        <w:spacing w:line="580" w:lineRule="exact"/>
        <w:ind w:firstLine="640"/>
        <w:jc w:val="both"/>
      </w:pPr>
      <w:r>
        <w:rPr>
          <w:rFonts w:ascii="仿宋_GB2312" w:hAnsi="仿宋_GB2312" w:eastAsia="仿宋_GB2312"/>
          <w:b w:val="0"/>
          <w:sz w:val="32"/>
        </w:rPr>
        <w:t>6.住房保障支出(类)22.72万元,占0.83%。</w:t>
      </w:r>
    </w:p>
    <w:p w14:paraId="6FA20C5B">
      <w:pPr>
        <w:spacing w:line="640" w:lineRule="exact"/>
        <w:ind w:firstLine="640"/>
        <w:jc w:val="both"/>
        <w:outlineLvl w:val="3"/>
      </w:pPr>
      <w:r>
        <w:rPr>
          <w:rFonts w:ascii="楷体_GB2312" w:hAnsi="楷体_GB2312" w:eastAsia="楷体_GB2312"/>
          <w:b/>
          <w:sz w:val="32"/>
        </w:rPr>
        <w:t>（三）一般公共预算财政拨款支出决算具体情况</w:t>
      </w:r>
    </w:p>
    <w:p w14:paraId="0C0AF054">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1.社会保障和就业支出(类)行政事业单位养老支出(款)行政单位离退休(项):支出决算数为21.32万元，比上年决算增加1.47万元，增长7.41%,主要原因是：本年退休人员增加，退休费支出增加。</w:t>
      </w:r>
    </w:p>
    <w:p w14:paraId="1E73829B">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2.社会保障和就业支出(类)行政事业单位养老支出(款)事业单位离退休(项):支出决算数为0.76万元，比上年决算增加0.47万元，增长162.07%,主要原因是：本年增加退休人员基础绩效奖，退休费支出增加。</w:t>
      </w:r>
    </w:p>
    <w:p w14:paraId="13DC70EA">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28.21万元，比上年决算增加1.28万元，增长4.75%,主要原因是：本年在职人员工资基数调增，养老缴费基数上涨，相应支出增加。</w:t>
      </w:r>
    </w:p>
    <w:p w14:paraId="20BD1EE2">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2.70万元，比上年决算减少3.24万元，下降54.55%,主要原因是：本年新增退休人员较上年减少，职业年金缴费较上年减少。</w:t>
      </w:r>
    </w:p>
    <w:p w14:paraId="32E95DCF">
      <w:pPr>
        <w:spacing w:line="580" w:lineRule="exact"/>
        <w:ind w:firstLine="640"/>
        <w:jc w:val="both"/>
      </w:pPr>
      <w:r>
        <w:rPr>
          <w:rFonts w:ascii="仿宋_GB2312" w:hAnsi="仿宋_GB2312" w:eastAsia="仿宋_GB2312"/>
          <w:b w:val="0"/>
          <w:sz w:val="32"/>
        </w:rPr>
        <w:t>5.卫生健康支出(类)行政事业单位医疗(款)行政单位医疗(项):支出决算数为11.80万元，比上年决算减少0.40万元，下降3.28%,主要原因是：本年在职人员减少，行政单位医疗支出较上年减少。</w:t>
      </w:r>
    </w:p>
    <w:p w14:paraId="1B3CB812">
      <w:pPr>
        <w:spacing w:line="580" w:lineRule="exact"/>
        <w:ind w:firstLine="640"/>
        <w:jc w:val="both"/>
      </w:pPr>
      <w:r>
        <w:rPr>
          <w:rFonts w:ascii="仿宋_GB2312" w:hAnsi="仿宋_GB2312" w:eastAsia="仿宋_GB2312"/>
          <w:b w:val="0"/>
          <w:sz w:val="32"/>
        </w:rPr>
        <w:t>6.卫生健康支出(类)行政事业单位医疗(款)事业单位医疗(项):支出决算数为1.63万元，比上年决算增加1.05万元，增长181.03%,主要原因是：本年在职人员工资基数调增，医疗缴费基数上涨，相应支出增加。</w:t>
      </w:r>
    </w:p>
    <w:p w14:paraId="3C7611A0">
      <w:pPr>
        <w:spacing w:line="580" w:lineRule="exact"/>
        <w:ind w:firstLine="640"/>
        <w:jc w:val="both"/>
      </w:pPr>
      <w:r>
        <w:rPr>
          <w:rFonts w:ascii="仿宋_GB2312" w:hAnsi="仿宋_GB2312" w:eastAsia="仿宋_GB2312"/>
          <w:b w:val="0"/>
          <w:sz w:val="32"/>
        </w:rPr>
        <w:t>7.卫生健康支出(类)行政事业单位医疗(款)公务员医疗补助(项):支出决算数为4.25万元，比上年决算增加0.09万元，增长2.16%,主要原因是：本年在职人员工资基数调增，医疗缴费基数上涨，相应支出增加。</w:t>
      </w:r>
    </w:p>
    <w:p w14:paraId="764610E6">
      <w:pPr>
        <w:spacing w:line="580" w:lineRule="exact"/>
        <w:ind w:firstLine="640"/>
        <w:jc w:val="both"/>
      </w:pPr>
      <w:r>
        <w:rPr>
          <w:rFonts w:ascii="仿宋_GB2312" w:hAnsi="仿宋_GB2312" w:eastAsia="仿宋_GB2312"/>
          <w:b w:val="0"/>
          <w:sz w:val="32"/>
        </w:rPr>
        <w:t>8.城乡社区支出(类)城乡社区公共设施(款)其他城乡社区公共设施支出(项):支出决算数为30.90万元，比上年决算增加30.90万元，增长100.00%,主要原因是：本年度增加道路两侧路灯采购及安装工程款。</w:t>
      </w:r>
    </w:p>
    <w:p w14:paraId="08A19073">
      <w:pPr>
        <w:spacing w:line="580" w:lineRule="exact"/>
        <w:ind w:firstLine="640"/>
        <w:jc w:val="both"/>
      </w:pPr>
      <w:r>
        <w:rPr>
          <w:rFonts w:ascii="仿宋_GB2312" w:hAnsi="仿宋_GB2312" w:eastAsia="仿宋_GB2312"/>
          <w:b w:val="0"/>
          <w:sz w:val="32"/>
        </w:rPr>
        <w:t>9.农林水支出(类)水利(款)水土保持(项):支出决算数为136.12万元，比上年决算增加136.12万元，增长100.00%,主要原因是：本年度增加农村公路提</w:t>
      </w:r>
      <w:r>
        <w:rPr>
          <w:rFonts w:hint="eastAsia" w:ascii="仿宋_GB2312" w:hAnsi="仿宋_GB2312" w:eastAsia="仿宋_GB2312"/>
          <w:b w:val="0"/>
          <w:sz w:val="32"/>
          <w:lang w:eastAsia="zh-CN"/>
        </w:rPr>
        <w:t>质</w:t>
      </w:r>
      <w:r>
        <w:rPr>
          <w:rFonts w:ascii="仿宋_GB2312" w:hAnsi="仿宋_GB2312" w:eastAsia="仿宋_GB2312"/>
          <w:b w:val="0"/>
          <w:sz w:val="32"/>
        </w:rPr>
        <w:t>增效建设项目和养护工程建设项目水土补偿费。</w:t>
      </w:r>
    </w:p>
    <w:p w14:paraId="3D3DD34F">
      <w:pPr>
        <w:spacing w:line="580" w:lineRule="exact"/>
        <w:ind w:firstLine="640"/>
        <w:jc w:val="both"/>
      </w:pPr>
      <w:r>
        <w:rPr>
          <w:rFonts w:ascii="仿宋_GB2312" w:hAnsi="仿宋_GB2312" w:eastAsia="仿宋_GB2312"/>
          <w:b w:val="0"/>
          <w:sz w:val="32"/>
        </w:rPr>
        <w:t>10.农林水支出(类)</w:t>
      </w:r>
      <w:bookmarkStart w:id="0" w:name="_GoBack"/>
      <w:r>
        <w:rPr>
          <w:rFonts w:ascii="仿宋_GB2312" w:hAnsi="仿宋_GB2312" w:eastAsia="仿宋_GB2312"/>
          <w:b w:val="0"/>
          <w:sz w:val="32"/>
        </w:rPr>
        <w:t>巩固脱贫攻坚成果</w:t>
      </w:r>
      <w:bookmarkEnd w:id="0"/>
      <w:r>
        <w:rPr>
          <w:rFonts w:ascii="仿宋_GB2312" w:hAnsi="仿宋_GB2312" w:eastAsia="仿宋_GB2312"/>
          <w:b w:val="0"/>
          <w:sz w:val="32"/>
        </w:rPr>
        <w:t>衔接乡村振兴(款)农村基础设施建设(项):支出决算数为0.00万元，比上年决算减少1,858.49万元，下降100.00%,主要原因是：本年度减少农村公路改建项目设计费、乡村振兴农村公路工程款。</w:t>
      </w:r>
    </w:p>
    <w:p w14:paraId="20D6F579">
      <w:pPr>
        <w:spacing w:line="580" w:lineRule="exact"/>
        <w:ind w:firstLine="640"/>
        <w:jc w:val="both"/>
      </w:pPr>
      <w:r>
        <w:rPr>
          <w:rFonts w:ascii="仿宋_GB2312" w:hAnsi="仿宋_GB2312" w:eastAsia="仿宋_GB2312"/>
          <w:b w:val="0"/>
          <w:sz w:val="32"/>
        </w:rPr>
        <w:t>11.农林水支出(类)巩固脱贫攻坚成果衔接乡村振兴(款)其他巩固脱贫攻坚成果衔接乡村振兴支出(项):支出决算数为40.15万元，比上年决算增加40.15万元，增长100.00%,主要原因是：本年度增加车辆购置税监理费、农村道路扶贫项目审计费。</w:t>
      </w:r>
    </w:p>
    <w:p w14:paraId="27DA2441">
      <w:pPr>
        <w:spacing w:line="580" w:lineRule="exact"/>
        <w:ind w:firstLine="640"/>
        <w:jc w:val="both"/>
      </w:pPr>
      <w:r>
        <w:rPr>
          <w:rFonts w:ascii="仿宋_GB2312" w:hAnsi="仿宋_GB2312" w:eastAsia="仿宋_GB2312"/>
          <w:b w:val="0"/>
          <w:sz w:val="32"/>
        </w:rPr>
        <w:t>12.交通运输支出(类)公路水路运输(款)行政运行(项):支出决算数为199.99万元，比上年决算减少27.91万元，下降12.25%,主要原因是：本年在职人员调入调出，人员职级不同，工资基数不同，导致人员经费较上年减少。</w:t>
      </w:r>
    </w:p>
    <w:p w14:paraId="5161D376">
      <w:pPr>
        <w:spacing w:line="580" w:lineRule="exact"/>
        <w:ind w:firstLine="640"/>
        <w:jc w:val="both"/>
      </w:pPr>
      <w:r>
        <w:rPr>
          <w:rFonts w:ascii="仿宋_GB2312" w:hAnsi="仿宋_GB2312" w:eastAsia="仿宋_GB2312"/>
          <w:b w:val="0"/>
          <w:sz w:val="32"/>
        </w:rPr>
        <w:t>13.交通运输支出(类)公路水路运输(款)公路建设(项):支出决算数为1,034.40万元，比上年决算增加996.40万元，增长2,622.11%,主要原因是：本年度增加车辆购置税工程款、边界公路建设项目款、农村公路提质增效建设项目和养护公路建设项目款、车辆购置税补助农村公路项目款。</w:t>
      </w:r>
    </w:p>
    <w:p w14:paraId="116DA52B">
      <w:pPr>
        <w:spacing w:line="580" w:lineRule="exact"/>
        <w:ind w:firstLine="640"/>
        <w:jc w:val="both"/>
      </w:pPr>
      <w:r>
        <w:rPr>
          <w:rFonts w:ascii="仿宋_GB2312" w:hAnsi="仿宋_GB2312" w:eastAsia="仿宋_GB2312"/>
          <w:b w:val="0"/>
          <w:sz w:val="32"/>
        </w:rPr>
        <w:t>14.交通运输支出(类)公路水路运输(款)公路养护(项):支出决算数为654.08万元，比上年决算增加323.08万元，增长97.61%,主要原因是：本年度增加农村公路日常养护项目费。</w:t>
      </w:r>
    </w:p>
    <w:p w14:paraId="1DA9D94F">
      <w:pPr>
        <w:spacing w:line="580" w:lineRule="exact"/>
        <w:ind w:firstLine="640"/>
        <w:jc w:val="both"/>
      </w:pPr>
      <w:r>
        <w:rPr>
          <w:rFonts w:ascii="仿宋_GB2312" w:hAnsi="仿宋_GB2312" w:eastAsia="仿宋_GB2312"/>
          <w:b w:val="0"/>
          <w:sz w:val="32"/>
        </w:rPr>
        <w:t>15.交通运输支出(类)公路水路运输(款)其他公路水路运输支出(项):支出决算数为88.06万元，比上年决算增加88.06万元，增长100.00%,主要原因是：本年增加G314线轮台县拉依苏园区段8.6km道路两侧路灯采购及安装工程项目。</w:t>
      </w:r>
    </w:p>
    <w:p w14:paraId="58F406D9">
      <w:pPr>
        <w:spacing w:line="580" w:lineRule="exact"/>
        <w:ind w:firstLine="640"/>
        <w:jc w:val="both"/>
      </w:pPr>
      <w:r>
        <w:rPr>
          <w:rFonts w:ascii="仿宋_GB2312" w:hAnsi="仿宋_GB2312" w:eastAsia="仿宋_GB2312"/>
          <w:b w:val="0"/>
          <w:sz w:val="32"/>
        </w:rPr>
        <w:t>16.交通运输支出(类)民用航空运输(款)机场建设(项):支出决算数为166.48万元，比上年决算增加166.48万元，增长100.00%,主要原因是：本年度增加机场场外道路工程款。</w:t>
      </w:r>
    </w:p>
    <w:p w14:paraId="0D2985D3">
      <w:pPr>
        <w:spacing w:line="580" w:lineRule="exact"/>
        <w:ind w:firstLine="640"/>
        <w:jc w:val="both"/>
      </w:pPr>
      <w:r>
        <w:rPr>
          <w:rFonts w:ascii="仿宋_GB2312" w:hAnsi="仿宋_GB2312" w:eastAsia="仿宋_GB2312"/>
          <w:b w:val="0"/>
          <w:sz w:val="32"/>
        </w:rPr>
        <w:t>17.交通运输支出(类)车辆购置税支出(款)车辆购置税用于公路等基础设施建设支出(项):支出决算数为0.00万元，比上年决算减少61.30万元，下降100.00%,主要原因是：本年度减少喀尕提买里村工程款。</w:t>
      </w:r>
    </w:p>
    <w:p w14:paraId="65300602">
      <w:pPr>
        <w:spacing w:line="580" w:lineRule="exact"/>
        <w:ind w:firstLine="640"/>
        <w:jc w:val="both"/>
      </w:pPr>
      <w:r>
        <w:rPr>
          <w:rFonts w:ascii="仿宋_GB2312" w:hAnsi="仿宋_GB2312" w:eastAsia="仿宋_GB2312"/>
          <w:b w:val="0"/>
          <w:sz w:val="32"/>
        </w:rPr>
        <w:t>18.交通运输支出(类)车辆购置税支出(款)车辆购置税用于农村公路建设支出(项):支出决算数为0.00万元，比上年决算减少2,562.23万元，下降100.00%,主要原因是：本年度减少车辆购置税农村公路款、开发区</w:t>
      </w:r>
      <w:r>
        <w:rPr>
          <w:rFonts w:hint="eastAsia" w:ascii="仿宋_GB2312" w:hAnsi="仿宋_GB2312" w:eastAsia="仿宋_GB2312"/>
          <w:b w:val="0"/>
          <w:sz w:val="32"/>
          <w:lang w:eastAsia="zh-CN"/>
        </w:rPr>
        <w:t>－</w:t>
      </w:r>
      <w:r>
        <w:rPr>
          <w:rFonts w:ascii="仿宋_GB2312" w:hAnsi="仿宋_GB2312" w:eastAsia="仿宋_GB2312"/>
          <w:b w:val="0"/>
          <w:sz w:val="32"/>
        </w:rPr>
        <w:t>托乎拉村工程款、第一批自然村项目款、车辆购置税补助农村公路项目工程款、村道安全生命防护工程款。</w:t>
      </w:r>
    </w:p>
    <w:p w14:paraId="1FC1BA03">
      <w:pPr>
        <w:spacing w:line="580" w:lineRule="exact"/>
        <w:ind w:firstLine="640"/>
        <w:jc w:val="both"/>
      </w:pPr>
      <w:r>
        <w:rPr>
          <w:rFonts w:ascii="仿宋_GB2312" w:hAnsi="仿宋_GB2312" w:eastAsia="仿宋_GB2312"/>
          <w:b w:val="0"/>
          <w:sz w:val="32"/>
        </w:rPr>
        <w:t>19.交通运输支出(类)其他交通运输支出(款)公共交通运营补助(项):支出决算数为74.20万元，比上年决算增加74.20万元，增长100.00%,主要原因是：本年度增加新能源出租汽车、农村客运、城市交通发展购置补贴款。</w:t>
      </w:r>
    </w:p>
    <w:p w14:paraId="0E03034B">
      <w:pPr>
        <w:spacing w:line="580" w:lineRule="exact"/>
        <w:ind w:firstLine="640"/>
        <w:jc w:val="both"/>
      </w:pPr>
      <w:r>
        <w:rPr>
          <w:rFonts w:ascii="仿宋_GB2312" w:hAnsi="仿宋_GB2312" w:eastAsia="仿宋_GB2312"/>
          <w:b w:val="0"/>
          <w:sz w:val="32"/>
        </w:rPr>
        <w:t>20.交通运输支出(类)其他交通运输支出(款)其他交通运输支出(项):支出决算数为218.97万元，比上年决算增加210.63万元，增长2,525.54%,主要原因是：本年度增加新能源车辆购置补贴款、农村道路客运车辆运营补贴款、城市公交车辆运营补贴款。</w:t>
      </w:r>
    </w:p>
    <w:p w14:paraId="68C7DA78">
      <w:pPr>
        <w:spacing w:line="580" w:lineRule="exact"/>
        <w:ind w:firstLine="640"/>
        <w:jc w:val="both"/>
      </w:pPr>
      <w:r>
        <w:rPr>
          <w:rFonts w:ascii="仿宋_GB2312" w:hAnsi="仿宋_GB2312" w:eastAsia="仿宋_GB2312"/>
          <w:b w:val="0"/>
          <w:sz w:val="32"/>
        </w:rPr>
        <w:t>21.住房保障支出(类)住房改革支出(款)住房公积金(项):支出决算数为22.72万元，比上年决算增加0.61万元，增长2.76%,主要原因是：本年在职人员工资基数调增，公积金缴费基数上涨，相应支出增加。</w:t>
      </w:r>
    </w:p>
    <w:p w14:paraId="18BCDB50">
      <w:pPr>
        <w:spacing w:line="640" w:lineRule="exact"/>
        <w:ind w:firstLine="640"/>
        <w:jc w:val="both"/>
        <w:outlineLvl w:val="2"/>
      </w:pPr>
      <w:r>
        <w:rPr>
          <w:rFonts w:ascii="黑体" w:hAnsi="黑体" w:eastAsia="黑体"/>
          <w:sz w:val="32"/>
        </w:rPr>
        <w:t>六、一般公共预算财政拨款基本支出决算情况说明</w:t>
      </w:r>
    </w:p>
    <w:p w14:paraId="42C2D202">
      <w:pPr>
        <w:spacing w:line="580" w:lineRule="exact"/>
        <w:ind w:firstLine="640"/>
        <w:jc w:val="both"/>
      </w:pPr>
      <w:r>
        <w:rPr>
          <w:rFonts w:ascii="仿宋_GB2312" w:hAnsi="仿宋_GB2312" w:eastAsia="仿宋_GB2312"/>
          <w:b w:val="0"/>
          <w:sz w:val="32"/>
        </w:rPr>
        <w:t>2024年度一般公共预算财政拨款基本支出483.54万元，其中：</w:t>
      </w:r>
      <w:r>
        <w:rPr>
          <w:rFonts w:ascii="仿宋_GB2312" w:hAnsi="仿宋_GB2312" w:eastAsia="仿宋_GB2312"/>
          <w:b/>
          <w:sz w:val="32"/>
        </w:rPr>
        <w:t>人员经费299.70万元，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离休费、退休费、生活补助、奖励金。</w:t>
      </w:r>
    </w:p>
    <w:p w14:paraId="6D69D6A9">
      <w:pPr>
        <w:spacing w:line="580" w:lineRule="exact"/>
        <w:ind w:firstLine="640"/>
        <w:jc w:val="both"/>
      </w:pPr>
      <w:r>
        <w:rPr>
          <w:rFonts w:ascii="仿宋_GB2312" w:hAnsi="仿宋_GB2312" w:eastAsia="仿宋_GB2312"/>
          <w:b/>
          <w:sz w:val="32"/>
        </w:rPr>
        <w:t>公用经费183.83万元，</w:t>
      </w:r>
      <w:r>
        <w:rPr>
          <w:rFonts w:ascii="仿宋_GB2312" w:hAnsi="仿宋_GB2312" w:eastAsia="仿宋_GB2312"/>
          <w:b w:val="0"/>
          <w:sz w:val="32"/>
        </w:rPr>
        <w:t>包括：办公费、邮电费、物业管理费、差旅费、维修（护）费、委托业务费、公务用车运行维护费、其他交通费用、税金及附加费用、办公设备购置。</w:t>
      </w:r>
    </w:p>
    <w:p w14:paraId="70D3201B">
      <w:pPr>
        <w:spacing w:line="640" w:lineRule="exact"/>
        <w:ind w:firstLine="640"/>
        <w:jc w:val="both"/>
        <w:outlineLvl w:val="2"/>
      </w:pPr>
      <w:r>
        <w:rPr>
          <w:rFonts w:ascii="黑体" w:hAnsi="黑体" w:eastAsia="黑体"/>
          <w:sz w:val="32"/>
        </w:rPr>
        <w:t>七、政府性基金预算财政拨款收入支出决算情况说明</w:t>
      </w:r>
    </w:p>
    <w:p w14:paraId="1BE07A5F">
      <w:pPr>
        <w:spacing w:line="580" w:lineRule="exact"/>
        <w:ind w:firstLine="640"/>
        <w:jc w:val="both"/>
      </w:pPr>
      <w:r>
        <w:rPr>
          <w:rFonts w:ascii="仿宋_GB2312" w:hAnsi="仿宋_GB2312" w:eastAsia="仿宋_GB2312"/>
          <w:b/>
          <w:sz w:val="32"/>
        </w:rPr>
        <w:t>2024年度政府性基金预算财政拨款收入总计71.50万元，</w:t>
      </w:r>
      <w:r>
        <w:rPr>
          <w:rFonts w:ascii="仿宋_GB2312" w:hAnsi="仿宋_GB2312" w:eastAsia="仿宋_GB2312"/>
          <w:b w:val="0"/>
          <w:sz w:val="32"/>
        </w:rPr>
        <w:t>其中：年初结转和结余0.00万元，本年收入71.50万元。</w:t>
      </w:r>
      <w:r>
        <w:rPr>
          <w:rFonts w:ascii="仿宋_GB2312" w:hAnsi="仿宋_GB2312" w:eastAsia="仿宋_GB2312"/>
          <w:b/>
          <w:sz w:val="32"/>
        </w:rPr>
        <w:t>政府性基金预算财政拨款支出总计71.50万元，</w:t>
      </w:r>
      <w:r>
        <w:rPr>
          <w:rFonts w:ascii="仿宋_GB2312" w:hAnsi="仿宋_GB2312" w:eastAsia="仿宋_GB2312"/>
          <w:b w:val="0"/>
          <w:sz w:val="32"/>
        </w:rPr>
        <w:t>其中：年末结转和结余0.00万元，本年支出71.50万元。</w:t>
      </w:r>
    </w:p>
    <w:p w14:paraId="292A9EF6">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减少693.00万元，下降90.65%，主要原因是：本年度减少旅游项目工程款、全域旅游基础设施建设项目工程款。</w:t>
      </w:r>
      <w:r>
        <w:rPr>
          <w:rFonts w:ascii="仿宋_GB2312" w:hAnsi="仿宋_GB2312" w:eastAsia="仿宋_GB2312"/>
          <w:b/>
          <w:sz w:val="32"/>
        </w:rPr>
        <w:t>与年初预算相比，</w:t>
      </w:r>
      <w:r>
        <w:rPr>
          <w:rFonts w:ascii="仿宋_GB2312" w:hAnsi="仿宋_GB2312" w:eastAsia="仿宋_GB2312"/>
          <w:b w:val="0"/>
          <w:sz w:val="32"/>
        </w:rPr>
        <w:t>年初预算数50.00万元，决算数71.50万元，预决算差异率43.00%，主要原因是：年中追加老旧运营货车报废补贴款预算，导致预决算存在差异。</w:t>
      </w:r>
    </w:p>
    <w:p w14:paraId="06D0592B">
      <w:pPr>
        <w:spacing w:line="580" w:lineRule="exact"/>
        <w:ind w:firstLine="640"/>
        <w:jc w:val="both"/>
      </w:pPr>
      <w:r>
        <w:rPr>
          <w:rFonts w:ascii="仿宋_GB2312" w:hAnsi="仿宋_GB2312" w:eastAsia="仿宋_GB2312"/>
          <w:b w:val="0"/>
          <w:sz w:val="32"/>
        </w:rPr>
        <w:t>政府性基金预算财政拨款支出71.50万元。</w:t>
      </w:r>
    </w:p>
    <w:p w14:paraId="6DA5BD50">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1.城乡社区支出(类)国有土地使用权出让收入安排的支出(款)农村基础设施建设支出(项):支出决算数为50.00万元，比上年决算增加50.00万元，增长100.00%,主要原因是：本年度增加农村公路日常养护项目工程款。</w:t>
      </w:r>
    </w:p>
    <w:p w14:paraId="41460696">
      <w:pPr>
        <w:spacing w:line="580" w:lineRule="exact"/>
        <w:ind w:firstLine="640"/>
        <w:jc w:val="both"/>
      </w:pPr>
      <w:r>
        <w:rPr>
          <w:rFonts w:ascii="仿宋_GB2312" w:hAnsi="仿宋_GB2312" w:eastAsia="仿宋_GB2312"/>
          <w:b w:val="0"/>
          <w:sz w:val="32"/>
        </w:rPr>
        <w:t>2.资源勘探工业信息等支出(类)超长期特别国债安排的支出(款)制造业(项):支出决算数为21.50万元，比上年决算增加21.50万元，增长100.00%,主要原因是：本年度增加老旧运营货车报废补贴款。</w:t>
      </w:r>
    </w:p>
    <w:p w14:paraId="61CA3C5B">
      <w:pPr>
        <w:spacing w:line="580" w:lineRule="exact"/>
        <w:ind w:firstLine="640"/>
        <w:jc w:val="both"/>
      </w:pPr>
      <w:r>
        <w:rPr>
          <w:rFonts w:ascii="仿宋_GB2312" w:hAnsi="仿宋_GB2312" w:eastAsia="仿宋_GB2312"/>
          <w:b w:val="0"/>
          <w:sz w:val="32"/>
        </w:rPr>
        <w:t>3.其他支出(类)其他政府性基金及对应专项债务收入安排的支出(款)其他地方自行试点项目收益专项债券收入安排的支出(项):支出决算数为0.00万元，比上年决算减少764.50万元，下降100.00%,主要原因是：本年度减少旅游项目工程款、全域旅游基础设施建设项目工程款。</w:t>
      </w:r>
    </w:p>
    <w:p w14:paraId="41BA2DFE">
      <w:pPr>
        <w:spacing w:line="640" w:lineRule="exact"/>
        <w:ind w:firstLine="640"/>
        <w:jc w:val="both"/>
        <w:outlineLvl w:val="2"/>
      </w:pPr>
      <w:r>
        <w:rPr>
          <w:rFonts w:ascii="黑体" w:hAnsi="黑体" w:eastAsia="黑体"/>
          <w:sz w:val="32"/>
        </w:rPr>
        <w:t>八、国有资本经营预算财政拨款收入支出决算情况说明</w:t>
      </w:r>
    </w:p>
    <w:p w14:paraId="2CB55EC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E512BE5">
      <w:pPr>
        <w:spacing w:line="640" w:lineRule="exact"/>
        <w:ind w:firstLine="640"/>
        <w:jc w:val="both"/>
        <w:outlineLvl w:val="2"/>
      </w:pPr>
      <w:r>
        <w:rPr>
          <w:rFonts w:ascii="黑体" w:hAnsi="黑体" w:eastAsia="黑体"/>
          <w:sz w:val="32"/>
        </w:rPr>
        <w:t>九、财政拨款“三公”经费支出决算情况说明</w:t>
      </w:r>
    </w:p>
    <w:p w14:paraId="0F3DFA4E">
      <w:pPr>
        <w:spacing w:line="580" w:lineRule="exact"/>
        <w:ind w:firstLine="640"/>
        <w:jc w:val="both"/>
      </w:pPr>
      <w:r>
        <w:rPr>
          <w:rFonts w:ascii="仿宋_GB2312" w:hAnsi="仿宋_GB2312" w:eastAsia="仿宋_GB2312"/>
          <w:b/>
          <w:sz w:val="32"/>
        </w:rPr>
        <w:t>2024年度财政拨款“三公”经费支出1.79万元，</w:t>
      </w:r>
      <w:r>
        <w:rPr>
          <w:rFonts w:ascii="仿宋_GB2312" w:hAnsi="仿宋_GB2312" w:eastAsia="仿宋_GB2312"/>
          <w:b w:val="0"/>
          <w:sz w:val="32"/>
        </w:rPr>
        <w:t>比上年减少0.07万元，下降3.76%，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1.79万元，占100.00%，比上年减少0.07万元，下降3.76%，主要原因是：严格落实中央八项规定精神，厉行节约，减少公务用车运行维护费。公务接待费支出0.00万元，占0.00%，比上年增加0.00万元，增长0.00%，主要原因是：2023年与2024年均未安排公务接待费支出。</w:t>
      </w:r>
    </w:p>
    <w:p w14:paraId="6EACA0B8">
      <w:pPr>
        <w:spacing w:line="580" w:lineRule="exact"/>
        <w:ind w:firstLine="640"/>
        <w:jc w:val="both"/>
      </w:pPr>
      <w:r>
        <w:rPr>
          <w:rFonts w:ascii="仿宋_GB2312" w:hAnsi="仿宋_GB2312" w:eastAsia="仿宋_GB2312"/>
          <w:b/>
          <w:sz w:val="32"/>
        </w:rPr>
        <w:t>具体情况如下：</w:t>
      </w:r>
    </w:p>
    <w:p w14:paraId="0BCBDF6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0AFBA9E">
      <w:pPr>
        <w:spacing w:line="580" w:lineRule="exact"/>
        <w:ind w:firstLine="640"/>
        <w:jc w:val="both"/>
      </w:pPr>
      <w:r>
        <w:rPr>
          <w:rFonts w:ascii="仿宋_GB2312" w:hAnsi="仿宋_GB2312" w:eastAsia="仿宋_GB2312"/>
          <w:b w:val="0"/>
          <w:sz w:val="32"/>
        </w:rPr>
        <w:t>公务用车购置及运行维护费1.79万元，其中：公务用车购置费0.00万元，公务用车运行维护费1.79万元。公务用车运行维护费开支内容包括车辆加油费、维修费。公务用车购置数0辆，公务用车保有量3辆。国有资产占用情况中固定资产车辆5辆，与公务用车保有量差异原因是：</w:t>
      </w:r>
      <w:r>
        <w:rPr>
          <w:rFonts w:hint="eastAsia" w:ascii="仿宋_GB2312" w:hAnsi="仿宋_GB2312" w:eastAsia="仿宋_GB2312"/>
          <w:b w:val="0"/>
          <w:sz w:val="32"/>
          <w:lang w:eastAsia="zh-CN"/>
        </w:rPr>
        <w:t>本单位</w:t>
      </w:r>
      <w:r>
        <w:rPr>
          <w:rFonts w:ascii="仿宋_GB2312" w:hAnsi="仿宋_GB2312" w:eastAsia="仿宋_GB2312"/>
          <w:b w:val="0"/>
          <w:sz w:val="32"/>
        </w:rPr>
        <w:t>差异车辆为执法执勤车，预算未安排公务用车运行维护费。</w:t>
      </w:r>
    </w:p>
    <w:p w14:paraId="0D6335F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AF061E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1.79万元，决算数1.79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1.79万元，决算数1.79万元，预决算差异率0.00%，主要原因是：严格按照预算执行，预决算无差异。公务接待费全年预算数0.00万元，决算数0.00万元，预决算差异率0.00%，主要原因是：本单位无公务接待费。</w:t>
      </w:r>
    </w:p>
    <w:p w14:paraId="3A8D3512">
      <w:pPr>
        <w:spacing w:line="640" w:lineRule="exact"/>
        <w:ind w:firstLine="640"/>
        <w:jc w:val="both"/>
        <w:outlineLvl w:val="2"/>
      </w:pPr>
      <w:r>
        <w:rPr>
          <w:rFonts w:ascii="黑体" w:hAnsi="黑体" w:eastAsia="黑体"/>
          <w:sz w:val="32"/>
        </w:rPr>
        <w:t>十、其他重要事项的情况说明</w:t>
      </w:r>
    </w:p>
    <w:p w14:paraId="1BB28B97">
      <w:pPr>
        <w:spacing w:line="640" w:lineRule="exact"/>
        <w:ind w:firstLine="640"/>
        <w:jc w:val="both"/>
        <w:outlineLvl w:val="3"/>
      </w:pPr>
      <w:r>
        <w:rPr>
          <w:rFonts w:ascii="楷体_GB2312" w:hAnsi="楷体_GB2312" w:eastAsia="楷体_GB2312"/>
          <w:b/>
          <w:sz w:val="32"/>
        </w:rPr>
        <w:t>（一）机关运行经费及公用经费支出情况</w:t>
      </w:r>
    </w:p>
    <w:p w14:paraId="144C0DA4">
      <w:pPr>
        <w:spacing w:line="580" w:lineRule="exact"/>
        <w:ind w:firstLine="640"/>
        <w:jc w:val="both"/>
      </w:pPr>
      <w:r>
        <w:rPr>
          <w:rFonts w:ascii="仿宋_GB2312" w:hAnsi="仿宋_GB2312" w:eastAsia="仿宋_GB2312"/>
          <w:b w:val="0"/>
          <w:sz w:val="32"/>
        </w:rPr>
        <w:t>2024年度轮台县交通运输局（行政单位和参照公务员法管理事业单位）机关运行经费支出183.83万元，比上年增加148.67万元，增长422.84%，主要原因是：本年度增加税金及附加费用，导致机关运行经费支出增加。</w:t>
      </w:r>
    </w:p>
    <w:p w14:paraId="5DF3A531">
      <w:pPr>
        <w:spacing w:line="640" w:lineRule="exact"/>
        <w:ind w:firstLine="640"/>
        <w:jc w:val="both"/>
        <w:outlineLvl w:val="3"/>
      </w:pPr>
      <w:r>
        <w:rPr>
          <w:rFonts w:ascii="楷体_GB2312" w:hAnsi="楷体_GB2312" w:eastAsia="楷体_GB2312"/>
          <w:b/>
          <w:sz w:val="32"/>
        </w:rPr>
        <w:t>（二）政府采购情况</w:t>
      </w:r>
    </w:p>
    <w:p w14:paraId="5DD73EE0">
      <w:pPr>
        <w:spacing w:line="580" w:lineRule="exact"/>
        <w:ind w:firstLine="640"/>
        <w:jc w:val="both"/>
      </w:pPr>
      <w:r>
        <w:rPr>
          <w:rFonts w:ascii="仿宋_GB2312" w:hAnsi="仿宋_GB2312" w:eastAsia="仿宋_GB2312"/>
          <w:b w:val="0"/>
          <w:sz w:val="32"/>
        </w:rPr>
        <w:t>2024年度政府采购支出总额231.00万元，其中：政府采购货物支出139.15万元、政府采购工程支出0.00万元、政府采购服务支出91.84万元。</w:t>
      </w:r>
    </w:p>
    <w:p w14:paraId="678757BD">
      <w:pPr>
        <w:spacing w:line="580" w:lineRule="exact"/>
        <w:ind w:firstLine="640"/>
        <w:jc w:val="both"/>
      </w:pPr>
      <w:r>
        <w:rPr>
          <w:rFonts w:ascii="仿宋_GB2312" w:hAnsi="仿宋_GB2312" w:eastAsia="仿宋_GB2312"/>
          <w:b w:val="0"/>
          <w:sz w:val="32"/>
        </w:rPr>
        <w:t>授予中小企业合同金额231.00万元，占政府采购支出总额的100.00%，其中：授予小微企业合同金额231.00万元，占政府采购支出总额的100.00%。</w:t>
      </w:r>
    </w:p>
    <w:p w14:paraId="1995E7D8">
      <w:pPr>
        <w:spacing w:line="640" w:lineRule="exact"/>
        <w:ind w:firstLine="640"/>
        <w:jc w:val="both"/>
        <w:outlineLvl w:val="3"/>
      </w:pPr>
      <w:r>
        <w:rPr>
          <w:rFonts w:ascii="楷体_GB2312" w:hAnsi="楷体_GB2312" w:eastAsia="楷体_GB2312"/>
          <w:b/>
          <w:sz w:val="32"/>
        </w:rPr>
        <w:t>（三）国有资产占用情况说明</w:t>
      </w:r>
    </w:p>
    <w:p w14:paraId="150AFDC2">
      <w:pPr>
        <w:spacing w:line="580" w:lineRule="exact"/>
        <w:ind w:firstLine="640"/>
        <w:jc w:val="both"/>
      </w:pPr>
      <w:r>
        <w:rPr>
          <w:rFonts w:ascii="仿宋_GB2312" w:hAnsi="仿宋_GB2312" w:eastAsia="仿宋_GB2312"/>
          <w:b w:val="0"/>
          <w:sz w:val="32"/>
        </w:rPr>
        <w:t>截至2024年12月31日，房屋2,096.08平方米，价值261.22万元。车辆5辆，价值90.68万元，其中：副部（省）级及以上领导用车0辆、主要负责人用车0辆、机要通信用车0辆、应急保障用车0辆、执法执勤用车2辆、特种专业技术用车0辆、离退休干部服务用车0辆、其他用车3辆，其他用车主要是：单位业务用车。单价100万元（含）以上设备（不含车辆）0台（套）。</w:t>
      </w:r>
    </w:p>
    <w:p w14:paraId="10AB60B8">
      <w:pPr>
        <w:spacing w:line="640" w:lineRule="exact"/>
        <w:ind w:firstLine="640"/>
        <w:jc w:val="both"/>
        <w:outlineLvl w:val="2"/>
      </w:pPr>
      <w:r>
        <w:rPr>
          <w:rFonts w:ascii="黑体" w:hAnsi="黑体" w:eastAsia="黑体"/>
          <w:sz w:val="32"/>
        </w:rPr>
        <w:t>十一、预算绩效的情况说明</w:t>
      </w:r>
    </w:p>
    <w:p w14:paraId="37DCF63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3,471.01万元，实际执行总额3,394.18万元；预算绩效评价项目6个，全年预算数1,469.87万元，全年执行数1,469.87万元。预算绩效管理取得的成效：一是本年度已完成1个项目清偿欠款，支付巴财建</w:t>
      </w:r>
      <w:r>
        <w:rPr>
          <w:rFonts w:hint="eastAsia" w:ascii="仿宋_GB2312" w:hAnsi="仿宋_GB2312" w:eastAsia="仿宋_GB2312"/>
          <w:b w:val="0"/>
          <w:sz w:val="32"/>
          <w:lang w:eastAsia="zh-CN"/>
        </w:rPr>
        <w:t>〔2023〕38号</w:t>
      </w:r>
      <w:r>
        <w:rPr>
          <w:rFonts w:ascii="仿宋_GB2312" w:hAnsi="仿宋_GB2312" w:eastAsia="仿宋_GB2312"/>
          <w:b w:val="0"/>
          <w:sz w:val="32"/>
        </w:rPr>
        <w:t>2023年车辆购置税收入补助地方[第二批]用于农村公路建设“以奖代补”清算资金；二是防范和化解了债务风险，确保债权人的利益得到有效保障，确保公司财务状况持续稳定，为民营经济发展营造了良好的政策环境。发现的问题及原因：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部分人员缺乏相关绩效管理专业知识，自评价工作还存在自我审定的局限性，影响评价质量。二是因轮岗、调动</w:t>
      </w:r>
      <w:r>
        <w:rPr>
          <w:rFonts w:hint="eastAsia" w:ascii="仿宋_GB2312" w:hAnsi="仿宋_GB2312" w:eastAsia="仿宋_GB2312"/>
          <w:b w:val="0"/>
          <w:sz w:val="32"/>
          <w:lang w:eastAsia="zh-CN"/>
        </w:rPr>
        <w:t>等</w:t>
      </w:r>
      <w:r>
        <w:rPr>
          <w:rFonts w:ascii="仿宋_GB2312" w:hAnsi="仿宋_GB2312" w:eastAsia="仿宋_GB2312"/>
          <w:b w:val="0"/>
          <w:sz w:val="32"/>
        </w:rPr>
        <w:t>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w:t>
      </w:r>
      <w:r>
        <w:rPr>
          <w:rFonts w:hint="eastAsia" w:ascii="仿宋_GB2312" w:hAnsi="仿宋_GB2312" w:eastAsia="仿宋_GB2312"/>
          <w:b w:val="0"/>
          <w:sz w:val="32"/>
          <w:lang w:eastAsia="zh-CN"/>
        </w:rPr>
        <w:t>造成</w:t>
      </w:r>
      <w:r>
        <w:rPr>
          <w:rFonts w:ascii="仿宋_GB2312" w:hAnsi="仿宋_GB2312" w:eastAsia="仿宋_GB2312"/>
          <w:b w:val="0"/>
          <w:sz w:val="32"/>
        </w:rPr>
        <w:t>工作衔接不到位的情况。三是对项目绩效的认识还不够深入，相关知识了解还不够、掌握还不够多，把绩效管理简单等同于工作目标、工作考核和业务管理。下一步改进措施：一是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二是进一步完善项目评价过程中有关数据和资料的收集、整理、审核及分析。项目启动时同步做好档案的归纳与整理，及时整理、收集、汇总，健全档案资料。项目后续管理有待进一步加强和跟踪。三是进一步加强对绩效管理工作的组织领导，提高对预算绩效管理工作重要性的认识，总结经验查找问题，抓紧研究制定更全面更完善的绩效评价管理办法。建立绩效工作考核制度，加大全局对全面实施预算绩效管理和绩效管理工作的学习力度，让“花钱必问效，无效必问责”的理念深入工作每个环节。具体附整体支出绩效自评表，项目支出绩效自评表和评价报告。</w:t>
      </w:r>
    </w:p>
    <w:p w14:paraId="29FE424D">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35E4B4B">
        <w:tblPrEx>
          <w:tblCellMar>
            <w:top w:w="0" w:type="dxa"/>
            <w:left w:w="108" w:type="dxa"/>
            <w:bottom w:w="0" w:type="dxa"/>
            <w:right w:w="108" w:type="dxa"/>
          </w:tblCellMar>
        </w:tblPrEx>
        <w:tc>
          <w:tcPr>
            <w:tcW w:w="8840" w:type="dxa"/>
            <w:gridSpan w:val="8"/>
            <w:vAlign w:val="center"/>
          </w:tcPr>
          <w:p w14:paraId="7D13AF17">
            <w:pPr>
              <w:jc w:val="center"/>
            </w:pPr>
            <w:r>
              <w:rPr>
                <w:rFonts w:ascii="宋体" w:hAnsi="宋体" w:eastAsia="宋体"/>
                <w:sz w:val="24"/>
              </w:rPr>
              <w:t>单位整体支出绩效自评表</w:t>
            </w:r>
          </w:p>
        </w:tc>
      </w:tr>
      <w:tr w14:paraId="1A650F51">
        <w:tblPrEx>
          <w:tblCellMar>
            <w:top w:w="0" w:type="dxa"/>
            <w:left w:w="108" w:type="dxa"/>
            <w:bottom w:w="0" w:type="dxa"/>
            <w:right w:w="108" w:type="dxa"/>
          </w:tblCellMar>
        </w:tblPrEx>
        <w:tc>
          <w:tcPr>
            <w:tcW w:w="8840" w:type="dxa"/>
            <w:gridSpan w:val="8"/>
            <w:vAlign w:val="center"/>
          </w:tcPr>
          <w:p w14:paraId="3209F138">
            <w:pPr>
              <w:jc w:val="center"/>
            </w:pPr>
            <w:r>
              <w:rPr>
                <w:rFonts w:ascii="宋体" w:hAnsi="宋体" w:eastAsia="宋体"/>
                <w:sz w:val="24"/>
              </w:rPr>
              <w:t>（2024年度）</w:t>
            </w:r>
          </w:p>
        </w:tc>
      </w:tr>
      <w:tr w14:paraId="58F93E0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4EB0A2">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95EC0F">
            <w:pPr>
              <w:jc w:val="center"/>
            </w:pPr>
            <w:r>
              <w:rPr>
                <w:rFonts w:ascii="宋体" w:hAnsi="宋体" w:eastAsia="宋体"/>
                <w:sz w:val="16"/>
              </w:rPr>
              <w:t>轮台县交通运输局</w:t>
            </w:r>
          </w:p>
        </w:tc>
      </w:tr>
      <w:tr w14:paraId="0189099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5A9F14">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CCCDFA">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822923">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68FE6D">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D5BE23">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7DDAB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81A52F">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B3761D">
            <w:pPr>
              <w:jc w:val="center"/>
            </w:pPr>
            <w:r>
              <w:rPr>
                <w:rFonts w:ascii="宋体" w:hAnsi="宋体" w:eastAsia="宋体"/>
                <w:sz w:val="16"/>
              </w:rPr>
              <w:t>得分</w:t>
            </w:r>
          </w:p>
        </w:tc>
      </w:tr>
      <w:tr w14:paraId="166AD40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6FC0B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722C04">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D13588">
            <w:pPr>
              <w:jc w:val="center"/>
            </w:pPr>
            <w:r>
              <w:rPr>
                <w:rFonts w:ascii="宋体" w:hAnsi="宋体" w:eastAsia="宋体"/>
                <w:sz w:val="16"/>
              </w:rPr>
              <w:t>1,299.56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AB087E">
            <w:pPr>
              <w:jc w:val="center"/>
            </w:pPr>
            <w:r>
              <w:rPr>
                <w:rFonts w:ascii="宋体" w:hAnsi="宋体" w:eastAsia="宋体"/>
                <w:sz w:val="16"/>
              </w:rPr>
              <w:t>3,471.01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33B66E">
            <w:pPr>
              <w:jc w:val="center"/>
            </w:pPr>
            <w:r>
              <w:rPr>
                <w:rFonts w:ascii="宋体" w:hAnsi="宋体" w:eastAsia="宋体"/>
                <w:sz w:val="16"/>
              </w:rPr>
              <w:t>3,394.18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70EFA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6AB140">
            <w:pPr>
              <w:jc w:val="center"/>
            </w:pPr>
            <w:r>
              <w:rPr>
                <w:rFonts w:ascii="宋体" w:hAnsi="宋体" w:eastAsia="宋体"/>
                <w:sz w:val="16"/>
              </w:rPr>
              <w:t>97.79%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C9BC85">
            <w:pPr>
              <w:jc w:val="center"/>
            </w:pPr>
            <w:r>
              <w:rPr>
                <w:rFonts w:ascii="宋体" w:hAnsi="宋体" w:eastAsia="宋体"/>
                <w:sz w:val="16"/>
              </w:rPr>
              <w:t>9.78</w:t>
            </w:r>
          </w:p>
        </w:tc>
      </w:tr>
      <w:tr w14:paraId="679B84E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1FB9E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A84D70">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39B415">
            <w:pPr>
              <w:jc w:val="center"/>
            </w:pPr>
            <w:r>
              <w:rPr>
                <w:rFonts w:ascii="宋体" w:hAnsi="宋体" w:eastAsia="宋体"/>
                <w:sz w:val="16"/>
              </w:rPr>
              <w:t>909.90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1C44BD">
            <w:pPr>
              <w:jc w:val="center"/>
            </w:pPr>
            <w:r>
              <w:rPr>
                <w:rFonts w:ascii="宋体" w:hAnsi="宋体" w:eastAsia="宋体"/>
                <w:sz w:val="16"/>
              </w:rPr>
              <w:t>2,077.07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C0809D">
            <w:pPr>
              <w:jc w:val="center"/>
            </w:pPr>
            <w:r>
              <w:rPr>
                <w:rFonts w:ascii="宋体" w:hAnsi="宋体" w:eastAsia="宋体"/>
                <w:sz w:val="16"/>
              </w:rPr>
              <w:t>2,077.07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1A612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35388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647129">
            <w:pPr>
              <w:jc w:val="center"/>
            </w:pPr>
            <w:r>
              <w:rPr>
                <w:rFonts w:ascii="宋体" w:hAnsi="宋体" w:eastAsia="宋体"/>
                <w:sz w:val="16"/>
              </w:rPr>
              <w:t>-</w:t>
            </w:r>
          </w:p>
        </w:tc>
      </w:tr>
      <w:tr w14:paraId="49C0CF3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8AF49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E30A8D">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2A97AE">
            <w:pPr>
              <w:jc w:val="center"/>
            </w:pPr>
            <w:r>
              <w:rPr>
                <w:rFonts w:ascii="宋体" w:hAnsi="宋体" w:eastAsia="宋体"/>
                <w:sz w:val="16"/>
              </w:rPr>
              <w:t>389.66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097E98">
            <w:pPr>
              <w:jc w:val="center"/>
            </w:pPr>
            <w:r>
              <w:rPr>
                <w:rFonts w:ascii="宋体" w:hAnsi="宋体" w:eastAsia="宋体"/>
                <w:sz w:val="16"/>
              </w:rPr>
              <w:t>731.20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72FBAC">
            <w:pPr>
              <w:jc w:val="center"/>
            </w:pPr>
            <w:r>
              <w:rPr>
                <w:rFonts w:ascii="宋体" w:hAnsi="宋体" w:eastAsia="宋体"/>
                <w:sz w:val="16"/>
              </w:rPr>
              <w:t>731.20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8E966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C8CE4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9E18C2">
            <w:pPr>
              <w:jc w:val="center"/>
            </w:pPr>
            <w:r>
              <w:rPr>
                <w:rFonts w:ascii="宋体" w:hAnsi="宋体" w:eastAsia="宋体"/>
                <w:sz w:val="16"/>
              </w:rPr>
              <w:t>-</w:t>
            </w:r>
          </w:p>
        </w:tc>
      </w:tr>
      <w:tr w14:paraId="1267354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DB524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8C45DD">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7A533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33A169">
            <w:pPr>
              <w:jc w:val="center"/>
            </w:pPr>
            <w:r>
              <w:rPr>
                <w:rFonts w:ascii="宋体" w:hAnsi="宋体" w:eastAsia="宋体"/>
                <w:sz w:val="16"/>
              </w:rPr>
              <w:t>662.74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3AEB18">
            <w:pPr>
              <w:jc w:val="center"/>
            </w:pPr>
            <w:r>
              <w:rPr>
                <w:rFonts w:ascii="宋体" w:hAnsi="宋体" w:eastAsia="宋体"/>
                <w:sz w:val="16"/>
              </w:rPr>
              <w:t>585.91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43884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3E5AF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F1682C">
            <w:pPr>
              <w:jc w:val="center"/>
            </w:pPr>
            <w:r>
              <w:rPr>
                <w:rFonts w:ascii="宋体" w:hAnsi="宋体" w:eastAsia="宋体"/>
                <w:sz w:val="16"/>
              </w:rPr>
              <w:t>-</w:t>
            </w:r>
          </w:p>
        </w:tc>
      </w:tr>
      <w:tr w14:paraId="3EC245D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BB426C">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CD60AA">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C5C53B6">
            <w:pPr>
              <w:jc w:val="center"/>
            </w:pPr>
            <w:r>
              <w:rPr>
                <w:rFonts w:ascii="宋体" w:hAnsi="宋体" w:eastAsia="宋体"/>
                <w:sz w:val="16"/>
              </w:rPr>
              <w:t>实际完成情况</w:t>
            </w:r>
          </w:p>
        </w:tc>
      </w:tr>
      <w:tr w14:paraId="64D4FFF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6D78F8"/>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EF41102">
            <w:pPr>
              <w:jc w:val="both"/>
            </w:pPr>
            <w:r>
              <w:rPr>
                <w:rFonts w:ascii="宋体" w:hAnsi="宋体" w:eastAsia="宋体"/>
                <w:sz w:val="16"/>
              </w:rPr>
              <w:t>1.强力推进项目建设，不断创新投融资机制，着重抓好交通强国试点支撑项目实施，持续提升项目建设管理水平；</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2.促进交通运输高水平对外开放；发放150辆农村客运运营车辆补助。</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3.完善农村交通基础设施，提高农村公路管养水平；</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4.持续深化交通科技创新，大力推进智慧交通建设，不断加快交通绿色低碳发展；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5.做好交通运输安全生产工作，持续推进交通运输应急管理体系和能力现代化。</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6.保障县级、乡级、村级道路建设和养护，保障农村公路安全畅通。完成推进道路建设项目3个，农村公路提质升级里程8.958公里，开展修复养护大修农村公路里程7.8公里，养护农村公路面积22649平方米。</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7.围绕群众关心的安全便捷出行重点难点问题，逐步整合现有客运市场运力，推进城乡公交一体发展。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65E55AC">
            <w:pPr>
              <w:jc w:val="both"/>
            </w:pPr>
            <w:r>
              <w:rPr>
                <w:rFonts w:ascii="宋体" w:hAnsi="宋体" w:eastAsia="宋体"/>
                <w:sz w:val="16"/>
              </w:rPr>
              <w:t>为了落实推动经济高质量发展，加快交通基础设施建设要求，2024年已完成：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1.已完成推进道路建设工作，完成了3个道路建设项目，积极推进乡村振兴战略效益，不断提高我县农村公路的好路率。</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2.已完成农村公路养护工作，农村公路提质升级里程达到了8.958公里，修复养护大修农村公路里程达到了7.8公里，养护农村公路面积达到了22649平方米，提高公路养护水平，改善交通出行条件。</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 已完成农村客运运营车辆补助车辆数</w:t>
            </w:r>
            <w:r>
              <w:rPr>
                <w:rFonts w:hint="eastAsia" w:ascii="宋体" w:hAnsi="宋体"/>
                <w:sz w:val="16"/>
                <w:lang w:eastAsia="zh-CN"/>
              </w:rPr>
              <w:t>达到</w:t>
            </w:r>
            <w:r>
              <w:rPr>
                <w:rFonts w:ascii="宋体" w:hAnsi="宋体" w:eastAsia="宋体"/>
                <w:sz w:val="16"/>
              </w:rPr>
              <w:t>150辆，发展绿色交通体系，积极推进新能源汽车运营政策落实。推动形成统一开放、竞争有序、制度完备、治理完善的交通运输市场体系。</w:t>
            </w:r>
          </w:p>
        </w:tc>
      </w:tr>
      <w:tr w14:paraId="306F672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264DC5">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61BB01">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C80696">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EEDF89">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0AF2C9">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AB70A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8C159F">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67ADEC">
            <w:pPr>
              <w:jc w:val="center"/>
            </w:pPr>
            <w:r>
              <w:rPr>
                <w:rFonts w:ascii="宋体" w:hAnsi="宋体" w:eastAsia="宋体"/>
                <w:sz w:val="16"/>
              </w:rPr>
              <w:t>得分</w:t>
            </w:r>
          </w:p>
        </w:tc>
      </w:tr>
      <w:tr w14:paraId="446EBFA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6D7D8D">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A33793">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BBD39B">
            <w:pPr>
              <w:jc w:val="center"/>
            </w:pPr>
            <w:r>
              <w:rPr>
                <w:rFonts w:ascii="宋体" w:hAnsi="宋体" w:eastAsia="宋体"/>
                <w:sz w:val="16"/>
              </w:rPr>
              <w:t>推进道路建设项目个数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03150F">
            <w:pPr>
              <w:jc w:val="center"/>
            </w:pPr>
            <w:r>
              <w:rPr>
                <w:rFonts w:ascii="宋体" w:hAnsi="宋体" w:eastAsia="宋体"/>
                <w:sz w:val="16"/>
              </w:rPr>
              <w:t>&gt;=3个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8AE94B">
            <w:pPr>
              <w:jc w:val="center"/>
            </w:pPr>
            <w:r>
              <w:rPr>
                <w:rFonts w:ascii="宋体" w:hAnsi="宋体" w:eastAsia="宋体"/>
                <w:sz w:val="16"/>
              </w:rPr>
              <w:t>轮台县交通运输局2024年工作计划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573D8C">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CB1CCB">
            <w:pPr>
              <w:jc w:val="center"/>
            </w:pPr>
            <w:r>
              <w:rPr>
                <w:rFonts w:ascii="宋体" w:hAnsi="宋体" w:eastAsia="宋体"/>
                <w:sz w:val="16"/>
              </w:rPr>
              <w: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BE488F">
            <w:pPr>
              <w:jc w:val="center"/>
            </w:pPr>
            <w:r>
              <w:rPr>
                <w:rFonts w:ascii="宋体" w:hAnsi="宋体" w:eastAsia="宋体"/>
                <w:sz w:val="16"/>
              </w:rPr>
              <w:t>18</w:t>
            </w:r>
          </w:p>
        </w:tc>
      </w:tr>
      <w:tr w14:paraId="2E72AC0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60135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08EA6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BF661A">
            <w:pPr>
              <w:jc w:val="center"/>
            </w:pPr>
            <w:r>
              <w:rPr>
                <w:rFonts w:ascii="宋体" w:hAnsi="宋体" w:eastAsia="宋体"/>
                <w:sz w:val="16"/>
              </w:rPr>
              <w:t>农村公路提质升级里程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144352">
            <w:pPr>
              <w:jc w:val="center"/>
            </w:pPr>
            <w:r>
              <w:rPr>
                <w:rFonts w:ascii="宋体" w:hAnsi="宋体" w:eastAsia="宋体"/>
                <w:sz w:val="16"/>
              </w:rPr>
              <w:t>&gt;=8.958公里</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889546">
            <w:pPr>
              <w:jc w:val="center"/>
            </w:pPr>
            <w:r>
              <w:rPr>
                <w:rFonts w:ascii="宋体" w:hAnsi="宋体" w:eastAsia="宋体"/>
                <w:sz w:val="16"/>
              </w:rPr>
              <w:t>轮台县交通运输局2024年工作计划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03B9FE">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88BDC5">
            <w:pPr>
              <w:jc w:val="center"/>
            </w:pPr>
            <w:r>
              <w:rPr>
                <w:rFonts w:ascii="宋体" w:hAnsi="宋体" w:eastAsia="宋体"/>
                <w:sz w:val="16"/>
              </w:rPr>
              <w:t>8.958公里</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647DCD">
            <w:pPr>
              <w:jc w:val="center"/>
            </w:pPr>
            <w:r>
              <w:rPr>
                <w:rFonts w:ascii="宋体" w:hAnsi="宋体" w:eastAsia="宋体"/>
                <w:sz w:val="16"/>
              </w:rPr>
              <w:t>18</w:t>
            </w:r>
          </w:p>
        </w:tc>
      </w:tr>
      <w:tr w14:paraId="04CFE13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0DC5C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81CE8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3FB8F5">
            <w:pPr>
              <w:jc w:val="center"/>
            </w:pPr>
            <w:r>
              <w:rPr>
                <w:rFonts w:ascii="宋体" w:hAnsi="宋体" w:eastAsia="宋体"/>
                <w:sz w:val="16"/>
              </w:rPr>
              <w:t>开展修复养护大修农村公路里程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5E9584">
            <w:pPr>
              <w:jc w:val="center"/>
            </w:pPr>
            <w:r>
              <w:rPr>
                <w:rFonts w:ascii="宋体" w:hAnsi="宋体" w:eastAsia="宋体"/>
                <w:sz w:val="16"/>
              </w:rPr>
              <w:t>&gt;=7.8公里</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1024DF">
            <w:pPr>
              <w:jc w:val="center"/>
            </w:pPr>
            <w:r>
              <w:rPr>
                <w:rFonts w:ascii="宋体" w:hAnsi="宋体" w:eastAsia="宋体"/>
                <w:sz w:val="16"/>
              </w:rPr>
              <w:t>轮台县交通运输局2024年工作计划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79FFF5">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A8D98F">
            <w:pPr>
              <w:jc w:val="center"/>
            </w:pPr>
            <w:r>
              <w:rPr>
                <w:rFonts w:ascii="宋体" w:hAnsi="宋体" w:eastAsia="宋体"/>
                <w:sz w:val="16"/>
              </w:rPr>
              <w:t>7.8公里</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C907A7">
            <w:pPr>
              <w:jc w:val="center"/>
            </w:pPr>
            <w:r>
              <w:rPr>
                <w:rFonts w:ascii="宋体" w:hAnsi="宋体" w:eastAsia="宋体"/>
                <w:sz w:val="16"/>
              </w:rPr>
              <w:t>18</w:t>
            </w:r>
          </w:p>
        </w:tc>
      </w:tr>
      <w:tr w14:paraId="1390B5F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0F752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45A64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8AC2E3">
            <w:pPr>
              <w:jc w:val="center"/>
            </w:pPr>
            <w:r>
              <w:rPr>
                <w:rFonts w:ascii="宋体" w:hAnsi="宋体" w:eastAsia="宋体"/>
                <w:sz w:val="16"/>
              </w:rPr>
              <w:t>养护农村公路面积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7AC4A8">
            <w:pPr>
              <w:jc w:val="center"/>
            </w:pPr>
            <w:r>
              <w:rPr>
                <w:rFonts w:ascii="宋体" w:hAnsi="宋体" w:eastAsia="宋体"/>
                <w:sz w:val="16"/>
              </w:rPr>
              <w:t>&gt;=22649平方米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4EC491">
            <w:pPr>
              <w:jc w:val="center"/>
            </w:pPr>
            <w:r>
              <w:rPr>
                <w:rFonts w:ascii="宋体" w:hAnsi="宋体" w:eastAsia="宋体"/>
                <w:sz w:val="16"/>
              </w:rPr>
              <w:t>轮台县交通运输局2024年工作计划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94CC3B">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7DA553">
            <w:pPr>
              <w:jc w:val="center"/>
            </w:pPr>
            <w:r>
              <w:rPr>
                <w:rFonts w:ascii="宋体" w:hAnsi="宋体" w:eastAsia="宋体"/>
                <w:sz w:val="16"/>
              </w:rPr>
              <w:t>22649平方米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7635A6">
            <w:pPr>
              <w:jc w:val="center"/>
            </w:pPr>
            <w:r>
              <w:rPr>
                <w:rFonts w:ascii="宋体" w:hAnsi="宋体" w:eastAsia="宋体"/>
                <w:sz w:val="16"/>
              </w:rPr>
              <w:t>18</w:t>
            </w:r>
          </w:p>
        </w:tc>
      </w:tr>
      <w:tr w14:paraId="4DB2D52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8DD34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D607D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3EFB11">
            <w:pPr>
              <w:jc w:val="center"/>
            </w:pPr>
            <w:r>
              <w:rPr>
                <w:rFonts w:ascii="宋体" w:hAnsi="宋体" w:eastAsia="宋体"/>
                <w:sz w:val="16"/>
              </w:rPr>
              <w:t>农村客运运营车辆补助数量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5C8140">
            <w:pPr>
              <w:jc w:val="center"/>
            </w:pPr>
            <w:r>
              <w:rPr>
                <w:rFonts w:ascii="宋体" w:hAnsi="宋体" w:eastAsia="宋体"/>
                <w:sz w:val="16"/>
              </w:rPr>
              <w:t>&gt;=150辆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316CEB">
            <w:pPr>
              <w:jc w:val="center"/>
            </w:pPr>
            <w:r>
              <w:rPr>
                <w:rFonts w:ascii="宋体" w:hAnsi="宋体" w:eastAsia="宋体"/>
                <w:sz w:val="16"/>
              </w:rPr>
              <w:t>轮台县交通运输局2024年工作计划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5AD76C">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8FD53E">
            <w:pPr>
              <w:jc w:val="center"/>
            </w:pPr>
            <w:r>
              <w:rPr>
                <w:rFonts w:ascii="宋体" w:hAnsi="宋体" w:eastAsia="宋体"/>
                <w:sz w:val="16"/>
              </w:rPr>
              <w:t>150辆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085CB7">
            <w:pPr>
              <w:jc w:val="center"/>
            </w:pPr>
            <w:r>
              <w:rPr>
                <w:rFonts w:ascii="宋体" w:hAnsi="宋体" w:eastAsia="宋体"/>
                <w:sz w:val="16"/>
              </w:rPr>
              <w:t>18</w:t>
            </w:r>
          </w:p>
        </w:tc>
      </w:tr>
    </w:tbl>
    <w:p w14:paraId="1A01FA8B">
      <w:r>
        <w:br w:type="page"/>
      </w:r>
    </w:p>
    <w:tbl>
      <w:tblPr>
        <w:tblStyle w:val="9"/>
        <w:tblW w:w="0" w:type="auto"/>
        <w:tblInd w:w="0" w:type="dxa"/>
        <w:tblLayout w:type="autofit"/>
        <w:tblCellMar>
          <w:top w:w="0" w:type="dxa"/>
          <w:left w:w="108" w:type="dxa"/>
          <w:bottom w:w="0" w:type="dxa"/>
          <w:right w:w="108" w:type="dxa"/>
        </w:tblCellMar>
      </w:tblPr>
      <w:tblGrid>
        <w:gridCol w:w="625"/>
        <w:gridCol w:w="613"/>
        <w:gridCol w:w="613"/>
        <w:gridCol w:w="856"/>
        <w:gridCol w:w="696"/>
        <w:gridCol w:w="613"/>
        <w:gridCol w:w="613"/>
        <w:gridCol w:w="619"/>
        <w:gridCol w:w="613"/>
        <w:gridCol w:w="613"/>
        <w:gridCol w:w="631"/>
        <w:gridCol w:w="626"/>
        <w:gridCol w:w="697"/>
        <w:gridCol w:w="632"/>
      </w:tblGrid>
      <w:tr w14:paraId="6E2F9AA8">
        <w:tblPrEx>
          <w:tblCellMar>
            <w:top w:w="0" w:type="dxa"/>
            <w:left w:w="108" w:type="dxa"/>
            <w:bottom w:w="0" w:type="dxa"/>
            <w:right w:w="108" w:type="dxa"/>
          </w:tblCellMar>
        </w:tblPrEx>
        <w:tc>
          <w:tcPr>
            <w:tcW w:w="8848" w:type="dxa"/>
            <w:gridSpan w:val="14"/>
            <w:vAlign w:val="center"/>
          </w:tcPr>
          <w:p w14:paraId="02883C56">
            <w:pPr>
              <w:jc w:val="center"/>
            </w:pPr>
            <w:r>
              <w:rPr>
                <w:rFonts w:ascii="宋体" w:hAnsi="宋体" w:eastAsia="宋体"/>
                <w:sz w:val="24"/>
              </w:rPr>
              <w:t>项目支出绩效自评表</w:t>
            </w:r>
          </w:p>
        </w:tc>
      </w:tr>
      <w:tr w14:paraId="5F5B4A1C">
        <w:tblPrEx>
          <w:tblCellMar>
            <w:top w:w="0" w:type="dxa"/>
            <w:left w:w="108" w:type="dxa"/>
            <w:bottom w:w="0" w:type="dxa"/>
            <w:right w:w="108" w:type="dxa"/>
          </w:tblCellMar>
        </w:tblPrEx>
        <w:tc>
          <w:tcPr>
            <w:tcW w:w="8848" w:type="dxa"/>
            <w:gridSpan w:val="14"/>
            <w:vAlign w:val="center"/>
          </w:tcPr>
          <w:p w14:paraId="2DD8A4CD">
            <w:pPr>
              <w:jc w:val="center"/>
            </w:pPr>
            <w:r>
              <w:rPr>
                <w:rFonts w:ascii="宋体" w:hAnsi="宋体" w:eastAsia="宋体"/>
                <w:sz w:val="24"/>
              </w:rPr>
              <w:t>(2024年度)</w:t>
            </w:r>
          </w:p>
        </w:tc>
      </w:tr>
      <w:tr w14:paraId="265BF3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92E8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72AA439">
            <w:pPr>
              <w:jc w:val="center"/>
            </w:pPr>
            <w:r>
              <w:rPr>
                <w:rFonts w:ascii="宋体" w:hAnsi="宋体" w:eastAsia="宋体"/>
                <w:sz w:val="16"/>
              </w:rPr>
              <w:t>交通局：巴财建</w:t>
            </w:r>
            <w:r>
              <w:rPr>
                <w:rFonts w:hint="eastAsia" w:ascii="宋体" w:hAnsi="宋体"/>
                <w:sz w:val="16"/>
                <w:lang w:eastAsia="zh-CN"/>
              </w:rPr>
              <w:t>〔2023〕112号</w:t>
            </w:r>
            <w:r>
              <w:rPr>
                <w:rFonts w:ascii="宋体" w:hAnsi="宋体" w:eastAsia="宋体"/>
                <w:sz w:val="16"/>
              </w:rPr>
              <w:t>关于预拨2023年度农村客运补贴资金及城市交通发展奖励资金预算的通知（[新能源出租车]，[农村客运40万元，传统能源公交车34.2万元]）</w:t>
            </w:r>
          </w:p>
        </w:tc>
      </w:tr>
      <w:tr w14:paraId="1E08A6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7077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F267CE">
            <w:pPr>
              <w:jc w:val="center"/>
              <w:rPr>
                <w:rFonts w:hint="eastAsia" w:eastAsia="宋体"/>
                <w:lang w:eastAsia="zh-CN"/>
              </w:rPr>
            </w:pPr>
            <w:r>
              <w:rPr>
                <w:rFonts w:hint="eastAsia" w:ascii="宋体" w:hAnsi="宋体"/>
                <w:sz w:val="16"/>
                <w:lang w:eastAsia="zh-CN"/>
              </w:rPr>
              <w:t>轮台县交通运输局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D0C0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7D13DC">
            <w:pPr>
              <w:jc w:val="center"/>
            </w:pPr>
            <w:r>
              <w:rPr>
                <w:rFonts w:ascii="宋体" w:hAnsi="宋体" w:eastAsia="宋体"/>
                <w:sz w:val="16"/>
              </w:rPr>
              <w:t>轮台县交通运输局</w:t>
            </w:r>
          </w:p>
        </w:tc>
      </w:tr>
      <w:tr w14:paraId="1B69BC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CE96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C08D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4E9C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5E92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F336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B80AE">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754D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F071A">
            <w:pPr>
              <w:jc w:val="center"/>
            </w:pPr>
            <w:r>
              <w:rPr>
                <w:rFonts w:ascii="宋体" w:hAnsi="宋体" w:eastAsia="宋体"/>
                <w:sz w:val="16"/>
              </w:rPr>
              <w:t>得分</w:t>
            </w:r>
          </w:p>
        </w:tc>
      </w:tr>
      <w:tr w14:paraId="44AE7D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C97EE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DD94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84377">
            <w:pPr>
              <w:jc w:val="center"/>
            </w:pPr>
            <w:r>
              <w:rPr>
                <w:rFonts w:ascii="宋体" w:hAnsi="宋体" w:eastAsia="宋体"/>
                <w:sz w:val="16"/>
              </w:rPr>
              <w:t>129.20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AF722">
            <w:pPr>
              <w:jc w:val="center"/>
            </w:pPr>
            <w:r>
              <w:rPr>
                <w:rFonts w:ascii="宋体" w:hAnsi="宋体" w:eastAsia="宋体"/>
                <w:sz w:val="16"/>
              </w:rPr>
              <w:t>160.40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0F65E">
            <w:pPr>
              <w:jc w:val="center"/>
            </w:pPr>
            <w:r>
              <w:rPr>
                <w:rFonts w:ascii="宋体" w:hAnsi="宋体" w:eastAsia="宋体"/>
                <w:sz w:val="16"/>
              </w:rPr>
              <w:t>160.40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1D0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8CE3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3BFFA">
            <w:pPr>
              <w:jc w:val="center"/>
            </w:pPr>
            <w:r>
              <w:rPr>
                <w:rFonts w:ascii="宋体" w:hAnsi="宋体" w:eastAsia="宋体"/>
                <w:sz w:val="16"/>
              </w:rPr>
              <w:t>10.00</w:t>
            </w:r>
          </w:p>
        </w:tc>
      </w:tr>
      <w:tr w14:paraId="6B9DF7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557C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4C35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3F3A2">
            <w:pPr>
              <w:jc w:val="center"/>
            </w:pPr>
            <w:r>
              <w:rPr>
                <w:rFonts w:ascii="宋体" w:hAnsi="宋体" w:eastAsia="宋体"/>
                <w:sz w:val="16"/>
              </w:rPr>
              <w:t>129.20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04D62">
            <w:pPr>
              <w:jc w:val="center"/>
            </w:pPr>
            <w:r>
              <w:rPr>
                <w:rFonts w:ascii="宋体" w:hAnsi="宋体" w:eastAsia="宋体"/>
                <w:sz w:val="16"/>
              </w:rPr>
              <w:t>160.40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C383A">
            <w:pPr>
              <w:jc w:val="center"/>
            </w:pPr>
            <w:r>
              <w:rPr>
                <w:rFonts w:ascii="宋体" w:hAnsi="宋体" w:eastAsia="宋体"/>
                <w:sz w:val="16"/>
              </w:rPr>
              <w:t>160.40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075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361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5F54F">
            <w:pPr>
              <w:jc w:val="center"/>
            </w:pPr>
            <w:r>
              <w:rPr>
                <w:rFonts w:ascii="宋体" w:hAnsi="宋体" w:eastAsia="宋体"/>
                <w:sz w:val="16"/>
              </w:rPr>
              <w:t>-</w:t>
            </w:r>
          </w:p>
        </w:tc>
      </w:tr>
      <w:tr w14:paraId="6DED22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504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5B55A">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064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7EE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C93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264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F54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562F0">
            <w:pPr>
              <w:jc w:val="center"/>
            </w:pPr>
            <w:r>
              <w:rPr>
                <w:rFonts w:ascii="宋体" w:hAnsi="宋体" w:eastAsia="宋体"/>
                <w:sz w:val="16"/>
              </w:rPr>
              <w:t>-</w:t>
            </w:r>
          </w:p>
        </w:tc>
      </w:tr>
      <w:tr w14:paraId="3492B9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14F07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BB8166">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48F4DB">
            <w:pPr>
              <w:jc w:val="center"/>
            </w:pPr>
            <w:r>
              <w:rPr>
                <w:rFonts w:ascii="宋体" w:hAnsi="宋体" w:eastAsia="宋体"/>
                <w:sz w:val="16"/>
              </w:rPr>
              <w:t>总体目标完成情况</w:t>
            </w:r>
          </w:p>
        </w:tc>
      </w:tr>
      <w:tr w14:paraId="513DE1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ABDF6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66348B">
            <w:pPr>
              <w:jc w:val="both"/>
            </w:pPr>
            <w:r>
              <w:rPr>
                <w:rFonts w:ascii="宋体" w:hAnsi="宋体" w:eastAsia="宋体"/>
                <w:sz w:val="16"/>
              </w:rPr>
              <w:t>对农村客运、城市公交燃油消耗进行补助，补助标准略高于上年度或与上年度基本持平。</w:t>
            </w:r>
            <w:r>
              <w:rPr>
                <w:rFonts w:ascii="宋体" w:hAnsi="宋体" w:eastAsia="宋体"/>
                <w:sz w:val="16"/>
              </w:rPr>
              <w:br w:type="textWrapping"/>
            </w:r>
            <w:r>
              <w:rPr>
                <w:rFonts w:ascii="宋体" w:hAnsi="宋体" w:eastAsia="宋体"/>
                <w:sz w:val="16"/>
              </w:rPr>
              <w:t>目标1：发放新能源出租汽车购置补助车辆数不少于55辆，补助农村客运车辆数不少于16辆，补助城市公交车辆数不少于79辆，鼓励农村客运、城市公交企业积极承担社会义务，切实减轻企业运行负担和地方财政压力，让人民群众共享交通运输改革发展成果，推动运输服务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42358F">
            <w:pPr>
              <w:jc w:val="both"/>
            </w:pPr>
            <w:r>
              <w:rPr>
                <w:rFonts w:hint="eastAsia" w:ascii="宋体" w:hAnsi="宋体"/>
                <w:sz w:val="16"/>
                <w:lang w:eastAsia="zh-CN"/>
              </w:rPr>
              <w:t>本单位</w:t>
            </w:r>
            <w:r>
              <w:rPr>
                <w:rFonts w:ascii="宋体" w:hAnsi="宋体" w:eastAsia="宋体"/>
                <w:sz w:val="16"/>
              </w:rPr>
              <w:t>本年度已完成发放新能源出租汽车购置补助55辆，补助农村客运车16辆，补助城市公交车79辆，鼓励农村客运、城市公交企业积极承担社会义务，切实减轻了企业运行负担和地方财政压力，让人民群众共享交通运输改革发展成果，推动了运输服务高质量发展。</w:t>
            </w:r>
          </w:p>
        </w:tc>
      </w:tr>
      <w:tr w14:paraId="31F61E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9CAB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658E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6393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49BD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784F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9207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14A96">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236A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5762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E4B5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755B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C057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690A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8DB38">
            <w:pPr>
              <w:jc w:val="center"/>
            </w:pPr>
            <w:r>
              <w:rPr>
                <w:rFonts w:ascii="宋体" w:hAnsi="宋体" w:eastAsia="宋体"/>
                <w:sz w:val="16"/>
              </w:rPr>
              <w:t>偏差原因分析及改进措施</w:t>
            </w:r>
          </w:p>
        </w:tc>
      </w:tr>
      <w:tr w14:paraId="7597F2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20544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01A36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DEC92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31966">
            <w:pPr>
              <w:jc w:val="center"/>
            </w:pPr>
            <w:r>
              <w:rPr>
                <w:rFonts w:ascii="宋体" w:hAnsi="宋体" w:eastAsia="宋体"/>
                <w:sz w:val="16"/>
              </w:rPr>
              <w:t>新能源出租汽车购置补助车辆数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FFC8B">
            <w:pPr>
              <w:jc w:val="center"/>
            </w:pPr>
            <w:r>
              <w:rPr>
                <w:rFonts w:ascii="宋体" w:hAnsi="宋体" w:eastAsia="宋体"/>
                <w:sz w:val="16"/>
              </w:rPr>
              <w:t>&gt;=55辆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B40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792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140E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A6A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165C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9342C">
            <w:pPr>
              <w:jc w:val="center"/>
            </w:pPr>
            <w:r>
              <w:rPr>
                <w:rFonts w:ascii="宋体" w:hAnsi="宋体" w:eastAsia="宋体"/>
                <w:sz w:val="16"/>
              </w:rPr>
              <w:t>=55辆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1FD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EFDF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C6C32">
            <w:pPr>
              <w:jc w:val="center"/>
            </w:pPr>
          </w:p>
        </w:tc>
      </w:tr>
      <w:tr w14:paraId="236850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D18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391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B81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A7839">
            <w:pPr>
              <w:jc w:val="center"/>
            </w:pPr>
            <w:r>
              <w:rPr>
                <w:rFonts w:ascii="宋体" w:hAnsi="宋体" w:eastAsia="宋体"/>
                <w:sz w:val="16"/>
              </w:rPr>
              <w:t>补助农村客运车辆数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1100B">
            <w:pPr>
              <w:jc w:val="center"/>
            </w:pPr>
            <w:r>
              <w:rPr>
                <w:rFonts w:ascii="宋体" w:hAnsi="宋体" w:eastAsia="宋体"/>
                <w:sz w:val="16"/>
              </w:rPr>
              <w:t>&gt;=16辆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AF3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720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934C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4C1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AB9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8B026">
            <w:pPr>
              <w:jc w:val="center"/>
            </w:pPr>
            <w:r>
              <w:rPr>
                <w:rFonts w:ascii="宋体" w:hAnsi="宋体" w:eastAsia="宋体"/>
                <w:sz w:val="16"/>
              </w:rPr>
              <w:t>=16辆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460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9F37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E1A76">
            <w:pPr>
              <w:jc w:val="center"/>
            </w:pPr>
          </w:p>
        </w:tc>
      </w:tr>
      <w:tr w14:paraId="0C3F07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F4F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BB6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C63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9187D">
            <w:pPr>
              <w:jc w:val="center"/>
            </w:pPr>
            <w:r>
              <w:rPr>
                <w:rFonts w:ascii="宋体" w:hAnsi="宋体" w:eastAsia="宋体"/>
                <w:sz w:val="16"/>
              </w:rPr>
              <w:t>补助城市公交车辆数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725A0">
            <w:pPr>
              <w:jc w:val="center"/>
            </w:pPr>
            <w:r>
              <w:rPr>
                <w:rFonts w:ascii="宋体" w:hAnsi="宋体" w:eastAsia="宋体"/>
                <w:sz w:val="16"/>
              </w:rPr>
              <w:t>&gt;=79辆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E3D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817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E1FC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473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415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C32E2">
            <w:pPr>
              <w:jc w:val="center"/>
            </w:pPr>
            <w:r>
              <w:rPr>
                <w:rFonts w:ascii="宋体" w:hAnsi="宋体" w:eastAsia="宋体"/>
                <w:sz w:val="16"/>
              </w:rPr>
              <w:t>=79辆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C6F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185D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C6D46">
            <w:pPr>
              <w:jc w:val="center"/>
            </w:pPr>
          </w:p>
        </w:tc>
      </w:tr>
      <w:tr w14:paraId="6C40DB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B92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3B4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6618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B8B4B">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95F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4EA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A12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9CD4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EC1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C717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B49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72B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86F5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1409B">
            <w:pPr>
              <w:jc w:val="center"/>
            </w:pPr>
          </w:p>
        </w:tc>
      </w:tr>
      <w:tr w14:paraId="03AC57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CE8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976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7D53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E9CF6">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F88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DF8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6EC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0E83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487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F2CD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C30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88E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DF01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8D537">
            <w:pPr>
              <w:jc w:val="center"/>
            </w:pPr>
          </w:p>
        </w:tc>
      </w:tr>
      <w:tr w14:paraId="6E2037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69D6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89435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1A1B7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F0937">
            <w:pPr>
              <w:jc w:val="center"/>
            </w:pPr>
            <w:r>
              <w:rPr>
                <w:rFonts w:ascii="宋体" w:hAnsi="宋体" w:eastAsia="宋体"/>
                <w:sz w:val="16"/>
              </w:rPr>
              <w:t>新能源出租汽车购置补助成本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EAF12">
            <w:pPr>
              <w:jc w:val="center"/>
            </w:pPr>
            <w:r>
              <w:rPr>
                <w:rFonts w:ascii="宋体" w:hAnsi="宋体" w:eastAsia="宋体"/>
                <w:sz w:val="16"/>
              </w:rPr>
              <w:t>&lt;=55万元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4D5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FE9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CEEE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230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B3DC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4E3DF">
            <w:pPr>
              <w:jc w:val="center"/>
            </w:pPr>
            <w:r>
              <w:rPr>
                <w:rFonts w:ascii="宋体" w:hAnsi="宋体" w:eastAsia="宋体"/>
                <w:sz w:val="16"/>
              </w:rPr>
              <w:t>=55万元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224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AC4B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20B90">
            <w:pPr>
              <w:jc w:val="center"/>
            </w:pPr>
          </w:p>
        </w:tc>
      </w:tr>
      <w:tr w14:paraId="00ABBC39">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558B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E80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7F3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B1640">
            <w:pPr>
              <w:jc w:val="center"/>
            </w:pPr>
            <w:r>
              <w:rPr>
                <w:rFonts w:ascii="宋体" w:hAnsi="宋体" w:eastAsia="宋体"/>
                <w:sz w:val="16"/>
              </w:rPr>
              <w:t>补助城市公交车成本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17A1B">
            <w:pPr>
              <w:jc w:val="center"/>
            </w:pPr>
            <w:r>
              <w:rPr>
                <w:rFonts w:ascii="宋体" w:hAnsi="宋体" w:eastAsia="宋体"/>
                <w:sz w:val="16"/>
              </w:rPr>
              <w:t>&lt;=49.7万元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714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BC8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1272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803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4BAA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F628B">
            <w:pPr>
              <w:jc w:val="center"/>
            </w:pPr>
            <w:r>
              <w:rPr>
                <w:rFonts w:ascii="宋体" w:hAnsi="宋体" w:eastAsia="宋体"/>
                <w:sz w:val="16"/>
              </w:rPr>
              <w:t>=49.7万元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2F3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FE91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4E031">
            <w:pPr>
              <w:jc w:val="center"/>
            </w:pPr>
          </w:p>
        </w:tc>
      </w:tr>
      <w:tr w14:paraId="0E3BF5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739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5B6B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EE9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8B193">
            <w:pPr>
              <w:jc w:val="center"/>
            </w:pPr>
            <w:r>
              <w:rPr>
                <w:rFonts w:ascii="宋体" w:hAnsi="宋体" w:eastAsia="宋体"/>
                <w:sz w:val="16"/>
              </w:rPr>
              <w:t>补助农村客运车成本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71E23">
            <w:pPr>
              <w:jc w:val="center"/>
            </w:pPr>
            <w:r>
              <w:rPr>
                <w:rFonts w:ascii="宋体" w:hAnsi="宋体" w:eastAsia="宋体"/>
                <w:sz w:val="16"/>
              </w:rPr>
              <w:t>&lt;=55.7万元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CA4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E4C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9419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71B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E5C2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B472E">
            <w:pPr>
              <w:jc w:val="center"/>
            </w:pPr>
            <w:r>
              <w:rPr>
                <w:rFonts w:ascii="宋体" w:hAnsi="宋体" w:eastAsia="宋体"/>
                <w:sz w:val="16"/>
              </w:rPr>
              <w:t>=55.7万元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0BA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9947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9A638">
            <w:pPr>
              <w:jc w:val="center"/>
            </w:pPr>
          </w:p>
        </w:tc>
      </w:tr>
      <w:tr w14:paraId="115C92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4347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E0450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B7FD4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224F6">
            <w:pPr>
              <w:jc w:val="center"/>
            </w:pPr>
            <w:r>
              <w:rPr>
                <w:rFonts w:ascii="宋体" w:hAnsi="宋体" w:eastAsia="宋体"/>
                <w:sz w:val="16"/>
              </w:rPr>
              <w:t>改善农村客运、城市公交公司运营状况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A0424">
            <w:pPr>
              <w:jc w:val="center"/>
            </w:pPr>
            <w:r>
              <w:rPr>
                <w:rFonts w:ascii="宋体" w:hAnsi="宋体" w:eastAsia="宋体"/>
                <w:sz w:val="16"/>
              </w:rPr>
              <w:t>持续改善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A94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762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B2A1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E80E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4DFE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5E671">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76E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C761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3F90A">
            <w:pPr>
              <w:jc w:val="center"/>
            </w:pPr>
          </w:p>
        </w:tc>
      </w:tr>
      <w:tr w14:paraId="70C54D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D1E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303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B06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1C425">
            <w:pPr>
              <w:jc w:val="center"/>
            </w:pPr>
            <w:r>
              <w:rPr>
                <w:rFonts w:ascii="宋体" w:hAnsi="宋体" w:eastAsia="宋体"/>
                <w:sz w:val="16"/>
              </w:rPr>
              <w:t>“公交都市”“城乡交通运输一体化”创建工作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8A23A">
            <w:pPr>
              <w:jc w:val="center"/>
            </w:pPr>
            <w:r>
              <w:rPr>
                <w:rFonts w:ascii="宋体" w:hAnsi="宋体" w:eastAsia="宋体"/>
                <w:sz w:val="16"/>
              </w:rPr>
              <w:t>持续推进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84D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5E9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8584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AA8C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4B43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3FAB9">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63A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915B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80CBF">
            <w:pPr>
              <w:jc w:val="center"/>
            </w:pPr>
          </w:p>
        </w:tc>
      </w:tr>
      <w:tr w14:paraId="5C86EC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D8A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E3A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BF7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3020E">
            <w:pPr>
              <w:jc w:val="center"/>
            </w:pPr>
            <w:r>
              <w:rPr>
                <w:rFonts w:ascii="宋体" w:hAnsi="宋体" w:eastAsia="宋体"/>
                <w:sz w:val="16"/>
              </w:rPr>
              <w:t>补助持续发挥作用期限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D3CC3">
            <w:pPr>
              <w:jc w:val="center"/>
            </w:pPr>
            <w:r>
              <w:rPr>
                <w:rFonts w:ascii="宋体" w:hAnsi="宋体" w:eastAsia="宋体"/>
                <w:sz w:val="16"/>
              </w:rPr>
              <w:t>&gt;=5年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A53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3E0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7909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02C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9F62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24F86">
            <w:pPr>
              <w:jc w:val="center"/>
            </w:pPr>
            <w:r>
              <w:rPr>
                <w:rFonts w:ascii="宋体" w:hAnsi="宋体" w:eastAsia="宋体"/>
                <w:sz w:val="16"/>
              </w:rPr>
              <w:t>=5年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1BC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33C4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BC46D">
            <w:pPr>
              <w:jc w:val="center"/>
            </w:pPr>
          </w:p>
        </w:tc>
      </w:tr>
      <w:tr w14:paraId="06D7DA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D54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9DF0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2E92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F0733">
            <w:pPr>
              <w:jc w:val="center"/>
            </w:pPr>
            <w:r>
              <w:rPr>
                <w:rFonts w:ascii="宋体" w:hAnsi="宋体" w:eastAsia="宋体"/>
                <w:sz w:val="16"/>
              </w:rPr>
              <w:t>农村、城市受益群众满意度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B4DE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9B2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244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93C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AF25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8233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5FFD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291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7EE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18016">
            <w:pPr>
              <w:jc w:val="center"/>
            </w:pPr>
          </w:p>
        </w:tc>
      </w:tr>
      <w:tr w14:paraId="487D0E3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244CFB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99FE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5E06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2328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062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53992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19D62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21001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6217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BBEA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B5426E"/>
        </w:tc>
      </w:tr>
    </w:tbl>
    <w:p w14:paraId="5FBD2777">
      <w:r>
        <w:br w:type="page"/>
      </w:r>
    </w:p>
    <w:tbl>
      <w:tblPr>
        <w:tblStyle w:val="9"/>
        <w:tblW w:w="0" w:type="auto"/>
        <w:tblInd w:w="0" w:type="dxa"/>
        <w:tblLayout w:type="fixed"/>
        <w:tblCellMar>
          <w:top w:w="0" w:type="dxa"/>
          <w:left w:w="108" w:type="dxa"/>
          <w:bottom w:w="0" w:type="dxa"/>
          <w:right w:w="108" w:type="dxa"/>
        </w:tblCellMar>
      </w:tblPr>
      <w:tblGrid>
        <w:gridCol w:w="621"/>
        <w:gridCol w:w="604"/>
        <w:gridCol w:w="604"/>
        <w:gridCol w:w="846"/>
        <w:gridCol w:w="632"/>
        <w:gridCol w:w="604"/>
        <w:gridCol w:w="604"/>
        <w:gridCol w:w="613"/>
        <w:gridCol w:w="604"/>
        <w:gridCol w:w="604"/>
        <w:gridCol w:w="776"/>
        <w:gridCol w:w="622"/>
        <w:gridCol w:w="696"/>
        <w:gridCol w:w="630"/>
      </w:tblGrid>
      <w:tr w14:paraId="0404978B">
        <w:tblPrEx>
          <w:tblCellMar>
            <w:top w:w="0" w:type="dxa"/>
            <w:left w:w="108" w:type="dxa"/>
            <w:bottom w:w="0" w:type="dxa"/>
            <w:right w:w="108" w:type="dxa"/>
          </w:tblCellMar>
        </w:tblPrEx>
        <w:tc>
          <w:tcPr>
            <w:tcW w:w="9060" w:type="dxa"/>
            <w:gridSpan w:val="14"/>
            <w:vAlign w:val="center"/>
          </w:tcPr>
          <w:p w14:paraId="0F5B0ED9">
            <w:pPr>
              <w:jc w:val="center"/>
            </w:pPr>
            <w:r>
              <w:rPr>
                <w:rFonts w:ascii="宋体" w:hAnsi="宋体" w:eastAsia="宋体"/>
                <w:sz w:val="24"/>
              </w:rPr>
              <w:t>项目支出绩效自评表</w:t>
            </w:r>
          </w:p>
        </w:tc>
      </w:tr>
      <w:tr w14:paraId="736919A3">
        <w:tblPrEx>
          <w:tblCellMar>
            <w:top w:w="0" w:type="dxa"/>
            <w:left w:w="108" w:type="dxa"/>
            <w:bottom w:w="0" w:type="dxa"/>
            <w:right w:w="108" w:type="dxa"/>
          </w:tblCellMar>
        </w:tblPrEx>
        <w:tc>
          <w:tcPr>
            <w:tcW w:w="9060" w:type="dxa"/>
            <w:gridSpan w:val="14"/>
            <w:vAlign w:val="center"/>
          </w:tcPr>
          <w:p w14:paraId="6BC3E9DD">
            <w:pPr>
              <w:jc w:val="center"/>
            </w:pPr>
            <w:r>
              <w:rPr>
                <w:rFonts w:ascii="宋体" w:hAnsi="宋体" w:eastAsia="宋体"/>
                <w:sz w:val="24"/>
              </w:rPr>
              <w:t>(2024年度)</w:t>
            </w:r>
          </w:p>
        </w:tc>
      </w:tr>
      <w:tr w14:paraId="13FC67D6">
        <w:tblPrEx>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18303C7A">
            <w:pPr>
              <w:jc w:val="center"/>
            </w:pPr>
            <w:r>
              <w:rPr>
                <w:rFonts w:ascii="宋体" w:hAnsi="宋体" w:eastAsia="宋体"/>
                <w:sz w:val="16"/>
              </w:rPr>
              <w:t>项目名称</w:t>
            </w:r>
          </w:p>
        </w:tc>
        <w:tc>
          <w:tcPr>
            <w:tcW w:w="8439"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A471B3D">
            <w:pPr>
              <w:jc w:val="center"/>
            </w:pPr>
            <w:r>
              <w:rPr>
                <w:rFonts w:ascii="宋体" w:hAnsi="宋体" w:eastAsia="宋体"/>
                <w:sz w:val="16"/>
              </w:rPr>
              <w:t>交通局：巴财建</w:t>
            </w:r>
            <w:r>
              <w:rPr>
                <w:rFonts w:hint="eastAsia" w:ascii="宋体" w:hAnsi="宋体"/>
                <w:sz w:val="16"/>
                <w:lang w:eastAsia="zh-CN"/>
              </w:rPr>
              <w:t>〔2023〕113号</w:t>
            </w:r>
            <w:r>
              <w:rPr>
                <w:rFonts w:ascii="宋体" w:hAnsi="宋体" w:eastAsia="宋体"/>
                <w:sz w:val="16"/>
              </w:rPr>
              <w:t>关于提前下达2024年中央对地方成品油税费改革转移支付资金用于农村公路养护支出预算的通知</w:t>
            </w:r>
          </w:p>
        </w:tc>
      </w:tr>
      <w:tr w14:paraId="4835420C">
        <w:tblPrEx>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403529F6">
            <w:pPr>
              <w:jc w:val="center"/>
            </w:pPr>
            <w:r>
              <w:rPr>
                <w:rFonts w:ascii="宋体" w:hAnsi="宋体" w:eastAsia="宋体"/>
                <w:sz w:val="16"/>
              </w:rPr>
              <w:t>主管部门</w:t>
            </w:r>
          </w:p>
        </w:tc>
        <w:tc>
          <w:tcPr>
            <w:tcW w:w="450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34BA46">
            <w:pPr>
              <w:jc w:val="center"/>
              <w:rPr>
                <w:rFonts w:hint="eastAsia" w:eastAsia="宋体"/>
                <w:lang w:eastAsia="zh-CN"/>
              </w:rPr>
            </w:pPr>
            <w:r>
              <w:rPr>
                <w:rFonts w:hint="eastAsia" w:ascii="宋体" w:hAnsi="宋体"/>
                <w:sz w:val="16"/>
                <w:lang w:eastAsia="zh-CN"/>
              </w:rPr>
              <w:t>轮台县交通运输局</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5A8C92A2">
            <w:pPr>
              <w:jc w:val="center"/>
            </w:pPr>
            <w:r>
              <w:rPr>
                <w:rFonts w:ascii="宋体" w:hAnsi="宋体" w:eastAsia="宋体"/>
                <w:sz w:val="16"/>
              </w:rPr>
              <w:t>实施单位</w:t>
            </w:r>
          </w:p>
        </w:tc>
        <w:tc>
          <w:tcPr>
            <w:tcW w:w="332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3E09ED">
            <w:pPr>
              <w:jc w:val="center"/>
            </w:pPr>
            <w:r>
              <w:rPr>
                <w:rFonts w:ascii="宋体" w:hAnsi="宋体" w:eastAsia="宋体"/>
                <w:sz w:val="16"/>
              </w:rPr>
              <w:t>轮台县交通运输局</w:t>
            </w:r>
          </w:p>
        </w:tc>
      </w:tr>
      <w:tr w14:paraId="19F2C666">
        <w:tblPrEx>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tcPr>
          <w:p w14:paraId="4A983BBC"/>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3803A">
            <w:pPr>
              <w:jc w:val="center"/>
            </w:pPr>
          </w:p>
        </w:tc>
        <w:tc>
          <w:tcPr>
            <w:tcW w:w="14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A8A77">
            <w:pPr>
              <w:jc w:val="center"/>
            </w:pPr>
            <w:r>
              <w:rPr>
                <w:rFonts w:ascii="宋体" w:hAnsi="宋体" w:eastAsia="宋体"/>
                <w:sz w:val="16"/>
              </w:rPr>
              <w:t>年初预算数</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2B8FF">
            <w:pPr>
              <w:jc w:val="center"/>
            </w:pPr>
            <w:r>
              <w:rPr>
                <w:rFonts w:ascii="宋体" w:hAnsi="宋体" w:eastAsia="宋体"/>
                <w:sz w:val="16"/>
              </w:rPr>
              <w:t>全年预算数</w:t>
            </w:r>
          </w:p>
        </w:tc>
        <w:tc>
          <w:tcPr>
            <w:tcW w:w="12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A39C0">
            <w:pPr>
              <w:jc w:val="center"/>
            </w:pPr>
            <w:r>
              <w:rPr>
                <w:rFonts w:ascii="宋体" w:hAnsi="宋体" w:eastAsia="宋体"/>
                <w:sz w:val="16"/>
              </w:rPr>
              <w:t>全年执行数</w:t>
            </w:r>
          </w:p>
        </w:tc>
        <w:tc>
          <w:tcPr>
            <w:tcW w:w="13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B32D4">
            <w:pPr>
              <w:jc w:val="center"/>
            </w:pPr>
            <w:r>
              <w:rPr>
                <w:rFonts w:ascii="宋体" w:hAnsi="宋体" w:eastAsia="宋体"/>
                <w:sz w:val="16"/>
              </w:rPr>
              <w:t>分值权重</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46167">
            <w:pPr>
              <w:jc w:val="center"/>
            </w:pPr>
            <w:r>
              <w:rPr>
                <w:rFonts w:ascii="宋体" w:hAnsi="宋体" w:eastAsia="宋体"/>
                <w:sz w:val="16"/>
              </w:rPr>
              <w:t>执行率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11E6A59D">
            <w:pPr>
              <w:jc w:val="center"/>
            </w:pPr>
            <w:r>
              <w:rPr>
                <w:rFonts w:ascii="宋体" w:hAnsi="宋体" w:eastAsia="宋体"/>
                <w:sz w:val="16"/>
              </w:rPr>
              <w:t>得分</w:t>
            </w:r>
          </w:p>
        </w:tc>
      </w:tr>
      <w:tr w14:paraId="4F7466DE">
        <w:tblPrEx>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AFFCE1">
            <w:pPr>
              <w:jc w:val="center"/>
            </w:pPr>
            <w:r>
              <w:rPr>
                <w:rFonts w:ascii="宋体" w:hAnsi="宋体" w:eastAsia="宋体"/>
                <w:sz w:val="16"/>
              </w:rPr>
              <w:t>项目资金 （万元）</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C2911">
            <w:pPr>
              <w:jc w:val="center"/>
            </w:pPr>
            <w:r>
              <w:rPr>
                <w:rFonts w:ascii="宋体" w:hAnsi="宋体" w:eastAsia="宋体"/>
                <w:sz w:val="16"/>
              </w:rPr>
              <w:t>年度资金总额</w:t>
            </w:r>
          </w:p>
        </w:tc>
        <w:tc>
          <w:tcPr>
            <w:tcW w:w="14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AF0FC">
            <w:pPr>
              <w:jc w:val="center"/>
            </w:pPr>
            <w:r>
              <w:rPr>
                <w:rFonts w:ascii="宋体" w:hAnsi="宋体" w:eastAsia="宋体"/>
                <w:sz w:val="16"/>
              </w:rPr>
              <w:t>207.00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4DD43">
            <w:pPr>
              <w:jc w:val="center"/>
            </w:pPr>
            <w:r>
              <w:rPr>
                <w:rFonts w:ascii="宋体" w:hAnsi="宋体" w:eastAsia="宋体"/>
                <w:sz w:val="16"/>
              </w:rPr>
              <w:t>654.08</w:t>
            </w:r>
          </w:p>
        </w:tc>
        <w:tc>
          <w:tcPr>
            <w:tcW w:w="12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93477">
            <w:pPr>
              <w:jc w:val="center"/>
            </w:pPr>
            <w:r>
              <w:rPr>
                <w:rFonts w:ascii="宋体" w:hAnsi="宋体" w:eastAsia="宋体"/>
                <w:sz w:val="16"/>
              </w:rPr>
              <w:t>654.08</w:t>
            </w:r>
          </w:p>
        </w:tc>
        <w:tc>
          <w:tcPr>
            <w:tcW w:w="13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49EE1">
            <w:pPr>
              <w:jc w:val="center"/>
            </w:pPr>
            <w:r>
              <w:rPr>
                <w:rFonts w:ascii="宋体" w:hAnsi="宋体" w:eastAsia="宋体"/>
                <w:sz w:val="16"/>
              </w:rPr>
              <w:t>10</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89FC8">
            <w:pPr>
              <w:jc w:val="center"/>
            </w:pPr>
            <w:r>
              <w:rPr>
                <w:rFonts w:ascii="宋体" w:hAnsi="宋体" w:eastAsia="宋体"/>
                <w:sz w:val="16"/>
              </w:rPr>
              <w:t>100.00%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B27C70A">
            <w:pPr>
              <w:jc w:val="center"/>
            </w:pPr>
            <w:r>
              <w:rPr>
                <w:rFonts w:ascii="宋体" w:hAnsi="宋体" w:eastAsia="宋体"/>
                <w:sz w:val="16"/>
              </w:rPr>
              <w:t>10.00</w:t>
            </w:r>
          </w:p>
        </w:tc>
      </w:tr>
      <w:tr w14:paraId="0A9D3BF3">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4DC78627"/>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E9672">
            <w:pPr>
              <w:jc w:val="center"/>
            </w:pPr>
            <w:r>
              <w:rPr>
                <w:rFonts w:ascii="宋体" w:hAnsi="宋体" w:eastAsia="宋体"/>
                <w:sz w:val="16"/>
              </w:rPr>
              <w:t>其中：当年财政拨款</w:t>
            </w:r>
          </w:p>
        </w:tc>
        <w:tc>
          <w:tcPr>
            <w:tcW w:w="14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10759">
            <w:pPr>
              <w:jc w:val="center"/>
            </w:pPr>
            <w:r>
              <w:rPr>
                <w:rFonts w:ascii="宋体" w:hAnsi="宋体" w:eastAsia="宋体"/>
                <w:sz w:val="16"/>
              </w:rPr>
              <w:t>207.00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C837A">
            <w:pPr>
              <w:jc w:val="center"/>
            </w:pPr>
            <w:r>
              <w:rPr>
                <w:rFonts w:ascii="宋体" w:hAnsi="宋体" w:eastAsia="宋体"/>
                <w:sz w:val="16"/>
              </w:rPr>
              <w:t>654.08</w:t>
            </w:r>
          </w:p>
        </w:tc>
        <w:tc>
          <w:tcPr>
            <w:tcW w:w="12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192E6">
            <w:pPr>
              <w:jc w:val="center"/>
            </w:pPr>
            <w:r>
              <w:rPr>
                <w:rFonts w:ascii="宋体" w:hAnsi="宋体" w:eastAsia="宋体"/>
                <w:sz w:val="16"/>
              </w:rPr>
              <w:t>654.08</w:t>
            </w:r>
          </w:p>
        </w:tc>
        <w:tc>
          <w:tcPr>
            <w:tcW w:w="13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73450">
            <w:pPr>
              <w:jc w:val="center"/>
            </w:pPr>
            <w:r>
              <w:rPr>
                <w:rFonts w:ascii="宋体" w:hAnsi="宋体" w:eastAsia="宋体"/>
                <w:sz w:val="16"/>
              </w:rPr>
              <w:t>-</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695CB">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49615E34">
            <w:pPr>
              <w:jc w:val="center"/>
            </w:pPr>
            <w:r>
              <w:rPr>
                <w:rFonts w:ascii="宋体" w:hAnsi="宋体" w:eastAsia="宋体"/>
                <w:sz w:val="16"/>
              </w:rPr>
              <w:t>-</w:t>
            </w:r>
          </w:p>
        </w:tc>
      </w:tr>
      <w:tr w14:paraId="47A18CEE">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7FD8085E"/>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51089">
            <w:pPr>
              <w:jc w:val="center"/>
            </w:pPr>
            <w:r>
              <w:rPr>
                <w:rFonts w:ascii="宋体" w:hAnsi="宋体" w:eastAsia="宋体"/>
                <w:sz w:val="16"/>
              </w:rPr>
              <w:t>其他资金</w:t>
            </w:r>
          </w:p>
        </w:tc>
        <w:tc>
          <w:tcPr>
            <w:tcW w:w="14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080C5">
            <w:pPr>
              <w:jc w:val="center"/>
            </w:pPr>
            <w:r>
              <w:rPr>
                <w:rFonts w:ascii="宋体" w:hAnsi="宋体" w:eastAsia="宋体"/>
                <w:sz w:val="16"/>
              </w:rPr>
              <w:t>0.00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7C8DA">
            <w:pPr>
              <w:jc w:val="center"/>
            </w:pPr>
            <w:r>
              <w:rPr>
                <w:rFonts w:ascii="宋体" w:hAnsi="宋体" w:eastAsia="宋体"/>
                <w:sz w:val="16"/>
              </w:rPr>
              <w:t>0.00</w:t>
            </w:r>
          </w:p>
        </w:tc>
        <w:tc>
          <w:tcPr>
            <w:tcW w:w="12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8ABCA">
            <w:pPr>
              <w:jc w:val="center"/>
            </w:pPr>
            <w:r>
              <w:rPr>
                <w:rFonts w:ascii="宋体" w:hAnsi="宋体" w:eastAsia="宋体"/>
                <w:sz w:val="16"/>
              </w:rPr>
              <w:t>0.00</w:t>
            </w:r>
          </w:p>
        </w:tc>
        <w:tc>
          <w:tcPr>
            <w:tcW w:w="13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004D2">
            <w:pPr>
              <w:jc w:val="center"/>
            </w:pPr>
            <w:r>
              <w:rPr>
                <w:rFonts w:ascii="宋体" w:hAnsi="宋体" w:eastAsia="宋体"/>
                <w:sz w:val="16"/>
              </w:rPr>
              <w:t>-</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9501F">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D87617D">
            <w:pPr>
              <w:jc w:val="center"/>
            </w:pPr>
            <w:r>
              <w:rPr>
                <w:rFonts w:ascii="宋体" w:hAnsi="宋体" w:eastAsia="宋体"/>
                <w:sz w:val="16"/>
              </w:rPr>
              <w:t>-</w:t>
            </w:r>
          </w:p>
        </w:tc>
      </w:tr>
      <w:tr w14:paraId="169E532E">
        <w:tblPrEx>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25F34A">
            <w:pPr>
              <w:jc w:val="center"/>
            </w:pPr>
            <w:r>
              <w:rPr>
                <w:rFonts w:ascii="宋体" w:hAnsi="宋体" w:eastAsia="宋体"/>
                <w:sz w:val="16"/>
              </w:rPr>
              <w:t>年度总体目标</w:t>
            </w:r>
          </w:p>
        </w:tc>
        <w:tc>
          <w:tcPr>
            <w:tcW w:w="450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8EBD28">
            <w:pPr>
              <w:jc w:val="center"/>
            </w:pPr>
            <w:r>
              <w:rPr>
                <w:rFonts w:ascii="宋体" w:hAnsi="宋体" w:eastAsia="宋体"/>
                <w:sz w:val="16"/>
              </w:rPr>
              <w:t>总体目标</w:t>
            </w:r>
          </w:p>
        </w:tc>
        <w:tc>
          <w:tcPr>
            <w:tcW w:w="393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4D7CFA">
            <w:pPr>
              <w:jc w:val="center"/>
            </w:pPr>
            <w:r>
              <w:rPr>
                <w:rFonts w:ascii="宋体" w:hAnsi="宋体" w:eastAsia="宋体"/>
                <w:sz w:val="16"/>
              </w:rPr>
              <w:t>总体目标完成情况</w:t>
            </w:r>
          </w:p>
        </w:tc>
      </w:tr>
      <w:tr w14:paraId="182DC96A">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19C15BF1"/>
        </w:tc>
        <w:tc>
          <w:tcPr>
            <w:tcW w:w="450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A6DFE1">
            <w:pPr>
              <w:jc w:val="both"/>
            </w:pPr>
            <w:r>
              <w:rPr>
                <w:rFonts w:ascii="宋体" w:hAnsi="宋体" w:eastAsia="宋体"/>
                <w:sz w:val="16"/>
              </w:rPr>
              <w:t>深化农村公路管理养护体制改革，不断提高农村公路管养水平，确保实现“有路必养、养必到位”的管养目标，推动“四好农村路”建设高质量发展。目标1：年度日常养护公路里程不低于1071.21公里，其中：县道107.21公里、乡道262.06公里、村道702.2</w:t>
            </w:r>
            <w:r>
              <w:rPr>
                <w:rFonts w:hint="eastAsia" w:ascii="宋体" w:hAnsi="宋体"/>
                <w:sz w:val="16"/>
                <w:lang w:eastAsia="zh-CN"/>
              </w:rPr>
              <w:t>公里</w:t>
            </w:r>
            <w:r>
              <w:rPr>
                <w:rFonts w:ascii="宋体" w:hAnsi="宋体" w:eastAsia="宋体"/>
                <w:sz w:val="16"/>
              </w:rPr>
              <w:t>，提升基本公共服务水平及公路安全水平，保障新改建公路项目适应未来一定时期内交通需求。</w:t>
            </w:r>
          </w:p>
        </w:tc>
        <w:tc>
          <w:tcPr>
            <w:tcW w:w="393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5CF638">
            <w:pPr>
              <w:jc w:val="both"/>
            </w:pPr>
            <w:r>
              <w:rPr>
                <w:rFonts w:hint="eastAsia" w:ascii="宋体" w:hAnsi="宋体"/>
                <w:sz w:val="16"/>
                <w:lang w:eastAsia="zh-CN"/>
              </w:rPr>
              <w:t>本单位</w:t>
            </w:r>
            <w:r>
              <w:rPr>
                <w:rFonts w:ascii="宋体" w:hAnsi="宋体" w:eastAsia="宋体"/>
                <w:sz w:val="16"/>
              </w:rPr>
              <w:t>本年度根据《关于印发</w:t>
            </w:r>
            <w:r>
              <w:rPr>
                <w:rFonts w:hint="eastAsia" w:ascii="宋体" w:hAnsi="宋体"/>
                <w:sz w:val="16"/>
                <w:lang w:eastAsia="zh-CN"/>
              </w:rPr>
              <w:t>〈</w:t>
            </w:r>
            <w:r>
              <w:rPr>
                <w:rFonts w:ascii="宋体" w:hAnsi="宋体" w:eastAsia="宋体"/>
                <w:sz w:val="16"/>
              </w:rPr>
              <w:t>自治州深化农村公路管理养护体制改革实施方案&gt;的通知》“自治区、自治州、县（市）三级公共财政投入比例分别为：20%、40%、40%”要求，已完成年度日常养护农村公路里程1071.27公里，其中：县道107.21公里、乡道262.06公里、村道702.2</w:t>
            </w:r>
            <w:r>
              <w:rPr>
                <w:rFonts w:hint="eastAsia" w:ascii="宋体" w:hAnsi="宋体"/>
                <w:sz w:val="16"/>
                <w:lang w:eastAsia="zh-CN"/>
              </w:rPr>
              <w:t>公里</w:t>
            </w:r>
            <w:r>
              <w:rPr>
                <w:rFonts w:ascii="宋体" w:hAnsi="宋体" w:eastAsia="宋体"/>
                <w:sz w:val="16"/>
              </w:rPr>
              <w:t>，提升了基本公共服务水平及公路安全水平，保障了新改建公路项目适应未来一定时期内交通需求。</w:t>
            </w:r>
          </w:p>
        </w:tc>
      </w:tr>
      <w:tr w14:paraId="3CACC081">
        <w:tblPrEx>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tcPr>
          <w:p w14:paraId="2F27FC24"/>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66FF387E">
            <w:pPr>
              <w:jc w:val="center"/>
            </w:pPr>
            <w:r>
              <w:rPr>
                <w:rFonts w:ascii="宋体" w:hAnsi="宋体" w:eastAsia="宋体"/>
                <w:sz w:val="16"/>
              </w:rPr>
              <w:t>一级指标</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718D9668">
            <w:pPr>
              <w:jc w:val="center"/>
            </w:pPr>
            <w:r>
              <w:rPr>
                <w:rFonts w:ascii="宋体" w:hAnsi="宋体" w:eastAsia="宋体"/>
                <w:sz w:val="16"/>
              </w:rPr>
              <w:t>二级指标</w:t>
            </w:r>
          </w:p>
        </w:tc>
        <w:tc>
          <w:tcPr>
            <w:tcW w:w="846" w:type="dxa"/>
            <w:tcBorders>
              <w:top w:val="single" w:color="auto" w:sz="10" w:space="0"/>
              <w:left w:val="single" w:color="auto" w:sz="10" w:space="0"/>
              <w:bottom w:val="single" w:color="auto" w:sz="10" w:space="0"/>
              <w:right w:val="single" w:color="auto" w:sz="10" w:space="0"/>
              <w:insideV w:val="single" w:sz="10" w:space="0"/>
            </w:tcBorders>
            <w:vAlign w:val="center"/>
          </w:tcPr>
          <w:p w14:paraId="04FE4BB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8CF89">
            <w:pPr>
              <w:jc w:val="center"/>
            </w:pPr>
            <w:r>
              <w:rPr>
                <w:rFonts w:ascii="宋体" w:hAnsi="宋体" w:eastAsia="宋体"/>
                <w:sz w:val="16"/>
              </w:rPr>
              <w:t>指标值</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156096E8">
            <w:pPr>
              <w:jc w:val="center"/>
            </w:pPr>
            <w:r>
              <w:rPr>
                <w:rFonts w:ascii="宋体" w:hAnsi="宋体" w:eastAsia="宋体"/>
                <w:sz w:val="16"/>
              </w:rPr>
              <w:t>指标值设定依据</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66C9D3DF">
            <w:pPr>
              <w:jc w:val="center"/>
            </w:pPr>
            <w:r>
              <w:rPr>
                <w:rFonts w:ascii="宋体" w:hAnsi="宋体" w:eastAsia="宋体"/>
                <w:sz w:val="16"/>
              </w:rPr>
              <w:t>上年完成值</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4B0F442">
            <w:pPr>
              <w:jc w:val="center"/>
            </w:pPr>
            <w:r>
              <w:rPr>
                <w:rFonts w:ascii="宋体" w:hAnsi="宋体" w:eastAsia="宋体"/>
                <w:sz w:val="16"/>
              </w:rPr>
              <w:t>指标分值权重</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5633B33E">
            <w:pPr>
              <w:jc w:val="center"/>
            </w:pPr>
            <w:r>
              <w:rPr>
                <w:rFonts w:ascii="宋体" w:hAnsi="宋体" w:eastAsia="宋体"/>
                <w:sz w:val="16"/>
              </w:rPr>
              <w:t>指标赋分规则</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36B1BA79">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35721E3">
            <w:pPr>
              <w:jc w:val="center"/>
            </w:pPr>
            <w:r>
              <w:rPr>
                <w:rFonts w:ascii="宋体" w:hAnsi="宋体" w:eastAsia="宋体"/>
                <w:sz w:val="16"/>
              </w:rPr>
              <w:t>指标实际完成值</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636AEF7E">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5E8CB26">
            <w:pPr>
              <w:jc w:val="center"/>
            </w:pPr>
            <w:r>
              <w:rPr>
                <w:rFonts w:ascii="宋体" w:hAnsi="宋体" w:eastAsia="宋体"/>
                <w:sz w:val="16"/>
              </w:rPr>
              <w:t>指标得分</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35271F14">
            <w:pPr>
              <w:jc w:val="center"/>
            </w:pPr>
            <w:r>
              <w:rPr>
                <w:rFonts w:ascii="宋体" w:hAnsi="宋体" w:eastAsia="宋体"/>
                <w:sz w:val="16"/>
              </w:rPr>
              <w:t>偏差原因分析及改进措施</w:t>
            </w:r>
          </w:p>
        </w:tc>
      </w:tr>
      <w:tr w14:paraId="1DBA8736">
        <w:tblPrEx>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054AE4">
            <w:pPr>
              <w:jc w:val="center"/>
            </w:pPr>
            <w:r>
              <w:rPr>
                <w:rFonts w:ascii="宋体" w:hAnsi="宋体" w:eastAsia="宋体"/>
                <w:sz w:val="16"/>
              </w:rPr>
              <w:t>年度绩效指标完成情况</w:t>
            </w:r>
          </w:p>
        </w:tc>
        <w:tc>
          <w:tcPr>
            <w:tcW w:w="60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901896">
            <w:pPr>
              <w:jc w:val="center"/>
            </w:pPr>
            <w:r>
              <w:rPr>
                <w:rFonts w:ascii="宋体" w:hAnsi="宋体" w:eastAsia="宋体"/>
                <w:sz w:val="16"/>
              </w:rPr>
              <w:t>产出指标</w:t>
            </w:r>
          </w:p>
        </w:tc>
        <w:tc>
          <w:tcPr>
            <w:tcW w:w="60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CA0EF4">
            <w:pPr>
              <w:jc w:val="center"/>
            </w:pPr>
            <w:r>
              <w:rPr>
                <w:rFonts w:ascii="宋体" w:hAnsi="宋体" w:eastAsia="宋体"/>
                <w:sz w:val="16"/>
              </w:rPr>
              <w:t>数量指标</w:t>
            </w:r>
          </w:p>
        </w:tc>
        <w:tc>
          <w:tcPr>
            <w:tcW w:w="846" w:type="dxa"/>
            <w:tcBorders>
              <w:top w:val="single" w:color="auto" w:sz="10" w:space="0"/>
              <w:left w:val="single" w:color="auto" w:sz="10" w:space="0"/>
              <w:bottom w:val="single" w:color="auto" w:sz="10" w:space="0"/>
              <w:right w:val="single" w:color="auto" w:sz="10" w:space="0"/>
              <w:insideV w:val="single" w:sz="10" w:space="0"/>
            </w:tcBorders>
            <w:vAlign w:val="center"/>
          </w:tcPr>
          <w:p w14:paraId="2D40B8C1">
            <w:pPr>
              <w:jc w:val="center"/>
            </w:pPr>
            <w:r>
              <w:rPr>
                <w:rFonts w:ascii="宋体" w:hAnsi="宋体" w:eastAsia="宋体"/>
                <w:sz w:val="16"/>
              </w:rPr>
              <w:t>养护县道里程（公里）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EB234">
            <w:pPr>
              <w:jc w:val="center"/>
            </w:pPr>
            <w:r>
              <w:rPr>
                <w:rFonts w:ascii="宋体" w:hAnsi="宋体" w:eastAsia="宋体"/>
                <w:sz w:val="16"/>
              </w:rPr>
              <w:t>&gt;=107.21公里</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0B09C292">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09F78CCE">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E78EE8F">
            <w:pPr>
              <w:jc w:val="center"/>
            </w:pPr>
            <w:r>
              <w:rPr>
                <w:rFonts w:ascii="宋体" w:hAnsi="宋体" w:eastAsia="宋体"/>
                <w:sz w:val="16"/>
              </w:rPr>
              <w:t>9</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08946559">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35DBEAB1">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5E8C9D4">
            <w:pPr>
              <w:jc w:val="center"/>
            </w:pPr>
            <w:r>
              <w:rPr>
                <w:rFonts w:ascii="宋体" w:hAnsi="宋体" w:eastAsia="宋体"/>
                <w:sz w:val="16"/>
              </w:rPr>
              <w:t>=107.21公里</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6ABA8929">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B18CFEE">
            <w:pPr>
              <w:jc w:val="center"/>
            </w:pPr>
            <w:r>
              <w:rPr>
                <w:rFonts w:ascii="宋体" w:hAnsi="宋体" w:eastAsia="宋体"/>
                <w:sz w:val="16"/>
              </w:rPr>
              <w:t>9</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326BE66">
            <w:pPr>
              <w:jc w:val="center"/>
            </w:pPr>
          </w:p>
        </w:tc>
      </w:tr>
      <w:tr w14:paraId="70D8AC7D">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63FD6BDC"/>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14:paraId="38CBE032"/>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14:paraId="4CFA6724"/>
        </w:tc>
        <w:tc>
          <w:tcPr>
            <w:tcW w:w="846" w:type="dxa"/>
            <w:tcBorders>
              <w:top w:val="single" w:color="auto" w:sz="10" w:space="0"/>
              <w:left w:val="single" w:color="auto" w:sz="10" w:space="0"/>
              <w:bottom w:val="single" w:color="auto" w:sz="10" w:space="0"/>
              <w:right w:val="single" w:color="auto" w:sz="10" w:space="0"/>
              <w:insideV w:val="single" w:sz="10" w:space="0"/>
            </w:tcBorders>
            <w:vAlign w:val="center"/>
          </w:tcPr>
          <w:p w14:paraId="0B7077BD">
            <w:pPr>
              <w:jc w:val="center"/>
            </w:pPr>
            <w:r>
              <w:rPr>
                <w:rFonts w:ascii="宋体" w:hAnsi="宋体" w:eastAsia="宋体"/>
                <w:sz w:val="16"/>
              </w:rPr>
              <w:t>养护乡道里程（公里）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002EE">
            <w:pPr>
              <w:jc w:val="center"/>
            </w:pPr>
            <w:r>
              <w:rPr>
                <w:rFonts w:ascii="宋体" w:hAnsi="宋体" w:eastAsia="宋体"/>
                <w:sz w:val="16"/>
              </w:rPr>
              <w:t>&gt;=262.06公里</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3CB6EB0A">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249BCF9B">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2498C17">
            <w:pPr>
              <w:jc w:val="center"/>
            </w:pPr>
            <w:r>
              <w:rPr>
                <w:rFonts w:ascii="宋体" w:hAnsi="宋体" w:eastAsia="宋体"/>
                <w:sz w:val="16"/>
              </w:rPr>
              <w:t>9</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124A7B8A">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0EB67EE5">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6E6F610">
            <w:pPr>
              <w:jc w:val="center"/>
            </w:pPr>
            <w:r>
              <w:rPr>
                <w:rFonts w:ascii="宋体" w:hAnsi="宋体" w:eastAsia="宋体"/>
                <w:sz w:val="16"/>
              </w:rPr>
              <w:t>=262.06公里</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3A593EB">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912DE9B">
            <w:pPr>
              <w:jc w:val="center"/>
            </w:pPr>
            <w:r>
              <w:rPr>
                <w:rFonts w:ascii="宋体" w:hAnsi="宋体" w:eastAsia="宋体"/>
                <w:sz w:val="16"/>
              </w:rPr>
              <w:t>9</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42EDA60">
            <w:pPr>
              <w:jc w:val="center"/>
            </w:pPr>
          </w:p>
        </w:tc>
      </w:tr>
      <w:tr w14:paraId="61A55D56">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7308A4F5"/>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14:paraId="519BDFB8"/>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14:paraId="6310A5FF"/>
        </w:tc>
        <w:tc>
          <w:tcPr>
            <w:tcW w:w="846" w:type="dxa"/>
            <w:tcBorders>
              <w:top w:val="single" w:color="auto" w:sz="10" w:space="0"/>
              <w:left w:val="single" w:color="auto" w:sz="10" w:space="0"/>
              <w:bottom w:val="single" w:color="auto" w:sz="10" w:space="0"/>
              <w:right w:val="single" w:color="auto" w:sz="10" w:space="0"/>
              <w:insideV w:val="single" w:sz="10" w:space="0"/>
            </w:tcBorders>
            <w:vAlign w:val="center"/>
          </w:tcPr>
          <w:p w14:paraId="7F033C5E">
            <w:pPr>
              <w:jc w:val="center"/>
            </w:pPr>
            <w:r>
              <w:rPr>
                <w:rFonts w:ascii="宋体" w:hAnsi="宋体" w:eastAsia="宋体"/>
                <w:sz w:val="16"/>
              </w:rPr>
              <w:t>养护村道里程（公里）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24BE8">
            <w:pPr>
              <w:jc w:val="center"/>
            </w:pPr>
            <w:r>
              <w:rPr>
                <w:rFonts w:ascii="宋体" w:hAnsi="宋体" w:eastAsia="宋体"/>
                <w:sz w:val="16"/>
              </w:rPr>
              <w:t>&gt;=702.2公里</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2E2A8110">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7EAD7A26">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ABB901B">
            <w:pPr>
              <w:jc w:val="center"/>
            </w:pPr>
            <w:r>
              <w:rPr>
                <w:rFonts w:ascii="宋体" w:hAnsi="宋体" w:eastAsia="宋体"/>
                <w:sz w:val="16"/>
              </w:rPr>
              <w:t>9</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45FEF6FB">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02B83DAA">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682A543">
            <w:pPr>
              <w:jc w:val="center"/>
            </w:pPr>
            <w:r>
              <w:rPr>
                <w:rFonts w:ascii="宋体" w:hAnsi="宋体" w:eastAsia="宋体"/>
                <w:sz w:val="16"/>
              </w:rPr>
              <w:t>=702.2公里</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BFEBA3E">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381787A">
            <w:pPr>
              <w:jc w:val="center"/>
            </w:pPr>
            <w:r>
              <w:rPr>
                <w:rFonts w:ascii="宋体" w:hAnsi="宋体" w:eastAsia="宋体"/>
                <w:sz w:val="16"/>
              </w:rPr>
              <w:t>9</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3B52984B">
            <w:pPr>
              <w:jc w:val="center"/>
            </w:pPr>
          </w:p>
        </w:tc>
      </w:tr>
      <w:tr w14:paraId="1B5EA4FC">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3E3576C1"/>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14:paraId="636CC09D"/>
        </w:tc>
        <w:tc>
          <w:tcPr>
            <w:tcW w:w="60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56A6C1">
            <w:pPr>
              <w:jc w:val="center"/>
            </w:pPr>
            <w:r>
              <w:rPr>
                <w:rFonts w:ascii="宋体" w:hAnsi="宋体" w:eastAsia="宋体"/>
                <w:sz w:val="16"/>
              </w:rPr>
              <w:t>质量指标</w:t>
            </w:r>
          </w:p>
        </w:tc>
        <w:tc>
          <w:tcPr>
            <w:tcW w:w="846" w:type="dxa"/>
            <w:tcBorders>
              <w:top w:val="single" w:color="auto" w:sz="10" w:space="0"/>
              <w:left w:val="single" w:color="auto" w:sz="10" w:space="0"/>
              <w:bottom w:val="single" w:color="auto" w:sz="10" w:space="0"/>
              <w:right w:val="single" w:color="auto" w:sz="10" w:space="0"/>
              <w:insideV w:val="single" w:sz="10" w:space="0"/>
            </w:tcBorders>
            <w:vAlign w:val="center"/>
          </w:tcPr>
          <w:p w14:paraId="083AC104">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CB749">
            <w:pPr>
              <w:jc w:val="center"/>
            </w:pPr>
            <w:r>
              <w:rPr>
                <w:rFonts w:ascii="宋体" w:hAnsi="宋体" w:eastAsia="宋体"/>
                <w:sz w:val="16"/>
              </w:rPr>
              <w:t>=100%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3A7FEBBD">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54BA7F44">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24E6441">
            <w:pPr>
              <w:jc w:val="center"/>
            </w:pPr>
            <w:r>
              <w:rPr>
                <w:rFonts w:ascii="宋体" w:hAnsi="宋体" w:eastAsia="宋体"/>
                <w:sz w:val="16"/>
              </w:rPr>
              <w:t>9</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44FA09A7">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6DCDA604">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8CB31B9">
            <w:pPr>
              <w:jc w:val="center"/>
            </w:pPr>
            <w:r>
              <w:rPr>
                <w:rFonts w:ascii="宋体" w:hAnsi="宋体" w:eastAsia="宋体"/>
                <w:sz w:val="16"/>
              </w:rPr>
              <w:t>=100%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7DF33AC">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0330225">
            <w:pPr>
              <w:jc w:val="center"/>
            </w:pPr>
            <w:r>
              <w:rPr>
                <w:rFonts w:ascii="宋体" w:hAnsi="宋体" w:eastAsia="宋体"/>
                <w:sz w:val="16"/>
              </w:rPr>
              <w:t>9</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38B41A04">
            <w:pPr>
              <w:jc w:val="center"/>
            </w:pPr>
          </w:p>
        </w:tc>
      </w:tr>
      <w:tr w14:paraId="429725BA">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52F1B809"/>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14:paraId="209A2244"/>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14:paraId="35253192"/>
        </w:tc>
        <w:tc>
          <w:tcPr>
            <w:tcW w:w="846" w:type="dxa"/>
            <w:tcBorders>
              <w:top w:val="single" w:color="auto" w:sz="10" w:space="0"/>
              <w:left w:val="single" w:color="auto" w:sz="10" w:space="0"/>
              <w:bottom w:val="single" w:color="auto" w:sz="10" w:space="0"/>
              <w:right w:val="single" w:color="auto" w:sz="10" w:space="0"/>
              <w:insideV w:val="single" w:sz="10" w:space="0"/>
            </w:tcBorders>
            <w:vAlign w:val="center"/>
          </w:tcPr>
          <w:p w14:paraId="1D7AF192">
            <w:pPr>
              <w:jc w:val="center"/>
            </w:pPr>
            <w:r>
              <w:rPr>
                <w:rFonts w:ascii="宋体" w:hAnsi="宋体" w:eastAsia="宋体"/>
                <w:sz w:val="16"/>
              </w:rPr>
              <w:t>工程合格率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7C0D3">
            <w:pPr>
              <w:jc w:val="center"/>
            </w:pPr>
            <w:r>
              <w:rPr>
                <w:rFonts w:ascii="宋体" w:hAnsi="宋体" w:eastAsia="宋体"/>
                <w:sz w:val="16"/>
              </w:rPr>
              <w:t>=100%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24B36401">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303BC478">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D0D78CC">
            <w:pPr>
              <w:jc w:val="center"/>
            </w:pPr>
            <w:r>
              <w:rPr>
                <w:rFonts w:ascii="宋体" w:hAnsi="宋体" w:eastAsia="宋体"/>
                <w:sz w:val="16"/>
              </w:rPr>
              <w:t>7</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2F058312">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58B9D976">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63712B1">
            <w:pPr>
              <w:jc w:val="center"/>
            </w:pPr>
            <w:r>
              <w:rPr>
                <w:rFonts w:ascii="宋体" w:hAnsi="宋体" w:eastAsia="宋体"/>
                <w:sz w:val="16"/>
              </w:rPr>
              <w:t>=100%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24822E49">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D58BDBC">
            <w:pPr>
              <w:jc w:val="center"/>
            </w:pPr>
            <w:r>
              <w:rPr>
                <w:rFonts w:ascii="宋体" w:hAnsi="宋体" w:eastAsia="宋体"/>
                <w:sz w:val="16"/>
              </w:rPr>
              <w:t>7</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68A0616">
            <w:pPr>
              <w:jc w:val="center"/>
            </w:pPr>
          </w:p>
        </w:tc>
      </w:tr>
      <w:tr w14:paraId="13328491">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00D4A0DC"/>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14:paraId="25AC3D38"/>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261D1B05">
            <w:pPr>
              <w:jc w:val="center"/>
            </w:pPr>
            <w:r>
              <w:rPr>
                <w:rFonts w:ascii="宋体" w:hAnsi="宋体" w:eastAsia="宋体"/>
                <w:sz w:val="16"/>
              </w:rPr>
              <w:t>时效指标</w:t>
            </w:r>
          </w:p>
        </w:tc>
        <w:tc>
          <w:tcPr>
            <w:tcW w:w="846" w:type="dxa"/>
            <w:tcBorders>
              <w:top w:val="single" w:color="auto" w:sz="10" w:space="0"/>
              <w:left w:val="single" w:color="auto" w:sz="10" w:space="0"/>
              <w:bottom w:val="single" w:color="auto" w:sz="10" w:space="0"/>
              <w:right w:val="single" w:color="auto" w:sz="10" w:space="0"/>
              <w:insideV w:val="single" w:sz="10" w:space="0"/>
            </w:tcBorders>
            <w:vAlign w:val="center"/>
          </w:tcPr>
          <w:p w14:paraId="1C3E008E">
            <w:pPr>
              <w:jc w:val="center"/>
            </w:pPr>
            <w:r>
              <w:rPr>
                <w:rFonts w:ascii="宋体" w:hAnsi="宋体" w:eastAsia="宋体"/>
                <w:sz w:val="16"/>
              </w:rPr>
              <w:t>按期完成投资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EEB5B">
            <w:pPr>
              <w:jc w:val="center"/>
            </w:pPr>
            <w:r>
              <w:rPr>
                <w:rFonts w:ascii="宋体" w:hAnsi="宋体" w:eastAsia="宋体"/>
                <w:sz w:val="16"/>
              </w:rPr>
              <w:t>=100%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2010D87B">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1C534988">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3BA2532F">
            <w:pPr>
              <w:jc w:val="center"/>
            </w:pPr>
            <w:r>
              <w:rPr>
                <w:rFonts w:ascii="宋体" w:hAnsi="宋体" w:eastAsia="宋体"/>
                <w:sz w:val="16"/>
              </w:rPr>
              <w:t>7</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117FCC18">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4B618333">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6BD3A46">
            <w:pPr>
              <w:jc w:val="center"/>
            </w:pPr>
            <w:r>
              <w:rPr>
                <w:rFonts w:ascii="宋体" w:hAnsi="宋体" w:eastAsia="宋体"/>
                <w:sz w:val="16"/>
              </w:rPr>
              <w:t>=100%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02DBDFDE">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A804EA1">
            <w:pPr>
              <w:jc w:val="center"/>
            </w:pPr>
            <w:r>
              <w:rPr>
                <w:rFonts w:ascii="宋体" w:hAnsi="宋体" w:eastAsia="宋体"/>
                <w:sz w:val="16"/>
              </w:rPr>
              <w:t>7</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137712C6">
            <w:pPr>
              <w:jc w:val="center"/>
            </w:pPr>
          </w:p>
        </w:tc>
      </w:tr>
      <w:tr w14:paraId="4E5C3A79">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336964C4"/>
        </w:tc>
        <w:tc>
          <w:tcPr>
            <w:tcW w:w="60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ED61E5">
            <w:pPr>
              <w:jc w:val="center"/>
            </w:pPr>
            <w:r>
              <w:rPr>
                <w:rFonts w:ascii="宋体" w:hAnsi="宋体" w:eastAsia="宋体"/>
                <w:sz w:val="16"/>
              </w:rPr>
              <w:t>效益指标</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339E9973">
            <w:pPr>
              <w:jc w:val="center"/>
            </w:pPr>
            <w:r>
              <w:rPr>
                <w:rFonts w:ascii="宋体" w:hAnsi="宋体" w:eastAsia="宋体"/>
                <w:sz w:val="16"/>
              </w:rPr>
              <w:t>经济效益指标</w:t>
            </w:r>
          </w:p>
        </w:tc>
        <w:tc>
          <w:tcPr>
            <w:tcW w:w="846" w:type="dxa"/>
            <w:tcBorders>
              <w:top w:val="single" w:color="auto" w:sz="10" w:space="0"/>
              <w:left w:val="single" w:color="auto" w:sz="10" w:space="0"/>
              <w:bottom w:val="single" w:color="auto" w:sz="10" w:space="0"/>
              <w:right w:val="single" w:color="auto" w:sz="10" w:space="0"/>
              <w:insideV w:val="single" w:sz="10" w:space="0"/>
            </w:tcBorders>
            <w:vAlign w:val="center"/>
          </w:tcPr>
          <w:p w14:paraId="4E853DF0">
            <w:pPr>
              <w:jc w:val="center"/>
            </w:pPr>
            <w:r>
              <w:rPr>
                <w:rFonts w:ascii="宋体" w:hAnsi="宋体" w:eastAsia="宋体"/>
                <w:sz w:val="16"/>
              </w:rPr>
              <w:t>对经济发展的促进作用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A873F">
            <w:pPr>
              <w:jc w:val="center"/>
            </w:pPr>
            <w:r>
              <w:rPr>
                <w:rFonts w:ascii="宋体" w:hAnsi="宋体" w:eastAsia="宋体"/>
                <w:sz w:val="16"/>
              </w:rPr>
              <w:t>明显提升</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0A69229C">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2E1185E8">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34681C4F">
            <w:pPr>
              <w:jc w:val="center"/>
            </w:pPr>
            <w:r>
              <w:rPr>
                <w:rFonts w:ascii="宋体" w:hAnsi="宋体" w:eastAsia="宋体"/>
                <w:sz w:val="16"/>
              </w:rPr>
              <w:t>10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2FEE68D1">
            <w:pPr>
              <w:jc w:val="center"/>
            </w:pPr>
            <w:r>
              <w:rPr>
                <w:rFonts w:ascii="宋体" w:hAnsi="宋体" w:eastAsia="宋体"/>
                <w:sz w:val="16"/>
              </w:rPr>
              <w:t>按评判等级赋分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4B092A23">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EC3917A">
            <w:pPr>
              <w:jc w:val="center"/>
            </w:pPr>
            <w:r>
              <w:rPr>
                <w:rFonts w:ascii="宋体" w:hAnsi="宋体" w:eastAsia="宋体"/>
                <w:sz w:val="16"/>
              </w:rPr>
              <w:t>达到目标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EB20E7D">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7D3C02C">
            <w:pPr>
              <w:jc w:val="center"/>
            </w:pPr>
            <w:r>
              <w:rPr>
                <w:rFonts w:ascii="宋体" w:hAnsi="宋体" w:eastAsia="宋体"/>
                <w:sz w:val="16"/>
              </w:rPr>
              <w:t>10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76ED21E">
            <w:pPr>
              <w:jc w:val="center"/>
            </w:pPr>
          </w:p>
        </w:tc>
      </w:tr>
      <w:tr w14:paraId="6E068356">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454934FC"/>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14:paraId="1AB923E7"/>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796044E9">
            <w:pPr>
              <w:jc w:val="center"/>
            </w:pPr>
            <w:r>
              <w:rPr>
                <w:rFonts w:ascii="宋体" w:hAnsi="宋体" w:eastAsia="宋体"/>
                <w:sz w:val="16"/>
              </w:rPr>
              <w:t>社会效益指标</w:t>
            </w:r>
          </w:p>
        </w:tc>
        <w:tc>
          <w:tcPr>
            <w:tcW w:w="846" w:type="dxa"/>
            <w:tcBorders>
              <w:top w:val="single" w:color="auto" w:sz="10" w:space="0"/>
              <w:left w:val="single" w:color="auto" w:sz="10" w:space="0"/>
              <w:bottom w:val="single" w:color="auto" w:sz="10" w:space="0"/>
              <w:right w:val="single" w:color="auto" w:sz="10" w:space="0"/>
              <w:insideV w:val="single" w:sz="10" w:space="0"/>
            </w:tcBorders>
            <w:vAlign w:val="center"/>
          </w:tcPr>
          <w:p w14:paraId="15592F63">
            <w:pPr>
              <w:jc w:val="center"/>
            </w:pPr>
            <w:r>
              <w:rPr>
                <w:rFonts w:ascii="宋体" w:hAnsi="宋体" w:eastAsia="宋体"/>
                <w:sz w:val="16"/>
              </w:rPr>
              <w:t>项目适应未来一定时期内交通需求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CCE1B">
            <w:pPr>
              <w:jc w:val="center"/>
            </w:pPr>
            <w:r>
              <w:rPr>
                <w:rFonts w:ascii="宋体" w:hAnsi="宋体" w:eastAsia="宋体"/>
                <w:sz w:val="16"/>
              </w:rPr>
              <w:t>=100%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633EB246">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6E119D93">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315271EC">
            <w:pPr>
              <w:jc w:val="center"/>
            </w:pPr>
            <w:r>
              <w:rPr>
                <w:rFonts w:ascii="宋体" w:hAnsi="宋体" w:eastAsia="宋体"/>
                <w:sz w:val="16"/>
              </w:rPr>
              <w:t>10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0FAFD9A5">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18A7329D">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EA84BCE">
            <w:pPr>
              <w:jc w:val="center"/>
            </w:pPr>
            <w:r>
              <w:rPr>
                <w:rFonts w:ascii="宋体" w:hAnsi="宋体" w:eastAsia="宋体"/>
                <w:sz w:val="16"/>
              </w:rPr>
              <w:t>=100%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44F185A8">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61A2116">
            <w:pPr>
              <w:jc w:val="center"/>
            </w:pPr>
            <w:r>
              <w:rPr>
                <w:rFonts w:ascii="宋体" w:hAnsi="宋体" w:eastAsia="宋体"/>
                <w:sz w:val="16"/>
              </w:rPr>
              <w:t>10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482B8F77">
            <w:pPr>
              <w:jc w:val="center"/>
            </w:pPr>
          </w:p>
        </w:tc>
      </w:tr>
      <w:tr w14:paraId="09C7C0EF">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43E1057D"/>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14:paraId="5D614557"/>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786B32A4">
            <w:pPr>
              <w:jc w:val="center"/>
            </w:pPr>
            <w:r>
              <w:rPr>
                <w:rFonts w:ascii="宋体" w:hAnsi="宋体" w:eastAsia="宋体"/>
                <w:sz w:val="16"/>
              </w:rPr>
              <w:t>生态效益指标</w:t>
            </w:r>
          </w:p>
        </w:tc>
        <w:tc>
          <w:tcPr>
            <w:tcW w:w="846" w:type="dxa"/>
            <w:tcBorders>
              <w:top w:val="single" w:color="auto" w:sz="10" w:space="0"/>
              <w:left w:val="single" w:color="auto" w:sz="10" w:space="0"/>
              <w:bottom w:val="single" w:color="auto" w:sz="10" w:space="0"/>
              <w:right w:val="single" w:color="auto" w:sz="10" w:space="0"/>
              <w:insideV w:val="single" w:sz="10" w:space="0"/>
            </w:tcBorders>
            <w:vAlign w:val="center"/>
          </w:tcPr>
          <w:p w14:paraId="519313B2">
            <w:pPr>
              <w:jc w:val="center"/>
            </w:pPr>
            <w:r>
              <w:rPr>
                <w:rFonts w:ascii="宋体" w:hAnsi="宋体" w:eastAsia="宋体"/>
                <w:sz w:val="16"/>
              </w:rPr>
              <w:t>交通建设符合环评审批要求合格率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4CAB8">
            <w:pPr>
              <w:jc w:val="center"/>
            </w:pPr>
            <w:r>
              <w:rPr>
                <w:rFonts w:ascii="宋体" w:hAnsi="宋体" w:eastAsia="宋体"/>
                <w:sz w:val="16"/>
              </w:rPr>
              <w:t>=100%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688E2B60">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594D69DE">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883C7CD">
            <w:pPr>
              <w:jc w:val="center"/>
            </w:pPr>
            <w:r>
              <w:rPr>
                <w:rFonts w:ascii="宋体" w:hAnsi="宋体" w:eastAsia="宋体"/>
                <w:sz w:val="16"/>
              </w:rPr>
              <w:t>10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5C228836">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7E7F7B61">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ACCE881">
            <w:pPr>
              <w:jc w:val="center"/>
            </w:pPr>
            <w:r>
              <w:rPr>
                <w:rFonts w:ascii="宋体" w:hAnsi="宋体" w:eastAsia="宋体"/>
                <w:sz w:val="16"/>
              </w:rPr>
              <w:t>=100%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2A002D3">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DB0964F">
            <w:pPr>
              <w:jc w:val="center"/>
            </w:pPr>
            <w:r>
              <w:rPr>
                <w:rFonts w:ascii="宋体" w:hAnsi="宋体" w:eastAsia="宋体"/>
                <w:sz w:val="16"/>
              </w:rPr>
              <w:t>10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321B6B2B">
            <w:pPr>
              <w:jc w:val="center"/>
            </w:pPr>
          </w:p>
        </w:tc>
      </w:tr>
      <w:tr w14:paraId="3B46F03D">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6C36AEC9"/>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41B12222">
            <w:pPr>
              <w:jc w:val="center"/>
            </w:pPr>
            <w:r>
              <w:rPr>
                <w:rFonts w:ascii="宋体" w:hAnsi="宋体" w:eastAsia="宋体"/>
                <w:sz w:val="16"/>
              </w:rPr>
              <w:t>满意度指标</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50DF5300">
            <w:pPr>
              <w:jc w:val="center"/>
            </w:pPr>
            <w:r>
              <w:rPr>
                <w:rFonts w:ascii="宋体" w:hAnsi="宋体" w:eastAsia="宋体"/>
                <w:sz w:val="16"/>
              </w:rPr>
              <w:t>满意度指标</w:t>
            </w:r>
          </w:p>
        </w:tc>
        <w:tc>
          <w:tcPr>
            <w:tcW w:w="846" w:type="dxa"/>
            <w:tcBorders>
              <w:top w:val="single" w:color="auto" w:sz="10" w:space="0"/>
              <w:left w:val="single" w:color="auto" w:sz="10" w:space="0"/>
              <w:bottom w:val="single" w:color="auto" w:sz="10" w:space="0"/>
              <w:right w:val="single" w:color="auto" w:sz="10" w:space="0"/>
              <w:insideV w:val="single" w:sz="10" w:space="0"/>
            </w:tcBorders>
            <w:vAlign w:val="center"/>
          </w:tcPr>
          <w:p w14:paraId="13C3CCB4">
            <w:pPr>
              <w:jc w:val="center"/>
            </w:pPr>
            <w:r>
              <w:rPr>
                <w:rFonts w:ascii="宋体" w:hAnsi="宋体" w:eastAsia="宋体"/>
                <w:sz w:val="16"/>
              </w:rPr>
              <w:t>改善通行服务水平群众满意度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4389D">
            <w:pPr>
              <w:jc w:val="center"/>
            </w:pPr>
            <w:r>
              <w:rPr>
                <w:rFonts w:ascii="宋体" w:hAnsi="宋体" w:eastAsia="宋体"/>
                <w:sz w:val="16"/>
              </w:rPr>
              <w:t>&gt;=90%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0E7088ED">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4591941C">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601B059E">
            <w:pPr>
              <w:jc w:val="center"/>
            </w:pPr>
            <w:r>
              <w:rPr>
                <w:rFonts w:ascii="宋体" w:hAnsi="宋体" w:eastAsia="宋体"/>
                <w:sz w:val="16"/>
              </w:rPr>
              <w:t>10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3A94997F">
            <w:pPr>
              <w:jc w:val="center"/>
            </w:pPr>
            <w:r>
              <w:rPr>
                <w:rFonts w:ascii="宋体" w:hAnsi="宋体" w:eastAsia="宋体"/>
                <w:sz w:val="16"/>
              </w:rPr>
              <w:t>满意度赋分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5F65CDCA">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048010C">
            <w:pPr>
              <w:jc w:val="center"/>
            </w:pPr>
            <w:r>
              <w:rPr>
                <w:rFonts w:ascii="宋体" w:hAnsi="宋体" w:eastAsia="宋体"/>
                <w:sz w:val="16"/>
              </w:rPr>
              <w:t>=90%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2C9E48D3">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87E3A93">
            <w:pPr>
              <w:jc w:val="center"/>
            </w:pPr>
            <w:r>
              <w:rPr>
                <w:rFonts w:ascii="宋体" w:hAnsi="宋体" w:eastAsia="宋体"/>
                <w:sz w:val="16"/>
              </w:rPr>
              <w:t>10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0CA0001A">
            <w:pPr>
              <w:jc w:val="center"/>
            </w:pPr>
          </w:p>
        </w:tc>
      </w:tr>
      <w:tr w14:paraId="4D5248DB">
        <w:tblPrEx>
          <w:tblCellMar>
            <w:top w:w="0" w:type="dxa"/>
            <w:left w:w="108" w:type="dxa"/>
            <w:bottom w:w="0" w:type="dxa"/>
            <w:right w:w="108" w:type="dxa"/>
          </w:tblCellMar>
        </w:tblPrEx>
        <w:tc>
          <w:tcPr>
            <w:tcW w:w="267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33CF36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FA7460"/>
        </w:tc>
        <w:tc>
          <w:tcPr>
            <w:tcW w:w="604" w:type="dxa"/>
            <w:tcBorders>
              <w:top w:val="single" w:color="auto" w:sz="10" w:space="0"/>
              <w:left w:val="single" w:color="auto" w:sz="10" w:space="0"/>
              <w:bottom w:val="single" w:color="auto" w:sz="10" w:space="0"/>
              <w:right w:val="single" w:color="auto" w:sz="10" w:space="0"/>
              <w:insideV w:val="single" w:sz="10" w:space="0"/>
            </w:tcBorders>
          </w:tcPr>
          <w:p w14:paraId="0139FD62"/>
        </w:tc>
        <w:tc>
          <w:tcPr>
            <w:tcW w:w="604" w:type="dxa"/>
            <w:tcBorders>
              <w:top w:val="single" w:color="auto" w:sz="10" w:space="0"/>
              <w:left w:val="single" w:color="auto" w:sz="10" w:space="0"/>
              <w:bottom w:val="single" w:color="auto" w:sz="10" w:space="0"/>
              <w:right w:val="single" w:color="auto" w:sz="10" w:space="0"/>
              <w:insideV w:val="single" w:sz="10" w:space="0"/>
            </w:tcBorders>
          </w:tcPr>
          <w:p w14:paraId="1D6C3C5F"/>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0166F66">
            <w:pPr>
              <w:jc w:val="center"/>
            </w:pPr>
            <w:r>
              <w:rPr>
                <w:rFonts w:ascii="宋体" w:hAnsi="宋体" w:eastAsia="宋体"/>
                <w:sz w:val="16"/>
              </w:rPr>
              <w:t>100</w:t>
            </w:r>
          </w:p>
        </w:tc>
        <w:tc>
          <w:tcPr>
            <w:tcW w:w="604" w:type="dxa"/>
            <w:tcBorders>
              <w:top w:val="single" w:color="auto" w:sz="10" w:space="0"/>
              <w:left w:val="single" w:color="auto" w:sz="10" w:space="0"/>
              <w:bottom w:val="single" w:color="auto" w:sz="10" w:space="0"/>
              <w:right w:val="single" w:color="auto" w:sz="10" w:space="0"/>
              <w:insideV w:val="single" w:sz="10" w:space="0"/>
            </w:tcBorders>
          </w:tcPr>
          <w:p w14:paraId="3DCB9790"/>
        </w:tc>
        <w:tc>
          <w:tcPr>
            <w:tcW w:w="604" w:type="dxa"/>
            <w:tcBorders>
              <w:top w:val="single" w:color="auto" w:sz="10" w:space="0"/>
              <w:left w:val="single" w:color="auto" w:sz="10" w:space="0"/>
              <w:bottom w:val="single" w:color="auto" w:sz="10" w:space="0"/>
              <w:right w:val="single" w:color="auto" w:sz="10" w:space="0"/>
              <w:insideV w:val="single" w:sz="10" w:space="0"/>
            </w:tcBorders>
          </w:tcPr>
          <w:p w14:paraId="32FC49AC"/>
        </w:tc>
        <w:tc>
          <w:tcPr>
            <w:tcW w:w="776" w:type="dxa"/>
            <w:tcBorders>
              <w:top w:val="single" w:color="auto" w:sz="10" w:space="0"/>
              <w:left w:val="single" w:color="auto" w:sz="10" w:space="0"/>
              <w:bottom w:val="single" w:color="auto" w:sz="10" w:space="0"/>
              <w:right w:val="single" w:color="auto" w:sz="10" w:space="0"/>
              <w:insideV w:val="single" w:sz="10" w:space="0"/>
            </w:tcBorders>
          </w:tcPr>
          <w:p w14:paraId="530BD7FA"/>
        </w:tc>
        <w:tc>
          <w:tcPr>
            <w:tcW w:w="622" w:type="dxa"/>
            <w:tcBorders>
              <w:top w:val="single" w:color="auto" w:sz="10" w:space="0"/>
              <w:left w:val="single" w:color="auto" w:sz="10" w:space="0"/>
              <w:bottom w:val="single" w:color="auto" w:sz="10" w:space="0"/>
              <w:right w:val="single" w:color="auto" w:sz="10" w:space="0"/>
              <w:insideV w:val="single" w:sz="10" w:space="0"/>
            </w:tcBorders>
          </w:tcPr>
          <w:p w14:paraId="56497EA5"/>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6912552">
            <w:pPr>
              <w:jc w:val="center"/>
            </w:pPr>
            <w:r>
              <w:rPr>
                <w:rFonts w:ascii="宋体" w:hAnsi="宋体" w:eastAsia="宋体"/>
                <w:sz w:val="16"/>
              </w:rPr>
              <w:t>100.00分</w:t>
            </w:r>
          </w:p>
        </w:tc>
        <w:tc>
          <w:tcPr>
            <w:tcW w:w="630" w:type="dxa"/>
            <w:tcBorders>
              <w:top w:val="single" w:color="auto" w:sz="10" w:space="0"/>
              <w:left w:val="single" w:color="auto" w:sz="10" w:space="0"/>
              <w:bottom w:val="single" w:color="auto" w:sz="10" w:space="0"/>
              <w:right w:val="single" w:color="auto" w:sz="10" w:space="0"/>
              <w:insideV w:val="single" w:sz="10" w:space="0"/>
            </w:tcBorders>
          </w:tcPr>
          <w:p w14:paraId="6BC200C7"/>
        </w:tc>
      </w:tr>
    </w:tbl>
    <w:p w14:paraId="42293535">
      <w:r>
        <w:br w:type="page"/>
      </w:r>
    </w:p>
    <w:tbl>
      <w:tblPr>
        <w:tblStyle w:val="9"/>
        <w:tblW w:w="0" w:type="auto"/>
        <w:tblInd w:w="0" w:type="dxa"/>
        <w:tblLayout w:type="autofit"/>
        <w:tblCellMar>
          <w:top w:w="0" w:type="dxa"/>
          <w:left w:w="108" w:type="dxa"/>
          <w:bottom w:w="0" w:type="dxa"/>
          <w:right w:w="108" w:type="dxa"/>
        </w:tblCellMar>
      </w:tblPr>
      <w:tblGrid>
        <w:gridCol w:w="621"/>
        <w:gridCol w:w="604"/>
        <w:gridCol w:w="604"/>
        <w:gridCol w:w="622"/>
        <w:gridCol w:w="856"/>
        <w:gridCol w:w="604"/>
        <w:gridCol w:w="604"/>
        <w:gridCol w:w="613"/>
        <w:gridCol w:w="604"/>
        <w:gridCol w:w="604"/>
        <w:gridCol w:w="776"/>
        <w:gridCol w:w="622"/>
        <w:gridCol w:w="696"/>
        <w:gridCol w:w="630"/>
      </w:tblGrid>
      <w:tr w14:paraId="3ED371BF">
        <w:tblPrEx>
          <w:tblCellMar>
            <w:top w:w="0" w:type="dxa"/>
            <w:left w:w="108" w:type="dxa"/>
            <w:bottom w:w="0" w:type="dxa"/>
            <w:right w:w="108" w:type="dxa"/>
          </w:tblCellMar>
        </w:tblPrEx>
        <w:tc>
          <w:tcPr>
            <w:tcW w:w="8848" w:type="dxa"/>
            <w:gridSpan w:val="14"/>
            <w:vAlign w:val="center"/>
          </w:tcPr>
          <w:p w14:paraId="38413B45">
            <w:pPr>
              <w:jc w:val="center"/>
            </w:pPr>
            <w:r>
              <w:rPr>
                <w:rFonts w:ascii="宋体" w:hAnsi="宋体" w:eastAsia="宋体"/>
                <w:sz w:val="24"/>
              </w:rPr>
              <w:t>项目支出绩效自评表</w:t>
            </w:r>
          </w:p>
        </w:tc>
      </w:tr>
      <w:tr w14:paraId="1CB22C5C">
        <w:tblPrEx>
          <w:tblCellMar>
            <w:top w:w="0" w:type="dxa"/>
            <w:left w:w="108" w:type="dxa"/>
            <w:bottom w:w="0" w:type="dxa"/>
            <w:right w:w="108" w:type="dxa"/>
          </w:tblCellMar>
        </w:tblPrEx>
        <w:tc>
          <w:tcPr>
            <w:tcW w:w="8848" w:type="dxa"/>
            <w:gridSpan w:val="14"/>
            <w:vAlign w:val="center"/>
          </w:tcPr>
          <w:p w14:paraId="597C5931">
            <w:pPr>
              <w:jc w:val="center"/>
            </w:pPr>
            <w:r>
              <w:rPr>
                <w:rFonts w:ascii="宋体" w:hAnsi="宋体" w:eastAsia="宋体"/>
                <w:sz w:val="24"/>
              </w:rPr>
              <w:t>(2024年度)</w:t>
            </w:r>
          </w:p>
        </w:tc>
      </w:tr>
      <w:tr w14:paraId="3583EB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1AED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EEE898">
            <w:pPr>
              <w:jc w:val="center"/>
            </w:pPr>
            <w:r>
              <w:rPr>
                <w:rFonts w:ascii="宋体" w:hAnsi="宋体" w:eastAsia="宋体"/>
                <w:sz w:val="16"/>
              </w:rPr>
              <w:t>交通局：巴财建</w:t>
            </w:r>
            <w:r>
              <w:rPr>
                <w:rFonts w:hint="eastAsia" w:ascii="宋体" w:hAnsi="宋体"/>
                <w:sz w:val="16"/>
                <w:lang w:eastAsia="zh-CN"/>
              </w:rPr>
              <w:t>〔2023〕131号</w:t>
            </w:r>
            <w:r>
              <w:rPr>
                <w:rFonts w:ascii="宋体" w:hAnsi="宋体" w:eastAsia="宋体"/>
                <w:sz w:val="16"/>
              </w:rPr>
              <w:t>提前下达2024年政府还贷二级公路取消收费后补助资金用于农村公路养护工程</w:t>
            </w:r>
          </w:p>
        </w:tc>
      </w:tr>
      <w:tr w14:paraId="3E1D40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41F9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66E4C8">
            <w:pPr>
              <w:jc w:val="center"/>
              <w:rPr>
                <w:rFonts w:hint="eastAsia" w:eastAsia="宋体"/>
                <w:lang w:eastAsia="zh-CN"/>
              </w:rPr>
            </w:pPr>
            <w:r>
              <w:rPr>
                <w:rFonts w:hint="eastAsia" w:ascii="宋体" w:hAnsi="宋体"/>
                <w:sz w:val="16"/>
                <w:lang w:eastAsia="zh-CN"/>
              </w:rPr>
              <w:t>轮台县交通运输局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53F5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EF094F">
            <w:pPr>
              <w:jc w:val="center"/>
            </w:pPr>
            <w:r>
              <w:rPr>
                <w:rFonts w:ascii="宋体" w:hAnsi="宋体" w:eastAsia="宋体"/>
                <w:sz w:val="16"/>
              </w:rPr>
              <w:t>轮台县交通运输局</w:t>
            </w:r>
          </w:p>
        </w:tc>
      </w:tr>
      <w:tr w14:paraId="79D4AD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BEE6C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72D1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A576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D2B4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1F2C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E5565">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FB16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0FCD4">
            <w:pPr>
              <w:jc w:val="center"/>
            </w:pPr>
            <w:r>
              <w:rPr>
                <w:rFonts w:ascii="宋体" w:hAnsi="宋体" w:eastAsia="宋体"/>
                <w:sz w:val="16"/>
              </w:rPr>
              <w:t>得分</w:t>
            </w:r>
          </w:p>
        </w:tc>
      </w:tr>
      <w:tr w14:paraId="5F900D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1F034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1852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14E27">
            <w:pPr>
              <w:jc w:val="center"/>
            </w:pPr>
            <w:r>
              <w:rPr>
                <w:rFonts w:ascii="宋体" w:hAnsi="宋体" w:eastAsia="宋体"/>
                <w:sz w:val="16"/>
              </w:rPr>
              <w:t>67.80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46F37">
            <w:pPr>
              <w:jc w:val="center"/>
            </w:pPr>
            <w:r>
              <w:rPr>
                <w:rFonts w:ascii="宋体" w:hAnsi="宋体" w:eastAsia="宋体"/>
                <w:sz w:val="16"/>
              </w:rPr>
              <w:t>67.80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B785E">
            <w:pPr>
              <w:jc w:val="center"/>
            </w:pPr>
            <w:r>
              <w:rPr>
                <w:rFonts w:ascii="宋体" w:hAnsi="宋体" w:eastAsia="宋体"/>
                <w:sz w:val="16"/>
              </w:rPr>
              <w:t>67.80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5AA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AB7F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3ECD7">
            <w:pPr>
              <w:jc w:val="center"/>
            </w:pPr>
            <w:r>
              <w:rPr>
                <w:rFonts w:ascii="宋体" w:hAnsi="宋体" w:eastAsia="宋体"/>
                <w:sz w:val="16"/>
              </w:rPr>
              <w:t>10.00</w:t>
            </w:r>
          </w:p>
        </w:tc>
      </w:tr>
      <w:tr w14:paraId="6020D5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007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4FF4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7F51E">
            <w:pPr>
              <w:jc w:val="center"/>
            </w:pPr>
            <w:r>
              <w:rPr>
                <w:rFonts w:ascii="宋体" w:hAnsi="宋体" w:eastAsia="宋体"/>
                <w:sz w:val="16"/>
              </w:rPr>
              <w:t>67.80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F07BC">
            <w:pPr>
              <w:jc w:val="center"/>
            </w:pPr>
            <w:r>
              <w:rPr>
                <w:rFonts w:ascii="宋体" w:hAnsi="宋体" w:eastAsia="宋体"/>
                <w:sz w:val="16"/>
              </w:rPr>
              <w:t>67.80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4F313">
            <w:pPr>
              <w:jc w:val="center"/>
            </w:pPr>
            <w:r>
              <w:rPr>
                <w:rFonts w:ascii="宋体" w:hAnsi="宋体" w:eastAsia="宋体"/>
                <w:sz w:val="16"/>
              </w:rPr>
              <w:t>67.80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7EC7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3AB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D30C5">
            <w:pPr>
              <w:jc w:val="center"/>
            </w:pPr>
            <w:r>
              <w:rPr>
                <w:rFonts w:ascii="宋体" w:hAnsi="宋体" w:eastAsia="宋体"/>
                <w:sz w:val="16"/>
              </w:rPr>
              <w:t>-</w:t>
            </w:r>
          </w:p>
        </w:tc>
      </w:tr>
      <w:tr w14:paraId="3866F0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7A2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D882E">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FCC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E91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24E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BE1B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30B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C514D">
            <w:pPr>
              <w:jc w:val="center"/>
            </w:pPr>
            <w:r>
              <w:rPr>
                <w:rFonts w:ascii="宋体" w:hAnsi="宋体" w:eastAsia="宋体"/>
                <w:sz w:val="16"/>
              </w:rPr>
              <w:t>-</w:t>
            </w:r>
          </w:p>
        </w:tc>
      </w:tr>
      <w:tr w14:paraId="7B529A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BB082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CA6F0A">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91976E">
            <w:pPr>
              <w:jc w:val="center"/>
            </w:pPr>
            <w:r>
              <w:rPr>
                <w:rFonts w:ascii="宋体" w:hAnsi="宋体" w:eastAsia="宋体"/>
                <w:sz w:val="16"/>
              </w:rPr>
              <w:t>总体目标完成情况</w:t>
            </w:r>
          </w:p>
        </w:tc>
      </w:tr>
      <w:tr w14:paraId="12C708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114E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5F950A">
            <w:pPr>
              <w:jc w:val="both"/>
            </w:pPr>
            <w:r>
              <w:rPr>
                <w:rFonts w:ascii="宋体" w:hAnsi="宋体" w:eastAsia="宋体"/>
                <w:sz w:val="16"/>
              </w:rPr>
              <w:t>完成“十四五”现代综合交通运输体系发展规划范围内的综合交通、公路、水运等年度建设任务。目标1：年度全社会累计新改建农村公路里程不低于1.835公里，提升基本公共服务水平及公路安全水平，保障新改建公路项目适应未来一定时期内交通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823FAC">
            <w:pPr>
              <w:jc w:val="both"/>
            </w:pPr>
            <w:r>
              <w:rPr>
                <w:rFonts w:hint="eastAsia" w:ascii="宋体" w:hAnsi="宋体"/>
                <w:sz w:val="16"/>
                <w:lang w:eastAsia="zh-CN"/>
              </w:rPr>
              <w:t>本单位</w:t>
            </w:r>
            <w:r>
              <w:rPr>
                <w:rFonts w:ascii="宋体" w:hAnsi="宋体" w:eastAsia="宋体"/>
                <w:sz w:val="16"/>
              </w:rPr>
              <w:t>本年度严格执行《巴财建</w:t>
            </w:r>
            <w:r>
              <w:rPr>
                <w:rFonts w:hint="eastAsia" w:ascii="宋体" w:hAnsi="宋体"/>
                <w:sz w:val="16"/>
                <w:lang w:eastAsia="zh-CN"/>
              </w:rPr>
              <w:t>〔2023〕131号</w:t>
            </w:r>
            <w:r>
              <w:rPr>
                <w:rFonts w:ascii="宋体" w:hAnsi="宋体" w:eastAsia="宋体"/>
                <w:sz w:val="16"/>
              </w:rPr>
              <w:t>提前下达2024年政府还贷二级公路取消收费后补助资金用于农村公路养护工程项目计划的通知》，已完成年度全社会累计新改建农村公路里程1.865公里，提升了基本公共服务水平及公路安全水平，保障了新改建公路项目适应未来一定时期内交通需求。</w:t>
            </w:r>
          </w:p>
        </w:tc>
      </w:tr>
      <w:tr w14:paraId="7633BF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B7078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D744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F0D4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4E02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37E0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BAA4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B2C21">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3001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C0CE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A71F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6FEB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FADE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A40C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EC9D7">
            <w:pPr>
              <w:jc w:val="center"/>
            </w:pPr>
            <w:r>
              <w:rPr>
                <w:rFonts w:ascii="宋体" w:hAnsi="宋体" w:eastAsia="宋体"/>
                <w:sz w:val="16"/>
              </w:rPr>
              <w:t>偏差原因分析及改进措施</w:t>
            </w:r>
          </w:p>
        </w:tc>
      </w:tr>
      <w:tr w14:paraId="30EE4D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18A52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95DCA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5FF7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74E1D">
            <w:pPr>
              <w:jc w:val="center"/>
            </w:pPr>
            <w:r>
              <w:rPr>
                <w:rFonts w:ascii="宋体" w:hAnsi="宋体" w:eastAsia="宋体"/>
                <w:sz w:val="16"/>
              </w:rPr>
              <w:t>新改建农村公路里程（公里）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7D3B3">
            <w:pPr>
              <w:jc w:val="center"/>
            </w:pPr>
            <w:r>
              <w:rPr>
                <w:rFonts w:ascii="宋体" w:hAnsi="宋体" w:eastAsia="宋体"/>
                <w:sz w:val="16"/>
              </w:rPr>
              <w:t>&gt;=1.835公里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EBE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2B0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587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D9F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9AD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07511">
            <w:pPr>
              <w:jc w:val="center"/>
            </w:pPr>
            <w:r>
              <w:rPr>
                <w:rFonts w:ascii="宋体" w:hAnsi="宋体" w:eastAsia="宋体"/>
                <w:sz w:val="16"/>
              </w:rPr>
              <w:t>=1.835公里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997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F8B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415D4">
            <w:pPr>
              <w:jc w:val="center"/>
            </w:pPr>
          </w:p>
        </w:tc>
      </w:tr>
      <w:tr w14:paraId="0590D3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952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7788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C3ACE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8E50D">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D32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5F2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6C9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A06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EF2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8DD4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640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A09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8BB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0EA1E">
            <w:pPr>
              <w:jc w:val="center"/>
            </w:pPr>
          </w:p>
        </w:tc>
      </w:tr>
      <w:tr w14:paraId="593202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E03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3B6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79D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962C9">
            <w:pPr>
              <w:jc w:val="center"/>
            </w:pPr>
            <w:r>
              <w:rPr>
                <w:rFonts w:ascii="宋体" w:hAnsi="宋体" w:eastAsia="宋体"/>
                <w:sz w:val="16"/>
              </w:rPr>
              <w:t>完工项目验收合格率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80A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209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208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18D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650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C27E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2CC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555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74D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E63B1">
            <w:pPr>
              <w:jc w:val="center"/>
            </w:pPr>
          </w:p>
        </w:tc>
      </w:tr>
      <w:tr w14:paraId="74DDE5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BE0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AA7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C98B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A132F">
            <w:pPr>
              <w:jc w:val="center"/>
            </w:pPr>
            <w:r>
              <w:rPr>
                <w:rFonts w:ascii="宋体" w:hAnsi="宋体" w:eastAsia="宋体"/>
                <w:sz w:val="16"/>
              </w:rPr>
              <w:t>按期完成投资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7FC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89F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016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81C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1E6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57D7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3FC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53D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B87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43A77">
            <w:pPr>
              <w:jc w:val="center"/>
            </w:pPr>
          </w:p>
        </w:tc>
      </w:tr>
      <w:tr w14:paraId="326C71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269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B62D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2799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3E1F9">
            <w:pPr>
              <w:jc w:val="center"/>
            </w:pPr>
            <w:r>
              <w:rPr>
                <w:rFonts w:ascii="宋体" w:hAnsi="宋体" w:eastAsia="宋体"/>
                <w:sz w:val="16"/>
              </w:rPr>
              <w:t>新改建农村公路平均成本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FEE49">
            <w:pPr>
              <w:jc w:val="center"/>
            </w:pPr>
            <w:r>
              <w:rPr>
                <w:rFonts w:ascii="宋体" w:hAnsi="宋体" w:eastAsia="宋体"/>
                <w:sz w:val="16"/>
              </w:rPr>
              <w:t>&lt;=36.936万元/公里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8324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58C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E5DD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2A4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8C8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1022B">
            <w:pPr>
              <w:jc w:val="center"/>
            </w:pPr>
            <w:r>
              <w:rPr>
                <w:rFonts w:ascii="宋体" w:hAnsi="宋体" w:eastAsia="宋体"/>
                <w:sz w:val="16"/>
              </w:rPr>
              <w:t>=36.936万元/公里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18B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DBA4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D4281">
            <w:pPr>
              <w:jc w:val="center"/>
            </w:pPr>
          </w:p>
        </w:tc>
      </w:tr>
      <w:tr w14:paraId="46CE13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02C7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0EC6F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8220F">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66963">
            <w:pPr>
              <w:jc w:val="center"/>
            </w:pPr>
            <w:r>
              <w:rPr>
                <w:rFonts w:ascii="宋体" w:hAnsi="宋体" w:eastAsia="宋体"/>
                <w:sz w:val="16"/>
              </w:rPr>
              <w:t>对经济发展的促进作用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59541">
            <w:pPr>
              <w:jc w:val="center"/>
            </w:pPr>
            <w:r>
              <w:rPr>
                <w:rFonts w:ascii="宋体" w:hAnsi="宋体" w:eastAsia="宋体"/>
                <w:sz w:val="16"/>
              </w:rPr>
              <w:t>明显促进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3AC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E40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927D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71DE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EB18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C143C">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930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B7C9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4D682">
            <w:pPr>
              <w:jc w:val="center"/>
            </w:pPr>
          </w:p>
        </w:tc>
      </w:tr>
      <w:tr w14:paraId="091CB4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255D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B902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C3378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06860">
            <w:pPr>
              <w:jc w:val="center"/>
            </w:pPr>
            <w:r>
              <w:rPr>
                <w:rFonts w:ascii="宋体" w:hAnsi="宋体" w:eastAsia="宋体"/>
                <w:sz w:val="16"/>
              </w:rPr>
              <w:t>基本公共服务水平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EE0D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ED2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6FC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8B91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78D6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0A6F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F4300">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01E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4026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AC4D6">
            <w:pPr>
              <w:jc w:val="center"/>
            </w:pPr>
          </w:p>
        </w:tc>
      </w:tr>
      <w:tr w14:paraId="47B158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686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EA9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AC8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06F82">
            <w:pPr>
              <w:jc w:val="center"/>
            </w:pPr>
            <w:r>
              <w:rPr>
                <w:rFonts w:ascii="宋体" w:hAnsi="宋体" w:eastAsia="宋体"/>
                <w:sz w:val="16"/>
              </w:rPr>
              <w:t>公路安全水平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7BA2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6EC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3CF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4A05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C9B5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3570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B0840">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A82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680A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FFC15">
            <w:pPr>
              <w:jc w:val="center"/>
            </w:pPr>
          </w:p>
        </w:tc>
      </w:tr>
      <w:tr w14:paraId="6CD88B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DE7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D9C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24C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C4D0F">
            <w:pPr>
              <w:jc w:val="center"/>
            </w:pPr>
            <w:r>
              <w:rPr>
                <w:rFonts w:ascii="宋体" w:hAnsi="宋体" w:eastAsia="宋体"/>
                <w:sz w:val="16"/>
              </w:rPr>
              <w:t>新改建公路项目适应未来一定时期内交通需求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D0B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9DD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0BC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7F17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907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0FE0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C59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1E9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D9CF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2B381">
            <w:pPr>
              <w:jc w:val="center"/>
            </w:pPr>
          </w:p>
        </w:tc>
      </w:tr>
      <w:tr w14:paraId="40E318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6F1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EF6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B25EA">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59633">
            <w:pPr>
              <w:jc w:val="center"/>
            </w:pPr>
            <w:r>
              <w:rPr>
                <w:rFonts w:ascii="宋体" w:hAnsi="宋体" w:eastAsia="宋体"/>
                <w:sz w:val="16"/>
              </w:rPr>
              <w:t>交通建设符合环评审批要求合格率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1F0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E8D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559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49AB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BC0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1DCD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5A9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0AF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B1E8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E25A0">
            <w:pPr>
              <w:jc w:val="center"/>
            </w:pPr>
          </w:p>
        </w:tc>
      </w:tr>
      <w:tr w14:paraId="1E7B89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E1D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D04E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405C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06879">
            <w:pPr>
              <w:jc w:val="center"/>
            </w:pPr>
            <w:r>
              <w:rPr>
                <w:rFonts w:ascii="宋体" w:hAnsi="宋体" w:eastAsia="宋体"/>
                <w:sz w:val="16"/>
              </w:rPr>
              <w:t>改善通行服务水平群众满意度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E68D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1D6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18B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33D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E5FD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2A6F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C396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9C8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2C9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A8151">
            <w:pPr>
              <w:jc w:val="center"/>
            </w:pPr>
          </w:p>
        </w:tc>
      </w:tr>
      <w:tr w14:paraId="6BD8022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F9226E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E1CB8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CD1C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715E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D0F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868F4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8F92E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4D231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3399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5B44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B000F4"/>
        </w:tc>
      </w:tr>
    </w:tbl>
    <w:p w14:paraId="3D01B658">
      <w:r>
        <w:br w:type="page"/>
      </w:r>
    </w:p>
    <w:tbl>
      <w:tblPr>
        <w:tblStyle w:val="9"/>
        <w:tblW w:w="0" w:type="auto"/>
        <w:tblInd w:w="0" w:type="dxa"/>
        <w:tblLayout w:type="autofit"/>
        <w:tblCellMar>
          <w:top w:w="0" w:type="dxa"/>
          <w:left w:w="108" w:type="dxa"/>
          <w:bottom w:w="0" w:type="dxa"/>
          <w:right w:w="108" w:type="dxa"/>
        </w:tblCellMar>
      </w:tblPr>
      <w:tblGrid>
        <w:gridCol w:w="621"/>
        <w:gridCol w:w="604"/>
        <w:gridCol w:w="604"/>
        <w:gridCol w:w="622"/>
        <w:gridCol w:w="856"/>
        <w:gridCol w:w="604"/>
        <w:gridCol w:w="604"/>
        <w:gridCol w:w="613"/>
        <w:gridCol w:w="604"/>
        <w:gridCol w:w="604"/>
        <w:gridCol w:w="776"/>
        <w:gridCol w:w="622"/>
        <w:gridCol w:w="696"/>
        <w:gridCol w:w="630"/>
      </w:tblGrid>
      <w:tr w14:paraId="34D2C4B5">
        <w:tblPrEx>
          <w:tblCellMar>
            <w:top w:w="0" w:type="dxa"/>
            <w:left w:w="108" w:type="dxa"/>
            <w:bottom w:w="0" w:type="dxa"/>
            <w:right w:w="108" w:type="dxa"/>
          </w:tblCellMar>
        </w:tblPrEx>
        <w:tc>
          <w:tcPr>
            <w:tcW w:w="8848" w:type="dxa"/>
            <w:gridSpan w:val="14"/>
            <w:vAlign w:val="center"/>
          </w:tcPr>
          <w:p w14:paraId="2FE16060">
            <w:pPr>
              <w:jc w:val="center"/>
            </w:pPr>
            <w:r>
              <w:rPr>
                <w:rFonts w:ascii="宋体" w:hAnsi="宋体" w:eastAsia="宋体"/>
                <w:sz w:val="24"/>
              </w:rPr>
              <w:t>项目支出绩效自评表</w:t>
            </w:r>
          </w:p>
        </w:tc>
      </w:tr>
      <w:tr w14:paraId="152444CA">
        <w:tblPrEx>
          <w:tblCellMar>
            <w:top w:w="0" w:type="dxa"/>
            <w:left w:w="108" w:type="dxa"/>
            <w:bottom w:w="0" w:type="dxa"/>
            <w:right w:w="108" w:type="dxa"/>
          </w:tblCellMar>
        </w:tblPrEx>
        <w:tc>
          <w:tcPr>
            <w:tcW w:w="8848" w:type="dxa"/>
            <w:gridSpan w:val="14"/>
            <w:vAlign w:val="center"/>
          </w:tcPr>
          <w:p w14:paraId="2F557B3F">
            <w:pPr>
              <w:jc w:val="center"/>
            </w:pPr>
            <w:r>
              <w:rPr>
                <w:rFonts w:ascii="宋体" w:hAnsi="宋体" w:eastAsia="宋体"/>
                <w:sz w:val="24"/>
              </w:rPr>
              <w:t>(2024年度)</w:t>
            </w:r>
          </w:p>
        </w:tc>
      </w:tr>
      <w:tr w14:paraId="079F64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B785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8B5C466">
            <w:pPr>
              <w:jc w:val="center"/>
            </w:pPr>
            <w:r>
              <w:rPr>
                <w:rFonts w:ascii="宋体" w:hAnsi="宋体" w:eastAsia="宋体"/>
                <w:sz w:val="16"/>
              </w:rPr>
              <w:t>交通局：巴财建</w:t>
            </w:r>
            <w:r>
              <w:rPr>
                <w:rFonts w:hint="eastAsia" w:ascii="宋体" w:hAnsi="宋体"/>
                <w:sz w:val="16"/>
                <w:lang w:eastAsia="zh-CN"/>
              </w:rPr>
              <w:t>〔2023〕137号</w:t>
            </w:r>
            <w:r>
              <w:rPr>
                <w:rFonts w:ascii="宋体" w:hAnsi="宋体" w:eastAsia="宋体"/>
                <w:sz w:val="16"/>
              </w:rPr>
              <w:t>关于提前下达2024年车辆购置税收入补助地方[第一批]用于普通省道及农村公路建设“以奖代补”资金预算的通知</w:t>
            </w:r>
          </w:p>
        </w:tc>
      </w:tr>
      <w:tr w14:paraId="0DC27B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AAA7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2E5278">
            <w:pPr>
              <w:jc w:val="center"/>
              <w:rPr>
                <w:rFonts w:hint="eastAsia" w:eastAsia="宋体"/>
                <w:lang w:eastAsia="zh-CN"/>
              </w:rPr>
            </w:pPr>
            <w:r>
              <w:rPr>
                <w:rFonts w:hint="eastAsia" w:ascii="宋体" w:hAnsi="宋体"/>
                <w:sz w:val="16"/>
                <w:lang w:eastAsia="zh-CN"/>
              </w:rPr>
              <w:t>轮台县交通运输局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1076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49496C">
            <w:pPr>
              <w:jc w:val="center"/>
            </w:pPr>
            <w:r>
              <w:rPr>
                <w:rFonts w:ascii="宋体" w:hAnsi="宋体" w:eastAsia="宋体"/>
                <w:sz w:val="16"/>
              </w:rPr>
              <w:t>轮台县交通运输局</w:t>
            </w:r>
          </w:p>
        </w:tc>
      </w:tr>
      <w:tr w14:paraId="3AEC88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80D5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9600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DC9D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9E51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2FE9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82936">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9FD1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46875">
            <w:pPr>
              <w:jc w:val="center"/>
            </w:pPr>
            <w:r>
              <w:rPr>
                <w:rFonts w:ascii="宋体" w:hAnsi="宋体" w:eastAsia="宋体"/>
                <w:sz w:val="16"/>
              </w:rPr>
              <w:t>得分</w:t>
            </w:r>
          </w:p>
        </w:tc>
      </w:tr>
      <w:tr w14:paraId="5958B7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1851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7737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89F54">
            <w:pPr>
              <w:jc w:val="center"/>
            </w:pPr>
            <w:r>
              <w:rPr>
                <w:rFonts w:ascii="宋体" w:hAnsi="宋体" w:eastAsia="宋体"/>
                <w:sz w:val="16"/>
              </w:rPr>
              <w:t>379.50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D7474">
            <w:pPr>
              <w:jc w:val="center"/>
            </w:pPr>
            <w:r>
              <w:rPr>
                <w:rFonts w:ascii="宋体" w:hAnsi="宋体" w:eastAsia="宋体"/>
                <w:sz w:val="16"/>
              </w:rPr>
              <w:t>379.50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7411B">
            <w:pPr>
              <w:jc w:val="center"/>
            </w:pPr>
            <w:r>
              <w:rPr>
                <w:rFonts w:ascii="宋体" w:hAnsi="宋体" w:eastAsia="宋体"/>
                <w:sz w:val="16"/>
              </w:rPr>
              <w:t>379.50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D75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059B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F8A75">
            <w:pPr>
              <w:jc w:val="center"/>
            </w:pPr>
            <w:r>
              <w:rPr>
                <w:rFonts w:ascii="宋体" w:hAnsi="宋体" w:eastAsia="宋体"/>
                <w:sz w:val="16"/>
              </w:rPr>
              <w:t>10.00</w:t>
            </w:r>
          </w:p>
        </w:tc>
      </w:tr>
      <w:tr w14:paraId="557963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2DE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9741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78A5C">
            <w:pPr>
              <w:jc w:val="center"/>
            </w:pPr>
            <w:r>
              <w:rPr>
                <w:rFonts w:ascii="宋体" w:hAnsi="宋体" w:eastAsia="宋体"/>
                <w:sz w:val="16"/>
              </w:rPr>
              <w:t>379.50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B586C">
            <w:pPr>
              <w:jc w:val="center"/>
            </w:pPr>
            <w:r>
              <w:rPr>
                <w:rFonts w:ascii="宋体" w:hAnsi="宋体" w:eastAsia="宋体"/>
                <w:sz w:val="16"/>
              </w:rPr>
              <w:t>379.50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037B7">
            <w:pPr>
              <w:jc w:val="center"/>
            </w:pPr>
            <w:r>
              <w:rPr>
                <w:rFonts w:ascii="宋体" w:hAnsi="宋体" w:eastAsia="宋体"/>
                <w:sz w:val="16"/>
              </w:rPr>
              <w:t>379.50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6DE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00E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172EB">
            <w:pPr>
              <w:jc w:val="center"/>
            </w:pPr>
            <w:r>
              <w:rPr>
                <w:rFonts w:ascii="宋体" w:hAnsi="宋体" w:eastAsia="宋体"/>
                <w:sz w:val="16"/>
              </w:rPr>
              <w:t>-</w:t>
            </w:r>
          </w:p>
        </w:tc>
      </w:tr>
      <w:tr w14:paraId="33F751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3BD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53E48">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810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509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7BB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9748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DCD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9BCF7">
            <w:pPr>
              <w:jc w:val="center"/>
            </w:pPr>
            <w:r>
              <w:rPr>
                <w:rFonts w:ascii="宋体" w:hAnsi="宋体" w:eastAsia="宋体"/>
                <w:sz w:val="16"/>
              </w:rPr>
              <w:t>-</w:t>
            </w:r>
          </w:p>
        </w:tc>
      </w:tr>
      <w:tr w14:paraId="07217A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8BD27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9C742F">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233FF8">
            <w:pPr>
              <w:jc w:val="center"/>
            </w:pPr>
            <w:r>
              <w:rPr>
                <w:rFonts w:ascii="宋体" w:hAnsi="宋体" w:eastAsia="宋体"/>
                <w:sz w:val="16"/>
              </w:rPr>
              <w:t>总体目标完成情况</w:t>
            </w:r>
          </w:p>
        </w:tc>
      </w:tr>
      <w:tr w14:paraId="468847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C541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81F4ED">
            <w:pPr>
              <w:jc w:val="both"/>
            </w:pPr>
            <w:r>
              <w:rPr>
                <w:rFonts w:ascii="宋体" w:hAnsi="宋体" w:eastAsia="宋体"/>
                <w:sz w:val="16"/>
              </w:rPr>
              <w:t>完成“十四五”现代综合交通运输体系发展规划范围内的综合交通、公路、水运等年度建设任务。目标1：年度全社会累计新改建农村公路里程不低于8.16公里，提升基本公共服务水平及公路安全水平，保障新改建公路项目适应未来一定时期内交通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20ECE9">
            <w:pPr>
              <w:jc w:val="both"/>
            </w:pPr>
            <w:r>
              <w:rPr>
                <w:rFonts w:hint="eastAsia" w:ascii="宋体" w:hAnsi="宋体"/>
                <w:sz w:val="16"/>
                <w:lang w:eastAsia="zh-CN"/>
              </w:rPr>
              <w:t>本单位</w:t>
            </w:r>
            <w:r>
              <w:rPr>
                <w:rFonts w:ascii="宋体" w:hAnsi="宋体" w:eastAsia="宋体"/>
                <w:sz w:val="16"/>
              </w:rPr>
              <w:t>本年度严格执行《巴财建</w:t>
            </w:r>
            <w:r>
              <w:rPr>
                <w:rFonts w:hint="eastAsia" w:ascii="宋体" w:hAnsi="宋体"/>
                <w:sz w:val="16"/>
                <w:lang w:eastAsia="zh-CN"/>
              </w:rPr>
              <w:t>〔2023〕137号</w:t>
            </w:r>
            <w:r>
              <w:rPr>
                <w:rFonts w:ascii="宋体" w:hAnsi="宋体" w:eastAsia="宋体"/>
                <w:sz w:val="16"/>
              </w:rPr>
              <w:t>关于提前下达2024年车辆购置税收入补助地方[第一批]用于普通省道及农村公路建设“以奖代补”资金预算的通知》（2021年车辆购置税收入补助地方[第二批]），已完成年度全社会累计新改建农村公路里程10.728公里，提升了基本公共服务水平及公路安全水平，保障了新改建公路项目适应未来一定时期内交通需求。</w:t>
            </w:r>
          </w:p>
        </w:tc>
      </w:tr>
      <w:tr w14:paraId="326C15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E57C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1BCD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EEBC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5AF4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959D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5EF3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4CEBE">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FA87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44C1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5DAA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84CE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E25F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A949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701FC">
            <w:pPr>
              <w:jc w:val="center"/>
            </w:pPr>
            <w:r>
              <w:rPr>
                <w:rFonts w:ascii="宋体" w:hAnsi="宋体" w:eastAsia="宋体"/>
                <w:sz w:val="16"/>
              </w:rPr>
              <w:t>偏差原因分析及改进措施</w:t>
            </w:r>
          </w:p>
        </w:tc>
      </w:tr>
      <w:tr w14:paraId="279587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2E6A4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90ED9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9A90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180E7">
            <w:pPr>
              <w:jc w:val="center"/>
            </w:pPr>
            <w:r>
              <w:rPr>
                <w:rFonts w:ascii="宋体" w:hAnsi="宋体" w:eastAsia="宋体"/>
                <w:sz w:val="16"/>
              </w:rPr>
              <w:t>年度全社会累计新改建农村公路里程（公里）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20AB8">
            <w:pPr>
              <w:jc w:val="center"/>
            </w:pPr>
            <w:r>
              <w:rPr>
                <w:rFonts w:ascii="宋体" w:hAnsi="宋体" w:eastAsia="宋体"/>
                <w:sz w:val="16"/>
              </w:rPr>
              <w:t>&gt;=10.728公里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2F9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B06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C45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070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8BC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2E654">
            <w:pPr>
              <w:jc w:val="center"/>
            </w:pPr>
            <w:r>
              <w:rPr>
                <w:rFonts w:ascii="宋体" w:hAnsi="宋体" w:eastAsia="宋体"/>
                <w:sz w:val="16"/>
              </w:rPr>
              <w:t>=10.728公里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4D4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E80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63D6C">
            <w:pPr>
              <w:jc w:val="center"/>
            </w:pPr>
          </w:p>
        </w:tc>
      </w:tr>
      <w:tr w14:paraId="6E6A77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EC8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28FC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FECE4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51FD3">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B57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6D2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D39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527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D14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CECE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860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CFD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68F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07637">
            <w:pPr>
              <w:jc w:val="center"/>
            </w:pPr>
          </w:p>
        </w:tc>
      </w:tr>
      <w:tr w14:paraId="68DC7B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7BDE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1CE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F31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8F33E">
            <w:pPr>
              <w:jc w:val="center"/>
            </w:pPr>
            <w:r>
              <w:rPr>
                <w:rFonts w:ascii="宋体" w:hAnsi="宋体" w:eastAsia="宋体"/>
                <w:sz w:val="16"/>
              </w:rPr>
              <w:t>完工项目验收合格率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BF4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D55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360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A72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A9B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E234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7CA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162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7AE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881C5">
            <w:pPr>
              <w:jc w:val="center"/>
            </w:pPr>
          </w:p>
        </w:tc>
      </w:tr>
      <w:tr w14:paraId="5FE983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2B0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CCF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9FDF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BC585">
            <w:pPr>
              <w:jc w:val="center"/>
            </w:pPr>
            <w:r>
              <w:rPr>
                <w:rFonts w:ascii="宋体" w:hAnsi="宋体" w:eastAsia="宋体"/>
                <w:sz w:val="16"/>
              </w:rPr>
              <w:t>按期完成投资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5F7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7C4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674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B95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F19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0224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0BD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095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FEC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614B6">
            <w:pPr>
              <w:jc w:val="center"/>
            </w:pPr>
          </w:p>
        </w:tc>
      </w:tr>
      <w:tr w14:paraId="1C4D13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B1C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116F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71CA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EED71">
            <w:pPr>
              <w:jc w:val="center"/>
            </w:pPr>
            <w:r>
              <w:rPr>
                <w:rFonts w:ascii="宋体" w:hAnsi="宋体" w:eastAsia="宋体"/>
                <w:sz w:val="16"/>
              </w:rPr>
              <w:t>新改建农村公路平均成本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F294F">
            <w:pPr>
              <w:jc w:val="center"/>
            </w:pPr>
            <w:r>
              <w:rPr>
                <w:rFonts w:ascii="宋体" w:hAnsi="宋体" w:eastAsia="宋体"/>
                <w:sz w:val="16"/>
              </w:rPr>
              <w:t>&lt;=35.374万元/公里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FE14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5C4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2FDE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23A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39E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AC2AB">
            <w:pPr>
              <w:jc w:val="center"/>
            </w:pPr>
            <w:r>
              <w:rPr>
                <w:rFonts w:ascii="宋体" w:hAnsi="宋体" w:eastAsia="宋体"/>
                <w:sz w:val="16"/>
              </w:rPr>
              <w:t>=35.374万元/公里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10B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0F4D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41D2B">
            <w:pPr>
              <w:jc w:val="center"/>
            </w:pPr>
          </w:p>
        </w:tc>
      </w:tr>
      <w:tr w14:paraId="3B8E99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ABF90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04CA5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2631F">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37F39">
            <w:pPr>
              <w:jc w:val="center"/>
            </w:pPr>
            <w:r>
              <w:rPr>
                <w:rFonts w:ascii="宋体" w:hAnsi="宋体" w:eastAsia="宋体"/>
                <w:sz w:val="16"/>
              </w:rPr>
              <w:t>对经济发展的促进作用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1F0C2">
            <w:pPr>
              <w:jc w:val="center"/>
            </w:pPr>
            <w:r>
              <w:rPr>
                <w:rFonts w:ascii="宋体" w:hAnsi="宋体" w:eastAsia="宋体"/>
                <w:sz w:val="16"/>
              </w:rPr>
              <w:t>明显促进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2C8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3EC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3A11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342D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639E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65A0C">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633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519E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A14F6">
            <w:pPr>
              <w:jc w:val="center"/>
            </w:pPr>
          </w:p>
        </w:tc>
      </w:tr>
      <w:tr w14:paraId="2555FA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A54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B3C3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CCCCF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76CB8">
            <w:pPr>
              <w:jc w:val="center"/>
            </w:pPr>
            <w:r>
              <w:rPr>
                <w:rFonts w:ascii="宋体" w:hAnsi="宋体" w:eastAsia="宋体"/>
                <w:sz w:val="16"/>
              </w:rPr>
              <w:t>基本公共服务水平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6F48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7B7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FAE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16A0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BE71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E361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53896">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57B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4B4E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180DB">
            <w:pPr>
              <w:jc w:val="center"/>
            </w:pPr>
          </w:p>
        </w:tc>
      </w:tr>
      <w:tr w14:paraId="65A7AE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BC0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B13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BE5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C61EF">
            <w:pPr>
              <w:jc w:val="center"/>
            </w:pPr>
            <w:r>
              <w:rPr>
                <w:rFonts w:ascii="宋体" w:hAnsi="宋体" w:eastAsia="宋体"/>
                <w:sz w:val="16"/>
              </w:rPr>
              <w:t>公路安全水平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B6D7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D11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89A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B99D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00BD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654C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37071">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0C0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9099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D491E">
            <w:pPr>
              <w:jc w:val="center"/>
            </w:pPr>
          </w:p>
        </w:tc>
      </w:tr>
      <w:tr w14:paraId="7C12F4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900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E28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A29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45E61">
            <w:pPr>
              <w:jc w:val="center"/>
            </w:pPr>
            <w:r>
              <w:rPr>
                <w:rFonts w:ascii="宋体" w:hAnsi="宋体" w:eastAsia="宋体"/>
                <w:sz w:val="16"/>
              </w:rPr>
              <w:t>新改建公路项目适应未来一定时期内交通需求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00A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039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0BD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422F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4E6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8ACC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5AE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29C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139C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9B967">
            <w:pPr>
              <w:jc w:val="center"/>
            </w:pPr>
          </w:p>
        </w:tc>
      </w:tr>
      <w:tr w14:paraId="404CF6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CD4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B81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11C41">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BD1E5">
            <w:pPr>
              <w:jc w:val="center"/>
            </w:pPr>
            <w:r>
              <w:rPr>
                <w:rFonts w:ascii="宋体" w:hAnsi="宋体" w:eastAsia="宋体"/>
                <w:sz w:val="16"/>
              </w:rPr>
              <w:t>交通建设符合环评审批要求合格率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402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90C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A51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A1C7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EC1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FB86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E30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544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A755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D87AF">
            <w:pPr>
              <w:jc w:val="center"/>
            </w:pPr>
          </w:p>
        </w:tc>
      </w:tr>
      <w:tr w14:paraId="7E2AC6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F4C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71A7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4612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CE751">
            <w:pPr>
              <w:jc w:val="center"/>
            </w:pPr>
            <w:r>
              <w:rPr>
                <w:rFonts w:ascii="宋体" w:hAnsi="宋体" w:eastAsia="宋体"/>
                <w:sz w:val="16"/>
              </w:rPr>
              <w:t>改善通行服务水平群众满意度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B55D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71D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F5B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D91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C9A3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543A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ADA0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44C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48A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F5F36">
            <w:pPr>
              <w:jc w:val="center"/>
            </w:pPr>
          </w:p>
        </w:tc>
      </w:tr>
      <w:tr w14:paraId="579743F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053DC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859C7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25A86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89E2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2CB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53380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5C082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E3081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E0A3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B696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63FE6A"/>
        </w:tc>
      </w:tr>
    </w:tbl>
    <w:p w14:paraId="778CB06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3A50DC3B">
        <w:tblPrEx>
          <w:tblCellMar>
            <w:top w:w="0" w:type="dxa"/>
            <w:left w:w="108" w:type="dxa"/>
            <w:bottom w:w="0" w:type="dxa"/>
            <w:right w:w="108" w:type="dxa"/>
          </w:tblCellMar>
        </w:tblPrEx>
        <w:tc>
          <w:tcPr>
            <w:tcW w:w="8848" w:type="dxa"/>
            <w:gridSpan w:val="14"/>
            <w:vAlign w:val="center"/>
          </w:tcPr>
          <w:p w14:paraId="4D09CA1C">
            <w:pPr>
              <w:jc w:val="center"/>
            </w:pPr>
            <w:r>
              <w:rPr>
                <w:rFonts w:ascii="宋体" w:hAnsi="宋体" w:eastAsia="宋体"/>
                <w:sz w:val="24"/>
              </w:rPr>
              <w:t>项目支出绩效自评表</w:t>
            </w:r>
          </w:p>
        </w:tc>
      </w:tr>
      <w:tr w14:paraId="09013894">
        <w:tblPrEx>
          <w:tblCellMar>
            <w:top w:w="0" w:type="dxa"/>
            <w:left w:w="108" w:type="dxa"/>
            <w:bottom w:w="0" w:type="dxa"/>
            <w:right w:w="108" w:type="dxa"/>
          </w:tblCellMar>
        </w:tblPrEx>
        <w:tc>
          <w:tcPr>
            <w:tcW w:w="8848" w:type="dxa"/>
            <w:gridSpan w:val="14"/>
            <w:vAlign w:val="center"/>
          </w:tcPr>
          <w:p w14:paraId="16837135">
            <w:pPr>
              <w:jc w:val="center"/>
            </w:pPr>
            <w:r>
              <w:rPr>
                <w:rFonts w:ascii="宋体" w:hAnsi="宋体" w:eastAsia="宋体"/>
                <w:sz w:val="24"/>
              </w:rPr>
              <w:t>(2024年度)</w:t>
            </w:r>
          </w:p>
        </w:tc>
      </w:tr>
      <w:tr w14:paraId="202488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990E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D0F5E7">
            <w:pPr>
              <w:jc w:val="center"/>
            </w:pPr>
            <w:r>
              <w:rPr>
                <w:rFonts w:ascii="宋体" w:hAnsi="宋体" w:eastAsia="宋体"/>
                <w:sz w:val="16"/>
              </w:rPr>
              <w:t>交通局：巴财建</w:t>
            </w:r>
            <w:r>
              <w:rPr>
                <w:rFonts w:hint="eastAsia" w:ascii="宋体" w:hAnsi="宋体"/>
                <w:sz w:val="16"/>
                <w:lang w:eastAsia="zh-CN"/>
              </w:rPr>
              <w:t>〔2023〕38号</w:t>
            </w:r>
            <w:r>
              <w:rPr>
                <w:rFonts w:ascii="宋体" w:hAnsi="宋体" w:eastAsia="宋体"/>
                <w:sz w:val="16"/>
              </w:rPr>
              <w:t>2023年车辆购置税收入补助地方[第二批]用于农村公路建设“以奖代补”清算资金</w:t>
            </w:r>
          </w:p>
        </w:tc>
      </w:tr>
      <w:tr w14:paraId="77BF87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3C0B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1C16FB">
            <w:pPr>
              <w:jc w:val="center"/>
              <w:rPr>
                <w:rFonts w:hint="eastAsia" w:eastAsia="宋体"/>
                <w:lang w:eastAsia="zh-CN"/>
              </w:rPr>
            </w:pPr>
            <w:r>
              <w:rPr>
                <w:rFonts w:hint="eastAsia" w:ascii="宋体" w:hAnsi="宋体"/>
                <w:sz w:val="16"/>
                <w:lang w:eastAsia="zh-CN"/>
              </w:rPr>
              <w:t>轮台县交通运输局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3B96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125602">
            <w:pPr>
              <w:jc w:val="center"/>
            </w:pPr>
            <w:r>
              <w:rPr>
                <w:rFonts w:ascii="宋体" w:hAnsi="宋体" w:eastAsia="宋体"/>
                <w:sz w:val="16"/>
              </w:rPr>
              <w:t>轮台县交通运输局</w:t>
            </w:r>
          </w:p>
        </w:tc>
      </w:tr>
      <w:tr w14:paraId="5ECAB7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2FB5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24C8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9497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D953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7B57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97DE8">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AC18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9A303">
            <w:pPr>
              <w:jc w:val="center"/>
            </w:pPr>
            <w:r>
              <w:rPr>
                <w:rFonts w:ascii="宋体" w:hAnsi="宋体" w:eastAsia="宋体"/>
                <w:sz w:val="16"/>
              </w:rPr>
              <w:t>得分</w:t>
            </w:r>
          </w:p>
        </w:tc>
      </w:tr>
      <w:tr w14:paraId="534E94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8BAEC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B967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C58AC">
            <w:pPr>
              <w:jc w:val="center"/>
            </w:pPr>
            <w:r>
              <w:rPr>
                <w:rFonts w:ascii="宋体" w:hAnsi="宋体" w:eastAsia="宋体"/>
                <w:sz w:val="16"/>
              </w:rPr>
              <w:t>65.45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673ED">
            <w:pPr>
              <w:jc w:val="center"/>
            </w:pPr>
            <w:r>
              <w:rPr>
                <w:rFonts w:ascii="宋体" w:hAnsi="宋体" w:eastAsia="宋体"/>
                <w:sz w:val="16"/>
              </w:rPr>
              <w:t>65.45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4C1A9">
            <w:pPr>
              <w:jc w:val="center"/>
            </w:pPr>
            <w:r>
              <w:rPr>
                <w:rFonts w:ascii="宋体" w:hAnsi="宋体" w:eastAsia="宋体"/>
                <w:sz w:val="16"/>
              </w:rPr>
              <w:t>65.45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9AF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2A94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C4236">
            <w:pPr>
              <w:jc w:val="center"/>
            </w:pPr>
            <w:r>
              <w:rPr>
                <w:rFonts w:ascii="宋体" w:hAnsi="宋体" w:eastAsia="宋体"/>
                <w:sz w:val="16"/>
              </w:rPr>
              <w:t>10.00</w:t>
            </w:r>
          </w:p>
        </w:tc>
      </w:tr>
      <w:tr w14:paraId="26FDEA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E2C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3FA7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3C273">
            <w:pPr>
              <w:jc w:val="center"/>
            </w:pPr>
            <w:r>
              <w:rPr>
                <w:rFonts w:ascii="宋体" w:hAnsi="宋体" w:eastAsia="宋体"/>
                <w:sz w:val="16"/>
              </w:rPr>
              <w:t>65.45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3364B">
            <w:pPr>
              <w:jc w:val="center"/>
            </w:pPr>
            <w:r>
              <w:rPr>
                <w:rFonts w:ascii="宋体" w:hAnsi="宋体" w:eastAsia="宋体"/>
                <w:sz w:val="16"/>
              </w:rPr>
              <w:t>65.45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E0556">
            <w:pPr>
              <w:jc w:val="center"/>
            </w:pPr>
            <w:r>
              <w:rPr>
                <w:rFonts w:ascii="宋体" w:hAnsi="宋体" w:eastAsia="宋体"/>
                <w:sz w:val="16"/>
              </w:rPr>
              <w:t>65.45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83BE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4DD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605AB">
            <w:pPr>
              <w:jc w:val="center"/>
            </w:pPr>
            <w:r>
              <w:rPr>
                <w:rFonts w:ascii="宋体" w:hAnsi="宋体" w:eastAsia="宋体"/>
                <w:sz w:val="16"/>
              </w:rPr>
              <w:t>-</w:t>
            </w:r>
          </w:p>
        </w:tc>
      </w:tr>
      <w:tr w14:paraId="6DEEE6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4CD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FF9C8">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8B1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020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274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0EB7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F9C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D4DA4">
            <w:pPr>
              <w:jc w:val="center"/>
            </w:pPr>
            <w:r>
              <w:rPr>
                <w:rFonts w:ascii="宋体" w:hAnsi="宋体" w:eastAsia="宋体"/>
                <w:sz w:val="16"/>
              </w:rPr>
              <w:t>-</w:t>
            </w:r>
          </w:p>
        </w:tc>
      </w:tr>
      <w:tr w14:paraId="55C98E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E2BB3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3FDFE6">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FF5490">
            <w:pPr>
              <w:jc w:val="center"/>
            </w:pPr>
            <w:r>
              <w:rPr>
                <w:rFonts w:ascii="宋体" w:hAnsi="宋体" w:eastAsia="宋体"/>
                <w:sz w:val="16"/>
              </w:rPr>
              <w:t>总体目标完成情况</w:t>
            </w:r>
          </w:p>
        </w:tc>
      </w:tr>
      <w:tr w14:paraId="6900C9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BF01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5A7765">
            <w:pPr>
              <w:jc w:val="both"/>
            </w:pPr>
            <w:r>
              <w:rPr>
                <w:rFonts w:ascii="宋体" w:hAnsi="宋体" w:eastAsia="宋体"/>
                <w:sz w:val="16"/>
              </w:rPr>
              <w:t>计划清偿欠款项目1个，支付巴财建</w:t>
            </w:r>
            <w:r>
              <w:rPr>
                <w:rFonts w:hint="eastAsia" w:ascii="宋体" w:hAnsi="宋体"/>
                <w:sz w:val="16"/>
                <w:lang w:eastAsia="zh-CN"/>
              </w:rPr>
              <w:t>〔2023〕38号</w:t>
            </w:r>
            <w:r>
              <w:rPr>
                <w:rFonts w:ascii="宋体" w:hAnsi="宋体" w:eastAsia="宋体"/>
                <w:sz w:val="16"/>
              </w:rPr>
              <w:t>2023年车辆购置税收入补助地方[第二批]用于农村公路建设“以奖代补”清算资金65.4500万元，防范和化解债务风险，确保债权人的利益得到有效保障，确保公司财务状况持续稳定，为民营经济发展营造良好的政策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D20578">
            <w:pPr>
              <w:jc w:val="both"/>
            </w:pPr>
            <w:r>
              <w:rPr>
                <w:rFonts w:hint="eastAsia" w:ascii="宋体" w:hAnsi="宋体"/>
                <w:sz w:val="16"/>
                <w:lang w:eastAsia="zh-CN"/>
              </w:rPr>
              <w:t>本单位</w:t>
            </w:r>
            <w:r>
              <w:rPr>
                <w:rFonts w:ascii="宋体" w:hAnsi="宋体" w:eastAsia="宋体"/>
                <w:sz w:val="16"/>
              </w:rPr>
              <w:t>本年度已完成1个项目清偿欠款，支付巴财建</w:t>
            </w:r>
            <w:r>
              <w:rPr>
                <w:rFonts w:hint="eastAsia" w:ascii="宋体" w:hAnsi="宋体"/>
                <w:sz w:val="16"/>
                <w:lang w:eastAsia="zh-CN"/>
              </w:rPr>
              <w:t>〔2023〕38号</w:t>
            </w:r>
            <w:r>
              <w:rPr>
                <w:rFonts w:ascii="宋体" w:hAnsi="宋体" w:eastAsia="宋体"/>
                <w:sz w:val="16"/>
              </w:rPr>
              <w:t>2023年车辆购置税收入补助地方[第二批]用于农村公路建设“以奖代补”清算资金65.4500万元，防范和化解了债务风险，确保债权人的利益得到有效保障，确保公司财务状况持续稳定，为民营经济发展营造了良好的政策环境。</w:t>
            </w:r>
          </w:p>
        </w:tc>
      </w:tr>
      <w:tr w14:paraId="634A6B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96909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AB4E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4BDF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27E2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491A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13D0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43561">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EAE4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4C04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D3C8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E2A5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8AFB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4930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755BB">
            <w:pPr>
              <w:jc w:val="center"/>
            </w:pPr>
            <w:r>
              <w:rPr>
                <w:rFonts w:ascii="宋体" w:hAnsi="宋体" w:eastAsia="宋体"/>
                <w:sz w:val="16"/>
              </w:rPr>
              <w:t>偏差原因分析及改进措施</w:t>
            </w:r>
          </w:p>
        </w:tc>
      </w:tr>
      <w:tr w14:paraId="6D98B4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397AF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E554F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DE2D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64933">
            <w:pPr>
              <w:jc w:val="center"/>
            </w:pPr>
            <w:r>
              <w:rPr>
                <w:rFonts w:ascii="宋体" w:hAnsi="宋体" w:eastAsia="宋体"/>
                <w:sz w:val="16"/>
              </w:rPr>
              <w:t>清偿欠款项目个数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93B0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934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6F0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DA0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190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1FA8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A55D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7FA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626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D8961">
            <w:pPr>
              <w:jc w:val="center"/>
            </w:pPr>
          </w:p>
        </w:tc>
      </w:tr>
      <w:tr w14:paraId="71D51F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4CE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7D29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5CE18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20C8B">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873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D03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265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70E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3DB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0AE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E88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A03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33E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AC775">
            <w:pPr>
              <w:jc w:val="center"/>
            </w:pPr>
          </w:p>
        </w:tc>
      </w:tr>
      <w:tr w14:paraId="5BB96B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94E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963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880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E5C01">
            <w:pPr>
              <w:jc w:val="center"/>
            </w:pPr>
            <w:r>
              <w:rPr>
                <w:rFonts w:ascii="宋体" w:hAnsi="宋体" w:eastAsia="宋体"/>
                <w:sz w:val="16"/>
              </w:rPr>
              <w:t>欠款偿还执行率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EA1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719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DA6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F96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2A6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CB2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4C7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B94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34A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93811">
            <w:pPr>
              <w:jc w:val="center"/>
            </w:pPr>
          </w:p>
        </w:tc>
      </w:tr>
      <w:tr w14:paraId="094E83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8BA5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726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4B4D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E4FEE">
            <w:pPr>
              <w:jc w:val="center"/>
            </w:pPr>
            <w:r>
              <w:rPr>
                <w:rFonts w:ascii="宋体" w:hAnsi="宋体" w:eastAsia="宋体"/>
                <w:sz w:val="16"/>
              </w:rPr>
              <w:t>及时还款率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ED4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DCF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5C5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B55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43C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5C4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88B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9DA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B55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E1C63">
            <w:pPr>
              <w:jc w:val="center"/>
            </w:pPr>
          </w:p>
        </w:tc>
      </w:tr>
      <w:tr w14:paraId="3C5E84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A6C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0D37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F0EB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94534">
            <w:pPr>
              <w:jc w:val="center"/>
            </w:pPr>
            <w:r>
              <w:rPr>
                <w:rFonts w:ascii="宋体" w:hAnsi="宋体" w:eastAsia="宋体"/>
                <w:sz w:val="16"/>
              </w:rPr>
              <w:t>清偿欠款成本控制率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31D3F">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4988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F81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57DB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414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D4F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493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448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4446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F9FB5">
            <w:pPr>
              <w:jc w:val="center"/>
            </w:pPr>
          </w:p>
        </w:tc>
      </w:tr>
      <w:tr w14:paraId="32F9F3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00D6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B83B4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2F3AD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CCA55">
            <w:pPr>
              <w:jc w:val="center"/>
            </w:pPr>
            <w:r>
              <w:rPr>
                <w:rFonts w:ascii="宋体" w:hAnsi="宋体" w:eastAsia="宋体"/>
                <w:sz w:val="16"/>
              </w:rPr>
              <w:t>为民营经济发展营造良好的政策环境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B37D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F48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F43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B6B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D136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AA4A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1A7F3">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B97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7F1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3612B">
            <w:pPr>
              <w:jc w:val="center"/>
            </w:pPr>
          </w:p>
        </w:tc>
      </w:tr>
      <w:tr w14:paraId="32D2D1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BEC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62F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DDF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8F5EA">
            <w:pPr>
              <w:jc w:val="center"/>
            </w:pPr>
            <w:r>
              <w:rPr>
                <w:rFonts w:ascii="宋体" w:hAnsi="宋体" w:eastAsia="宋体"/>
                <w:sz w:val="16"/>
              </w:rPr>
              <w:t>防范和化解欠款风险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4330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F07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C0C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E82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A35A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34CE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3A43E">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483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B3D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95710">
            <w:pPr>
              <w:jc w:val="center"/>
            </w:pPr>
          </w:p>
        </w:tc>
      </w:tr>
      <w:tr w14:paraId="11088F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CBF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3E28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3F88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D08AE">
            <w:pPr>
              <w:jc w:val="center"/>
            </w:pPr>
            <w:r>
              <w:rPr>
                <w:rFonts w:ascii="宋体" w:hAnsi="宋体" w:eastAsia="宋体"/>
                <w:sz w:val="16"/>
              </w:rPr>
              <w:t>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8200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6ED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0D9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CA5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4CD3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DF23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0EBA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D60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2BE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78717">
            <w:pPr>
              <w:jc w:val="center"/>
            </w:pPr>
          </w:p>
        </w:tc>
      </w:tr>
      <w:tr w14:paraId="73A1E89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BDD500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7B51C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4EB0A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4D0F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A5F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CD877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DCFCE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1C938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371A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D96A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9515AB"/>
        </w:tc>
      </w:tr>
    </w:tbl>
    <w:p w14:paraId="1FAEBF4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774C111B">
        <w:tblPrEx>
          <w:tblCellMar>
            <w:top w:w="0" w:type="dxa"/>
            <w:left w:w="108" w:type="dxa"/>
            <w:bottom w:w="0" w:type="dxa"/>
            <w:right w:w="108" w:type="dxa"/>
          </w:tblCellMar>
        </w:tblPrEx>
        <w:tc>
          <w:tcPr>
            <w:tcW w:w="8848" w:type="dxa"/>
            <w:gridSpan w:val="14"/>
            <w:vAlign w:val="center"/>
          </w:tcPr>
          <w:p w14:paraId="63D5EC59">
            <w:pPr>
              <w:jc w:val="center"/>
            </w:pPr>
            <w:r>
              <w:rPr>
                <w:rFonts w:ascii="宋体" w:hAnsi="宋体" w:eastAsia="宋体"/>
                <w:sz w:val="24"/>
              </w:rPr>
              <w:t>项目支出绩效自评表</w:t>
            </w:r>
          </w:p>
        </w:tc>
      </w:tr>
      <w:tr w14:paraId="3FB85416">
        <w:tblPrEx>
          <w:tblCellMar>
            <w:top w:w="0" w:type="dxa"/>
            <w:left w:w="108" w:type="dxa"/>
            <w:bottom w:w="0" w:type="dxa"/>
            <w:right w:w="108" w:type="dxa"/>
          </w:tblCellMar>
        </w:tblPrEx>
        <w:tc>
          <w:tcPr>
            <w:tcW w:w="8848" w:type="dxa"/>
            <w:gridSpan w:val="14"/>
            <w:vAlign w:val="center"/>
          </w:tcPr>
          <w:p w14:paraId="4DD64E6B">
            <w:pPr>
              <w:jc w:val="center"/>
            </w:pPr>
            <w:r>
              <w:rPr>
                <w:rFonts w:ascii="宋体" w:hAnsi="宋体" w:eastAsia="宋体"/>
                <w:sz w:val="24"/>
              </w:rPr>
              <w:t>(2024年度)</w:t>
            </w:r>
          </w:p>
        </w:tc>
      </w:tr>
      <w:tr w14:paraId="62961E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9D3C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0ADCFC4">
            <w:pPr>
              <w:jc w:val="center"/>
            </w:pPr>
            <w:r>
              <w:rPr>
                <w:rFonts w:ascii="宋体" w:hAnsi="宋体" w:eastAsia="宋体"/>
                <w:sz w:val="16"/>
              </w:rPr>
              <w:t>交通局：新财建</w:t>
            </w:r>
            <w:r>
              <w:rPr>
                <w:rFonts w:hint="eastAsia" w:ascii="宋体" w:hAnsi="宋体"/>
                <w:sz w:val="16"/>
                <w:lang w:eastAsia="zh-CN"/>
              </w:rPr>
              <w:t>〔2020〕449号－</w:t>
            </w:r>
            <w:r>
              <w:rPr>
                <w:rFonts w:ascii="宋体" w:hAnsi="宋体" w:eastAsia="宋体"/>
                <w:sz w:val="16"/>
              </w:rPr>
              <w:t>提前下达2020年车辆购置税收入补助地方用于一般公路建设资金巴财建</w:t>
            </w:r>
            <w:r>
              <w:rPr>
                <w:rFonts w:hint="eastAsia" w:ascii="宋体" w:hAnsi="宋体"/>
                <w:sz w:val="16"/>
                <w:lang w:eastAsia="zh-CN"/>
              </w:rPr>
              <w:t>〔2020〕10号</w:t>
            </w:r>
            <w:r>
              <w:rPr>
                <w:rFonts w:ascii="宋体" w:hAnsi="宋体" w:eastAsia="宋体"/>
                <w:sz w:val="16"/>
              </w:rPr>
              <w:t>（Y283岔口</w:t>
            </w:r>
            <w:r>
              <w:rPr>
                <w:rFonts w:hint="eastAsia" w:ascii="宋体" w:hAnsi="宋体"/>
                <w:sz w:val="16"/>
                <w:lang w:eastAsia="zh-CN"/>
              </w:rPr>
              <w:t>－</w:t>
            </w:r>
            <w:r>
              <w:rPr>
                <w:rFonts w:ascii="宋体" w:hAnsi="宋体" w:eastAsia="宋体"/>
                <w:sz w:val="16"/>
              </w:rPr>
              <w:t>萨依力克村道路建设项目）</w:t>
            </w:r>
          </w:p>
        </w:tc>
      </w:tr>
      <w:tr w14:paraId="734839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29F2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228A45">
            <w:pPr>
              <w:jc w:val="center"/>
              <w:rPr>
                <w:rFonts w:hint="eastAsia" w:eastAsia="宋体"/>
                <w:lang w:eastAsia="zh-CN"/>
              </w:rPr>
            </w:pPr>
            <w:r>
              <w:rPr>
                <w:rFonts w:hint="eastAsia" w:ascii="宋体" w:hAnsi="宋体"/>
                <w:sz w:val="16"/>
                <w:lang w:eastAsia="zh-CN"/>
              </w:rPr>
              <w:t>轮台县交通运输局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79CB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B13747">
            <w:pPr>
              <w:jc w:val="center"/>
            </w:pPr>
            <w:r>
              <w:rPr>
                <w:rFonts w:ascii="宋体" w:hAnsi="宋体" w:eastAsia="宋体"/>
                <w:sz w:val="16"/>
              </w:rPr>
              <w:t>轮台县交通运输局</w:t>
            </w:r>
          </w:p>
        </w:tc>
      </w:tr>
      <w:tr w14:paraId="77F550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5ED75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82E9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935F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3632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6236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DCDCC">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2F97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A9A40">
            <w:pPr>
              <w:jc w:val="center"/>
            </w:pPr>
            <w:r>
              <w:rPr>
                <w:rFonts w:ascii="宋体" w:hAnsi="宋体" w:eastAsia="宋体"/>
                <w:sz w:val="16"/>
              </w:rPr>
              <w:t>得分</w:t>
            </w:r>
          </w:p>
        </w:tc>
      </w:tr>
      <w:tr w14:paraId="7BBEC6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196C2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CAB9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2C6C7">
            <w:pPr>
              <w:jc w:val="center"/>
            </w:pPr>
            <w:r>
              <w:rPr>
                <w:rFonts w:ascii="宋体" w:hAnsi="宋体" w:eastAsia="宋体"/>
                <w:sz w:val="16"/>
              </w:rPr>
              <w:t>142.64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74B12">
            <w:pPr>
              <w:jc w:val="center"/>
            </w:pPr>
            <w:r>
              <w:rPr>
                <w:rFonts w:ascii="宋体" w:hAnsi="宋体" w:eastAsia="宋体"/>
                <w:sz w:val="16"/>
              </w:rPr>
              <w:t>142.64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13621">
            <w:pPr>
              <w:jc w:val="center"/>
            </w:pPr>
            <w:r>
              <w:rPr>
                <w:rFonts w:ascii="宋体" w:hAnsi="宋体" w:eastAsia="宋体"/>
                <w:sz w:val="16"/>
              </w:rPr>
              <w:t>142.64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B48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F51B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44553">
            <w:pPr>
              <w:jc w:val="center"/>
            </w:pPr>
            <w:r>
              <w:rPr>
                <w:rFonts w:ascii="宋体" w:hAnsi="宋体" w:eastAsia="宋体"/>
                <w:sz w:val="16"/>
              </w:rPr>
              <w:t>10.00</w:t>
            </w:r>
          </w:p>
        </w:tc>
      </w:tr>
      <w:tr w14:paraId="203112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ACD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A5EC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8D5EE">
            <w:pPr>
              <w:jc w:val="center"/>
            </w:pPr>
            <w:r>
              <w:rPr>
                <w:rFonts w:ascii="宋体" w:hAnsi="宋体" w:eastAsia="宋体"/>
                <w:sz w:val="16"/>
              </w:rPr>
              <w:t>142.64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C4B41">
            <w:pPr>
              <w:jc w:val="center"/>
            </w:pPr>
            <w:r>
              <w:rPr>
                <w:rFonts w:ascii="宋体" w:hAnsi="宋体" w:eastAsia="宋体"/>
                <w:sz w:val="16"/>
              </w:rPr>
              <w:t>142.64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2E964">
            <w:pPr>
              <w:jc w:val="center"/>
            </w:pPr>
            <w:r>
              <w:rPr>
                <w:rFonts w:ascii="宋体" w:hAnsi="宋体" w:eastAsia="宋体"/>
                <w:sz w:val="16"/>
              </w:rPr>
              <w:t>142.64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325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058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84FEA">
            <w:pPr>
              <w:jc w:val="center"/>
            </w:pPr>
            <w:r>
              <w:rPr>
                <w:rFonts w:ascii="宋体" w:hAnsi="宋体" w:eastAsia="宋体"/>
                <w:sz w:val="16"/>
              </w:rPr>
              <w:t>-</w:t>
            </w:r>
          </w:p>
        </w:tc>
      </w:tr>
      <w:tr w14:paraId="0E7CCB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800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EA583">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DCE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630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DD8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0588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5EF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0346E">
            <w:pPr>
              <w:jc w:val="center"/>
            </w:pPr>
            <w:r>
              <w:rPr>
                <w:rFonts w:ascii="宋体" w:hAnsi="宋体" w:eastAsia="宋体"/>
                <w:sz w:val="16"/>
              </w:rPr>
              <w:t>-</w:t>
            </w:r>
          </w:p>
        </w:tc>
      </w:tr>
      <w:tr w14:paraId="777769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55A82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EA4046">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65EB80">
            <w:pPr>
              <w:jc w:val="center"/>
            </w:pPr>
            <w:r>
              <w:rPr>
                <w:rFonts w:ascii="宋体" w:hAnsi="宋体" w:eastAsia="宋体"/>
                <w:sz w:val="16"/>
              </w:rPr>
              <w:t>总体目标完成情况</w:t>
            </w:r>
          </w:p>
        </w:tc>
      </w:tr>
      <w:tr w14:paraId="270DD2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5EC3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342FCD">
            <w:pPr>
              <w:jc w:val="both"/>
            </w:pPr>
            <w:r>
              <w:rPr>
                <w:rFonts w:ascii="宋体" w:hAnsi="宋体" w:eastAsia="宋体"/>
                <w:sz w:val="16"/>
              </w:rPr>
              <w:t>计划清偿欠款项目1个，支付新财建</w:t>
            </w:r>
            <w:r>
              <w:rPr>
                <w:rFonts w:hint="eastAsia" w:ascii="宋体" w:hAnsi="宋体"/>
                <w:sz w:val="16"/>
                <w:lang w:eastAsia="zh-CN"/>
              </w:rPr>
              <w:t>〔2020〕449号－</w:t>
            </w:r>
            <w:r>
              <w:rPr>
                <w:rFonts w:ascii="宋体" w:hAnsi="宋体" w:eastAsia="宋体"/>
                <w:sz w:val="16"/>
              </w:rPr>
              <w:t>提前下达2020年车辆购置税收入补助地方用于一般公路建设资金巴财建</w:t>
            </w:r>
            <w:r>
              <w:rPr>
                <w:rFonts w:hint="eastAsia" w:ascii="宋体" w:hAnsi="宋体"/>
                <w:sz w:val="16"/>
                <w:lang w:eastAsia="zh-CN"/>
              </w:rPr>
              <w:t>〔2020〕10号</w:t>
            </w:r>
            <w:r>
              <w:rPr>
                <w:rFonts w:ascii="宋体" w:hAnsi="宋体" w:eastAsia="宋体"/>
                <w:sz w:val="16"/>
              </w:rPr>
              <w:t>（Y283岔口</w:t>
            </w:r>
            <w:r>
              <w:rPr>
                <w:rFonts w:hint="eastAsia" w:ascii="宋体" w:hAnsi="宋体"/>
                <w:sz w:val="16"/>
                <w:lang w:eastAsia="zh-CN"/>
              </w:rPr>
              <w:t>－</w:t>
            </w:r>
            <w:r>
              <w:rPr>
                <w:rFonts w:ascii="宋体" w:hAnsi="宋体" w:eastAsia="宋体"/>
                <w:sz w:val="16"/>
              </w:rPr>
              <w:t>萨依力克村道路建设项目）142.635245万元，防范和化解债务风险，确保债权人的利益得到有效保障，确保公司财务状况持续稳定，为民营经济发展营造良好的政策环境。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DF8D57">
            <w:pPr>
              <w:jc w:val="both"/>
            </w:pPr>
            <w:r>
              <w:rPr>
                <w:rFonts w:hint="eastAsia" w:ascii="宋体" w:hAnsi="宋体"/>
                <w:sz w:val="16"/>
                <w:lang w:eastAsia="zh-CN"/>
              </w:rPr>
              <w:t>本单位</w:t>
            </w:r>
            <w:r>
              <w:rPr>
                <w:rFonts w:ascii="宋体" w:hAnsi="宋体" w:eastAsia="宋体"/>
                <w:sz w:val="16"/>
              </w:rPr>
              <w:t>本年度已完成清偿欠款项目1个，支付新财建</w:t>
            </w:r>
            <w:r>
              <w:rPr>
                <w:rFonts w:hint="eastAsia" w:ascii="宋体" w:hAnsi="宋体"/>
                <w:sz w:val="16"/>
                <w:lang w:eastAsia="zh-CN"/>
              </w:rPr>
              <w:t>〔2020〕449号－</w:t>
            </w:r>
            <w:r>
              <w:rPr>
                <w:rFonts w:ascii="宋体" w:hAnsi="宋体" w:eastAsia="宋体"/>
                <w:sz w:val="16"/>
              </w:rPr>
              <w:t>提前下达2020年车辆购置税收入补助地方用于一般公路建设资金巴财建</w:t>
            </w:r>
            <w:r>
              <w:rPr>
                <w:rFonts w:hint="eastAsia" w:ascii="宋体" w:hAnsi="宋体"/>
                <w:sz w:val="16"/>
                <w:lang w:eastAsia="zh-CN"/>
              </w:rPr>
              <w:t>〔2020〕10号</w:t>
            </w:r>
            <w:r>
              <w:rPr>
                <w:rFonts w:ascii="宋体" w:hAnsi="宋体" w:eastAsia="宋体"/>
                <w:sz w:val="16"/>
              </w:rPr>
              <w:t>（Y283岔口</w:t>
            </w:r>
            <w:r>
              <w:rPr>
                <w:rFonts w:hint="eastAsia" w:ascii="宋体" w:hAnsi="宋体"/>
                <w:sz w:val="16"/>
                <w:lang w:eastAsia="zh-CN"/>
              </w:rPr>
              <w:t>－</w:t>
            </w:r>
            <w:r>
              <w:rPr>
                <w:rFonts w:ascii="宋体" w:hAnsi="宋体" w:eastAsia="宋体"/>
                <w:sz w:val="16"/>
              </w:rPr>
              <w:t>萨依力克村道路建设项目）142.635245万元，防范和化解了债务风险，确保债权人的利益得到有效保障，确保公司财务状况持续稳定，为民营经济发展营造了良好的政策环境。</w:t>
            </w:r>
            <w:r>
              <w:rPr>
                <w:rFonts w:ascii="宋体" w:hAnsi="宋体" w:eastAsia="宋体"/>
                <w:sz w:val="16"/>
              </w:rPr>
              <w:tab/>
            </w:r>
            <w:r>
              <w:rPr>
                <w:rFonts w:ascii="宋体" w:hAnsi="宋体" w:eastAsia="宋体"/>
                <w:sz w:val="16"/>
              </w:rPr>
              <w:tab/>
            </w:r>
            <w:r>
              <w:rPr>
                <w:rFonts w:ascii="宋体" w:hAnsi="宋体" w:eastAsia="宋体"/>
                <w:sz w:val="16"/>
              </w:rPr>
              <w:tab/>
            </w:r>
          </w:p>
        </w:tc>
      </w:tr>
      <w:tr w14:paraId="5599B3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1248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957A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7F8F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392B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73C0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8D89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6A051">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0BDD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FF5F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0F12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6DDE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1A85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90BE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CD3EE">
            <w:pPr>
              <w:jc w:val="center"/>
            </w:pPr>
            <w:r>
              <w:rPr>
                <w:rFonts w:ascii="宋体" w:hAnsi="宋体" w:eastAsia="宋体"/>
                <w:sz w:val="16"/>
              </w:rPr>
              <w:t>偏差原因分析及改进措施</w:t>
            </w:r>
          </w:p>
        </w:tc>
      </w:tr>
      <w:tr w14:paraId="14D38E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B07E1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07E76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D02F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C904A">
            <w:pPr>
              <w:jc w:val="center"/>
            </w:pPr>
            <w:r>
              <w:rPr>
                <w:rFonts w:ascii="宋体" w:hAnsi="宋体" w:eastAsia="宋体"/>
                <w:sz w:val="16"/>
              </w:rPr>
              <w:t>清偿欠款项目个数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5C57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C9E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F04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B12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134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C34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5286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E8B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26A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340BD">
            <w:pPr>
              <w:jc w:val="center"/>
            </w:pPr>
          </w:p>
        </w:tc>
      </w:tr>
      <w:tr w14:paraId="5C31D7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660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6D07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AF209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4A6AC">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56F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E35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E5C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1B2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47C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7FD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134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218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30A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6D3F6">
            <w:pPr>
              <w:jc w:val="center"/>
            </w:pPr>
          </w:p>
        </w:tc>
      </w:tr>
      <w:tr w14:paraId="6F1BA5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2EE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884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6A5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5093C">
            <w:pPr>
              <w:jc w:val="center"/>
            </w:pPr>
            <w:r>
              <w:rPr>
                <w:rFonts w:ascii="宋体" w:hAnsi="宋体" w:eastAsia="宋体"/>
                <w:sz w:val="16"/>
              </w:rPr>
              <w:t>欠款偿还执行率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EF5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BAC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B7B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B6C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A5E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2BA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AF8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8CF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738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05AEA">
            <w:pPr>
              <w:jc w:val="center"/>
            </w:pPr>
          </w:p>
        </w:tc>
      </w:tr>
      <w:tr w14:paraId="5D73F5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717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601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82C1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F150D">
            <w:pPr>
              <w:jc w:val="center"/>
            </w:pPr>
            <w:r>
              <w:rPr>
                <w:rFonts w:ascii="宋体" w:hAnsi="宋体" w:eastAsia="宋体"/>
                <w:sz w:val="16"/>
              </w:rPr>
              <w:t>及时还款率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6B1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CF3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CE9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17F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B5A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D6AC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F51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9B4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E90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D8752">
            <w:pPr>
              <w:jc w:val="center"/>
            </w:pPr>
          </w:p>
        </w:tc>
      </w:tr>
      <w:tr w14:paraId="1C9373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92A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B8D2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A837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4CAB5">
            <w:pPr>
              <w:jc w:val="center"/>
            </w:pPr>
            <w:r>
              <w:rPr>
                <w:rFonts w:ascii="宋体" w:hAnsi="宋体" w:eastAsia="宋体"/>
                <w:sz w:val="16"/>
              </w:rPr>
              <w:t>清偿欠款成本控制率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12A32">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2DE7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109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D55D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81A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2D8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B22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431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E6E9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8A9A3">
            <w:pPr>
              <w:jc w:val="center"/>
            </w:pPr>
          </w:p>
        </w:tc>
      </w:tr>
      <w:tr w14:paraId="16ACA2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B303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B5A87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3FD7E">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4F616">
            <w:pPr>
              <w:jc w:val="center"/>
            </w:pPr>
            <w:r>
              <w:rPr>
                <w:rFonts w:ascii="宋体" w:hAnsi="宋体" w:eastAsia="宋体"/>
                <w:sz w:val="16"/>
              </w:rPr>
              <w:t>为民营经济发展营造良好的政策环境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5CA8C">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14B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B35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4EE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6D4A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627D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D4F88">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EE1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2C3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B7FF4">
            <w:pPr>
              <w:jc w:val="center"/>
            </w:pPr>
          </w:p>
        </w:tc>
      </w:tr>
      <w:tr w14:paraId="375497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C26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C88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D8ED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299FF">
            <w:pPr>
              <w:jc w:val="center"/>
            </w:pPr>
            <w:r>
              <w:rPr>
                <w:rFonts w:ascii="宋体" w:hAnsi="宋体" w:eastAsia="宋体"/>
                <w:sz w:val="16"/>
              </w:rPr>
              <w:t>防范和化解欠款风险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F2DC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466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3D4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DA6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871F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B128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8381B">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A0E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06E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DF54A">
            <w:pPr>
              <w:jc w:val="center"/>
            </w:pPr>
          </w:p>
        </w:tc>
      </w:tr>
      <w:tr w14:paraId="64DC42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509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42C0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D571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6F1E6">
            <w:pPr>
              <w:jc w:val="center"/>
            </w:pPr>
            <w:r>
              <w:rPr>
                <w:rFonts w:ascii="宋体" w:hAnsi="宋体" w:eastAsia="宋体"/>
                <w:sz w:val="16"/>
              </w:rPr>
              <w:t>施工企业满意度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001F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EDA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75C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B9F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A950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C611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FA6A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FC3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889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58E17">
            <w:pPr>
              <w:jc w:val="center"/>
            </w:pPr>
          </w:p>
        </w:tc>
      </w:tr>
      <w:tr w14:paraId="4A6A481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7DD8FC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C3D48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B9F64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C70E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D00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B614F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CD22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94E09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74BD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2290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543D7E"/>
        </w:tc>
      </w:tr>
    </w:tbl>
    <w:p w14:paraId="76BBC4E3">
      <w:r>
        <w:br w:type="page"/>
      </w:r>
    </w:p>
    <w:p w14:paraId="099D082C">
      <w:pPr>
        <w:spacing w:line="640" w:lineRule="exact"/>
        <w:ind w:firstLine="640"/>
        <w:jc w:val="both"/>
        <w:outlineLvl w:val="2"/>
      </w:pPr>
      <w:r>
        <w:rPr>
          <w:rFonts w:ascii="黑体" w:hAnsi="黑体" w:eastAsia="黑体"/>
          <w:sz w:val="32"/>
        </w:rPr>
        <w:t>十二、其他需说明的事项</w:t>
      </w:r>
    </w:p>
    <w:p w14:paraId="6D8383F7">
      <w:pPr>
        <w:spacing w:line="580" w:lineRule="exact"/>
        <w:ind w:firstLine="640"/>
        <w:jc w:val="both"/>
      </w:pPr>
      <w:r>
        <w:rPr>
          <w:rFonts w:ascii="仿宋_GB2312" w:hAnsi="仿宋_GB2312" w:eastAsia="仿宋_GB2312"/>
          <w:b w:val="0"/>
          <w:sz w:val="32"/>
        </w:rPr>
        <w:t>本单位无其他需说明的事项。</w:t>
      </w:r>
    </w:p>
    <w:p w14:paraId="65A7AA25">
      <w:r>
        <w:br w:type="page"/>
      </w:r>
    </w:p>
    <w:p w14:paraId="39E1E96F">
      <w:pPr>
        <w:spacing w:line="240" w:lineRule="auto"/>
        <w:jc w:val="center"/>
        <w:outlineLvl w:val="1"/>
      </w:pPr>
      <w:r>
        <w:rPr>
          <w:rFonts w:ascii="黑体" w:hAnsi="黑体" w:eastAsia="黑体"/>
          <w:sz w:val="32"/>
        </w:rPr>
        <w:t>第三部分 专业名词解释</w:t>
      </w:r>
    </w:p>
    <w:p w14:paraId="793C659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BE55A1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4EB27A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CCE0F8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176A53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9AAC1A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89B3FA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8E4096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AE9573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7101FE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C8319C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00FC6A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EC1202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CA56DA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F9A4753">
      <w:r>
        <w:br w:type="page"/>
      </w:r>
    </w:p>
    <w:p w14:paraId="25C25B54">
      <w:pPr>
        <w:spacing w:line="240" w:lineRule="auto"/>
        <w:jc w:val="center"/>
        <w:outlineLvl w:val="1"/>
      </w:pPr>
      <w:r>
        <w:rPr>
          <w:rFonts w:ascii="黑体" w:hAnsi="黑体" w:eastAsia="黑体"/>
          <w:sz w:val="32"/>
        </w:rPr>
        <w:t>第四部分 部门决算报表（见附表）</w:t>
      </w:r>
    </w:p>
    <w:p w14:paraId="3B7D5684">
      <w:pPr>
        <w:spacing w:line="240" w:lineRule="auto"/>
        <w:ind w:firstLine="640"/>
        <w:jc w:val="both"/>
      </w:pPr>
      <w:r>
        <w:rPr>
          <w:rFonts w:ascii="仿宋_GB2312" w:hAnsi="仿宋_GB2312" w:eastAsia="仿宋_GB2312"/>
          <w:b w:val="0"/>
          <w:sz w:val="32"/>
        </w:rPr>
        <w:t>一、《收入支出决算总表》</w:t>
      </w:r>
    </w:p>
    <w:p w14:paraId="5ACF056D">
      <w:pPr>
        <w:spacing w:line="240" w:lineRule="auto"/>
        <w:ind w:firstLine="640"/>
        <w:jc w:val="both"/>
      </w:pPr>
      <w:r>
        <w:rPr>
          <w:rFonts w:ascii="仿宋_GB2312" w:hAnsi="仿宋_GB2312" w:eastAsia="仿宋_GB2312"/>
          <w:b w:val="0"/>
          <w:sz w:val="32"/>
        </w:rPr>
        <w:t>二、《收入决算表》</w:t>
      </w:r>
    </w:p>
    <w:p w14:paraId="5D99CD58">
      <w:pPr>
        <w:spacing w:line="240" w:lineRule="auto"/>
        <w:ind w:firstLine="640"/>
        <w:jc w:val="both"/>
      </w:pPr>
      <w:r>
        <w:rPr>
          <w:rFonts w:ascii="仿宋_GB2312" w:hAnsi="仿宋_GB2312" w:eastAsia="仿宋_GB2312"/>
          <w:b w:val="0"/>
          <w:sz w:val="32"/>
        </w:rPr>
        <w:t>三、《支出决算表》</w:t>
      </w:r>
    </w:p>
    <w:p w14:paraId="3AF214DC">
      <w:pPr>
        <w:spacing w:line="240" w:lineRule="auto"/>
        <w:ind w:firstLine="640"/>
        <w:jc w:val="both"/>
      </w:pPr>
      <w:r>
        <w:rPr>
          <w:rFonts w:ascii="仿宋_GB2312" w:hAnsi="仿宋_GB2312" w:eastAsia="仿宋_GB2312"/>
          <w:b w:val="0"/>
          <w:sz w:val="32"/>
        </w:rPr>
        <w:t>四、《财政拨款收入支出决算总表》</w:t>
      </w:r>
    </w:p>
    <w:p w14:paraId="19CDA156">
      <w:pPr>
        <w:spacing w:line="240" w:lineRule="auto"/>
        <w:ind w:firstLine="640"/>
        <w:jc w:val="both"/>
      </w:pPr>
      <w:r>
        <w:rPr>
          <w:rFonts w:ascii="仿宋_GB2312" w:hAnsi="仿宋_GB2312" w:eastAsia="仿宋_GB2312"/>
          <w:b w:val="0"/>
          <w:sz w:val="32"/>
        </w:rPr>
        <w:t>五、《一般公共预算财政拨款支出决算表》</w:t>
      </w:r>
    </w:p>
    <w:p w14:paraId="5ABD94F1">
      <w:pPr>
        <w:spacing w:line="240" w:lineRule="auto"/>
        <w:ind w:firstLine="640"/>
        <w:jc w:val="both"/>
      </w:pPr>
      <w:r>
        <w:rPr>
          <w:rFonts w:ascii="仿宋_GB2312" w:hAnsi="仿宋_GB2312" w:eastAsia="仿宋_GB2312"/>
          <w:b w:val="0"/>
          <w:sz w:val="32"/>
        </w:rPr>
        <w:t>六、《一般公共预算财政拨款基本支出决算表》</w:t>
      </w:r>
    </w:p>
    <w:p w14:paraId="7809B1B3">
      <w:pPr>
        <w:spacing w:line="240" w:lineRule="auto"/>
        <w:ind w:firstLine="640"/>
        <w:jc w:val="both"/>
      </w:pPr>
      <w:r>
        <w:rPr>
          <w:rFonts w:ascii="仿宋_GB2312" w:hAnsi="仿宋_GB2312" w:eastAsia="仿宋_GB2312"/>
          <w:b w:val="0"/>
          <w:sz w:val="32"/>
        </w:rPr>
        <w:t>七、《政府性基金预算财政拨款收入支出决算表》</w:t>
      </w:r>
    </w:p>
    <w:p w14:paraId="539179BA">
      <w:pPr>
        <w:spacing w:line="240" w:lineRule="auto"/>
        <w:ind w:firstLine="640"/>
        <w:jc w:val="both"/>
      </w:pPr>
      <w:r>
        <w:rPr>
          <w:rFonts w:ascii="仿宋_GB2312" w:hAnsi="仿宋_GB2312" w:eastAsia="仿宋_GB2312"/>
          <w:b w:val="0"/>
          <w:sz w:val="32"/>
        </w:rPr>
        <w:t>八、《国有资本经营预算财政拨款收入支出决算表》</w:t>
      </w:r>
    </w:p>
    <w:p w14:paraId="59319846">
      <w:pPr>
        <w:spacing w:line="240" w:lineRule="auto"/>
        <w:ind w:firstLine="640"/>
        <w:jc w:val="both"/>
      </w:pPr>
      <w:r>
        <w:rPr>
          <w:rFonts w:ascii="仿宋_GB2312" w:hAnsi="仿宋_GB2312" w:eastAsia="仿宋_GB2312"/>
          <w:b w:val="0"/>
          <w:sz w:val="32"/>
        </w:rPr>
        <w:t>九、《财政拨款“三公”经费支出决算表》</w:t>
      </w:r>
    </w:p>
    <w:p w14:paraId="0D7E4282">
      <w:pPr>
        <w:spacing w:line="240" w:lineRule="auto"/>
        <w:ind w:firstLine="640"/>
        <w:jc w:val="both"/>
      </w:pPr>
    </w:p>
    <w:p w14:paraId="14FFD23D">
      <w:pPr>
        <w:spacing w:line="240" w:lineRule="auto"/>
        <w:ind w:firstLine="640"/>
        <w:jc w:val="both"/>
      </w:pPr>
    </w:p>
    <w:p w14:paraId="2F18B736">
      <w:pPr>
        <w:spacing w:line="240" w:lineRule="auto"/>
        <w:ind w:firstLine="640"/>
        <w:jc w:val="both"/>
      </w:pPr>
    </w:p>
    <w:p w14:paraId="268066F7">
      <w:pPr>
        <w:spacing w:line="240" w:lineRule="auto"/>
        <w:ind w:firstLine="640"/>
        <w:jc w:val="both"/>
      </w:pPr>
    </w:p>
    <w:p w14:paraId="72DC3B9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B68629C"/>
    <w:rsid w:val="7C3C17E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8485</Words>
  <Characters>9786</Characters>
  <Lines>0</Lines>
  <Paragraphs>0</Paragraphs>
  <TotalTime>133</TotalTime>
  <ScaleCrop>false</ScaleCrop>
  <LinksUpToDate>false</LinksUpToDate>
  <CharactersWithSpaces>9795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2025-09-16T07:45:54Z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