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7FEE6BA">
      <w:r>
        <w:br w:type="page"/>
      </w:r>
    </w:p>
    <w:p w14:paraId="75BEDC9E">
      <w:pPr>
        <w:spacing w:line="640" w:lineRule="exact"/>
        <w:jc w:val="center"/>
        <w:outlineLvl w:val="1"/>
      </w:pPr>
      <w:r>
        <w:rPr>
          <w:rFonts w:ascii="黑体" w:hAnsi="黑体" w:eastAsia="黑体"/>
          <w:sz w:val="32"/>
        </w:rPr>
        <w:t>第一部分 单位概况</w:t>
      </w:r>
    </w:p>
    <w:p w14:paraId="1ACB2EEB">
      <w:pPr>
        <w:spacing w:line="640" w:lineRule="exact"/>
        <w:ind w:firstLine="640"/>
        <w:jc w:val="both"/>
        <w:outlineLvl w:val="2"/>
      </w:pPr>
      <w:r>
        <w:rPr>
          <w:rFonts w:ascii="黑体" w:hAnsi="黑体" w:eastAsia="黑体"/>
          <w:sz w:val="32"/>
        </w:rPr>
        <w:t>一、主要职能</w:t>
      </w:r>
    </w:p>
    <w:p w14:paraId="569E77F5">
      <w:pPr>
        <w:spacing w:line="580" w:lineRule="exact"/>
        <w:ind w:firstLine="640"/>
        <w:jc w:val="both"/>
      </w:pPr>
      <w:r>
        <w:rPr>
          <w:rFonts w:ascii="仿宋_GB2312" w:hAnsi="仿宋_GB2312" w:eastAsia="仿宋_GB2312"/>
          <w:sz w:val="32"/>
        </w:rPr>
        <w:t>1.我医院贯彻党和国家卫生工作的方针、政策和法规，落实卫生行政主管部门卫生工作方针政策并组织实施，确保全县各族人民医疗健康需求，以优质的医疗服务水平、优质的医疗服务质量，建立与地方经济发展相适应的医疗体系。</w:t>
      </w:r>
    </w:p>
    <w:p w14:paraId="0B411B86">
      <w:pPr>
        <w:spacing w:line="580" w:lineRule="exact"/>
        <w:ind w:firstLine="640"/>
        <w:jc w:val="both"/>
      </w:pPr>
      <w:r>
        <w:rPr>
          <w:rFonts w:ascii="仿宋_GB2312" w:hAnsi="仿宋_GB2312" w:eastAsia="仿宋_GB2312"/>
          <w:sz w:val="32"/>
        </w:rPr>
        <w:t>2.承担全县突发公共卫生事件的应急和急、危、重病人的救治工作。</w:t>
      </w:r>
    </w:p>
    <w:p w14:paraId="3F48AA63">
      <w:pPr>
        <w:spacing w:line="580" w:lineRule="exact"/>
        <w:ind w:firstLine="640"/>
        <w:jc w:val="both"/>
      </w:pPr>
      <w:r>
        <w:rPr>
          <w:rFonts w:ascii="仿宋_GB2312" w:hAnsi="仿宋_GB2312" w:eastAsia="仿宋_GB2312"/>
          <w:sz w:val="32"/>
        </w:rPr>
        <w:t>3.承担全县乡镇卫生院专业技术人员的业务培训工作。</w:t>
      </w:r>
    </w:p>
    <w:p w14:paraId="7562DD11">
      <w:pPr>
        <w:spacing w:line="580" w:lineRule="exact"/>
        <w:ind w:firstLine="640"/>
        <w:jc w:val="both"/>
      </w:pPr>
      <w:r>
        <w:rPr>
          <w:rFonts w:ascii="仿宋_GB2312" w:hAnsi="仿宋_GB2312" w:eastAsia="仿宋_GB2312"/>
          <w:sz w:val="32"/>
        </w:rPr>
        <w:t>4.承担医学生的实习任务，负责全县常见病、多发病、流行病医学资料的统计及信息管理。</w:t>
      </w:r>
    </w:p>
    <w:p w14:paraId="36EE6716">
      <w:pPr>
        <w:spacing w:line="580" w:lineRule="exact"/>
        <w:ind w:firstLine="640"/>
        <w:jc w:val="both"/>
      </w:pPr>
      <w:r>
        <w:rPr>
          <w:rFonts w:ascii="仿宋_GB2312" w:hAnsi="仿宋_GB2312" w:eastAsia="仿宋_GB2312"/>
          <w:sz w:val="32"/>
        </w:rPr>
        <w:t>5.参与全县卫生扶贫工作，贯彻落实国家基本药物制度和药品集中采购工作，执行医用耗材集中采购工作，负责医院内部的药品和医疗器械管理工作。</w:t>
      </w:r>
    </w:p>
    <w:p w14:paraId="0012A4A4">
      <w:pPr>
        <w:spacing w:line="580" w:lineRule="exact"/>
        <w:ind w:firstLine="640"/>
        <w:jc w:val="both"/>
      </w:pPr>
      <w:r>
        <w:rPr>
          <w:rFonts w:ascii="仿宋_GB2312" w:hAnsi="仿宋_GB2312" w:eastAsia="仿宋_GB2312"/>
          <w:sz w:val="32"/>
        </w:rPr>
        <w:t>6.承担意外灾害事故、疫情等突发公共卫生事件的医疗急救及社区预防、保健和康复医疗服务工作。</w:t>
      </w:r>
    </w:p>
    <w:p w14:paraId="4BC2E76B">
      <w:pPr>
        <w:spacing w:line="580" w:lineRule="exact"/>
        <w:ind w:firstLine="640"/>
        <w:jc w:val="both"/>
      </w:pPr>
      <w:r>
        <w:rPr>
          <w:rFonts w:ascii="仿宋_GB2312" w:hAnsi="仿宋_GB2312" w:eastAsia="仿宋_GB2312"/>
          <w:sz w:val="32"/>
        </w:rPr>
        <w:t>7.承担体检工作，开展各种医疗保健卫生知识宣传，做好城镇职工医疗保险、城乡居民合作医疗保险等定点医疗机构的各项工作。</w:t>
      </w:r>
    </w:p>
    <w:p w14:paraId="07406892">
      <w:pPr>
        <w:spacing w:line="580" w:lineRule="exact"/>
        <w:ind w:firstLine="640"/>
        <w:jc w:val="both"/>
      </w:pPr>
      <w:r>
        <w:rPr>
          <w:rFonts w:ascii="仿宋_GB2312" w:hAnsi="仿宋_GB2312" w:eastAsia="仿宋_GB2312"/>
          <w:sz w:val="32"/>
        </w:rPr>
        <w:t>8.参与卫生扶贫、重要会议与重大活动的医疗卫生保障工作。</w:t>
      </w:r>
    </w:p>
    <w:p w14:paraId="00A07148">
      <w:pPr>
        <w:spacing w:line="580" w:lineRule="exact"/>
        <w:ind w:firstLine="640"/>
        <w:jc w:val="both"/>
      </w:pPr>
      <w:r>
        <w:rPr>
          <w:rFonts w:ascii="仿宋_GB2312" w:hAnsi="仿宋_GB2312" w:eastAsia="仿宋_GB2312"/>
          <w:sz w:val="32"/>
        </w:rPr>
        <w:t>9.承担上级部门及县卫健委交办的其他卫生工作。</w:t>
      </w:r>
    </w:p>
    <w:p w14:paraId="5934C787">
      <w:pPr>
        <w:spacing w:line="640" w:lineRule="exact"/>
        <w:ind w:firstLine="640"/>
        <w:jc w:val="both"/>
        <w:outlineLvl w:val="2"/>
      </w:pPr>
      <w:r>
        <w:rPr>
          <w:rFonts w:ascii="黑体" w:hAnsi="黑体" w:eastAsia="黑体"/>
          <w:sz w:val="32"/>
        </w:rPr>
        <w:t>二、机构设置及人员情况</w:t>
      </w:r>
    </w:p>
    <w:p w14:paraId="080C3E37">
      <w:pPr>
        <w:spacing w:line="580" w:lineRule="exact"/>
        <w:ind w:firstLine="640"/>
        <w:jc w:val="both"/>
      </w:pPr>
      <w:r>
        <w:rPr>
          <w:rFonts w:ascii="仿宋_GB2312" w:hAnsi="仿宋_GB2312" w:eastAsia="仿宋_GB2312"/>
          <w:sz w:val="32"/>
        </w:rPr>
        <w:t>轮台县人民医院2024年度，实有人数366人，其中：在职人员252人，减少1人；离休人员0人，增加0人；退休人员114人,增加1人。</w:t>
      </w:r>
    </w:p>
    <w:p w14:paraId="7F5BC71E">
      <w:pPr>
        <w:spacing w:line="580" w:lineRule="exact"/>
        <w:ind w:firstLine="640"/>
        <w:jc w:val="both"/>
      </w:pPr>
      <w:r>
        <w:rPr>
          <w:rFonts w:ascii="仿宋_GB2312" w:hAnsi="仿宋_GB2312" w:eastAsia="仿宋_GB2312"/>
          <w:sz w:val="32"/>
        </w:rPr>
        <w:t>轮台县人民医院无下属预算单位，下设42个科室，分别是：呼吸科、心内科、血透室、骨科、普外科、神经医学科、重症医学科、妇产科、儿科、急诊科、中医科、眼耳鼻咽喉科、疼痛科、手麻科、感染科、肿瘤科、康复科、门诊、眼视光中心、口腔科、功能科、检验科、放射科、药械科、病理科、供应室、体检科、党政办、医务科、信息科、护理部、人事科、运管部、院感办、医保办、病案室、财务科、总务科、设备科、质控办、保卫科、老年病科。</w:t>
      </w:r>
    </w:p>
    <w:p w14:paraId="5D6F6670">
      <w:r>
        <w:br w:type="page"/>
      </w:r>
    </w:p>
    <w:p w14:paraId="5560DB82">
      <w:pPr>
        <w:spacing w:line="240" w:lineRule="auto"/>
        <w:jc w:val="center"/>
        <w:outlineLvl w:val="1"/>
      </w:pPr>
      <w:r>
        <w:rPr>
          <w:rFonts w:ascii="黑体" w:hAnsi="黑体" w:eastAsia="黑体"/>
          <w:sz w:val="32"/>
        </w:rPr>
        <w:t>第二部分 部门决算情况说明</w:t>
      </w:r>
    </w:p>
    <w:p w14:paraId="130D9179">
      <w:pPr>
        <w:spacing w:line="640" w:lineRule="exact"/>
        <w:ind w:firstLine="640"/>
        <w:jc w:val="both"/>
        <w:outlineLvl w:val="2"/>
      </w:pPr>
      <w:r>
        <w:rPr>
          <w:rFonts w:ascii="黑体" w:hAnsi="黑体" w:eastAsia="黑体"/>
          <w:sz w:val="32"/>
        </w:rPr>
        <w:t>一、收入支出决算总体情况说明</w:t>
      </w:r>
    </w:p>
    <w:p w14:paraId="5FFCE628">
      <w:pPr>
        <w:spacing w:line="580" w:lineRule="exact"/>
        <w:ind w:firstLine="640"/>
        <w:jc w:val="both"/>
      </w:pPr>
      <w:r>
        <w:rPr>
          <w:rFonts w:ascii="仿宋_GB2312" w:hAnsi="仿宋_GB2312" w:eastAsia="仿宋_GB2312"/>
          <w:b/>
          <w:sz w:val="32"/>
        </w:rPr>
        <w:t>2024年度收入总计18,853.26万元，</w:t>
      </w:r>
      <w:r>
        <w:rPr>
          <w:rFonts w:ascii="仿宋_GB2312" w:hAnsi="仿宋_GB2312" w:eastAsia="仿宋_GB2312"/>
          <w:b w:val="0"/>
          <w:sz w:val="32"/>
        </w:rPr>
        <w:t>其中：本年收入合计16,011.91万元，使用非财政拨款结余（含专用结余）0.00万元，年初结转和结余2,841.35万元。</w:t>
      </w:r>
    </w:p>
    <w:p w14:paraId="0C22D3B1">
      <w:pPr>
        <w:spacing w:line="580" w:lineRule="exact"/>
        <w:ind w:firstLine="640"/>
        <w:jc w:val="both"/>
      </w:pPr>
      <w:r>
        <w:rPr>
          <w:rFonts w:ascii="仿宋_GB2312" w:hAnsi="仿宋_GB2312" w:eastAsia="仿宋_GB2312"/>
          <w:b/>
          <w:sz w:val="32"/>
        </w:rPr>
        <w:t>2024年度支出总计18,853.26万元，</w:t>
      </w:r>
      <w:r>
        <w:rPr>
          <w:rFonts w:ascii="仿宋_GB2312" w:hAnsi="仿宋_GB2312" w:eastAsia="仿宋_GB2312"/>
          <w:b w:val="0"/>
          <w:sz w:val="32"/>
        </w:rPr>
        <w:t>其中：本年支出合计15,444.22万元，结余分配3,409.04万元，年末结转和结余0.00万元。</w:t>
      </w:r>
    </w:p>
    <w:p w14:paraId="4C15233D">
      <w:pPr>
        <w:spacing w:line="580" w:lineRule="exact"/>
        <w:ind w:firstLine="640"/>
        <w:jc w:val="both"/>
      </w:pPr>
      <w:r>
        <w:rPr>
          <w:rFonts w:ascii="仿宋_GB2312" w:hAnsi="仿宋_GB2312" w:eastAsia="仿宋_GB2312"/>
          <w:b w:val="0"/>
          <w:sz w:val="32"/>
        </w:rPr>
        <w:t>收入支出总体与上年相比，增加986.02万元，增长5.52%，主要原因是：本年增加</w:t>
      </w:r>
      <w:r>
        <w:rPr>
          <w:rFonts w:hint="eastAsia" w:ascii="仿宋_GB2312" w:hAnsi="仿宋_GB2312" w:eastAsia="仿宋_GB2312"/>
          <w:b w:val="0"/>
          <w:sz w:val="32"/>
        </w:rPr>
        <w:t>轮台县河北医院建设项目资金</w:t>
      </w:r>
      <w:r>
        <w:rPr>
          <w:rFonts w:ascii="仿宋_GB2312" w:hAnsi="仿宋_GB2312" w:eastAsia="仿宋_GB2312"/>
          <w:b w:val="0"/>
          <w:sz w:val="32"/>
        </w:rPr>
        <w:t>，</w:t>
      </w:r>
      <w:r>
        <w:rPr>
          <w:rFonts w:hint="eastAsia" w:ascii="仿宋_GB2312" w:hAnsi="仿宋_GB2312" w:eastAsia="仿宋_GB2312"/>
          <w:b w:val="0"/>
          <w:sz w:val="32"/>
          <w:lang w:val="en-US" w:eastAsia="zh-CN"/>
        </w:rPr>
        <w:t>增加门诊收入，</w:t>
      </w:r>
      <w:r>
        <w:rPr>
          <w:rFonts w:ascii="仿宋_GB2312" w:hAnsi="仿宋_GB2312" w:eastAsia="仿宋_GB2312"/>
          <w:b w:val="0"/>
          <w:sz w:val="32"/>
        </w:rPr>
        <w:t>导致相关经费增加。</w:t>
      </w:r>
    </w:p>
    <w:p w14:paraId="1F9E8876">
      <w:pPr>
        <w:spacing w:line="640" w:lineRule="exact"/>
        <w:ind w:firstLine="640"/>
        <w:jc w:val="both"/>
        <w:outlineLvl w:val="2"/>
      </w:pPr>
      <w:r>
        <w:rPr>
          <w:rFonts w:ascii="黑体" w:hAnsi="黑体" w:eastAsia="黑体"/>
          <w:sz w:val="32"/>
        </w:rPr>
        <w:t>二、收入决算情况说明</w:t>
      </w:r>
    </w:p>
    <w:p w14:paraId="7088AC28">
      <w:pPr>
        <w:spacing w:line="580" w:lineRule="exact"/>
        <w:ind w:firstLine="640"/>
        <w:jc w:val="both"/>
      </w:pPr>
      <w:r>
        <w:rPr>
          <w:rFonts w:ascii="仿宋_GB2312" w:hAnsi="仿宋_GB2312" w:eastAsia="仿宋_GB2312"/>
          <w:b/>
          <w:sz w:val="32"/>
        </w:rPr>
        <w:t>本年收入16,011.91万元，</w:t>
      </w:r>
      <w:r>
        <w:rPr>
          <w:rFonts w:ascii="仿宋_GB2312" w:hAnsi="仿宋_GB2312" w:eastAsia="仿宋_GB2312"/>
          <w:b w:val="0"/>
          <w:sz w:val="32"/>
        </w:rPr>
        <w:t>其中：财政拨款收入3,548.19万元，占22.16%；上级补助收入0.00万元，占0.00%；事业收入11,849.01万元，占74.00%；经营收入0.00万元，占0.00%；附属单位上缴收入0.00万元，占0.00%；其他收入614.71万元，占3.84%。</w:t>
      </w:r>
    </w:p>
    <w:p w14:paraId="3ECB86A4">
      <w:pPr>
        <w:spacing w:line="640" w:lineRule="exact"/>
        <w:ind w:firstLine="640"/>
        <w:jc w:val="both"/>
        <w:outlineLvl w:val="2"/>
      </w:pPr>
      <w:r>
        <w:rPr>
          <w:rFonts w:ascii="黑体" w:hAnsi="黑体" w:eastAsia="黑体"/>
          <w:sz w:val="32"/>
        </w:rPr>
        <w:t>三、支出决算情况说明</w:t>
      </w:r>
    </w:p>
    <w:p w14:paraId="547743BD">
      <w:pPr>
        <w:spacing w:line="580" w:lineRule="exact"/>
        <w:ind w:firstLine="640"/>
        <w:jc w:val="both"/>
      </w:pPr>
      <w:r>
        <w:rPr>
          <w:rFonts w:ascii="仿宋_GB2312" w:hAnsi="仿宋_GB2312" w:eastAsia="仿宋_GB2312"/>
          <w:b/>
          <w:sz w:val="32"/>
        </w:rPr>
        <w:t>本年支出15,444.22万元，</w:t>
      </w:r>
      <w:r>
        <w:rPr>
          <w:rFonts w:ascii="仿宋_GB2312" w:hAnsi="仿宋_GB2312" w:eastAsia="仿宋_GB2312"/>
          <w:b w:val="0"/>
          <w:sz w:val="32"/>
        </w:rPr>
        <w:t>其中：基本支出14,702.77万元，占95.20%；项目支出741.45万元，占4.80%；上缴上级支出0.00万元，占0.00%；经营支出0.00万元，占0.00%；对附属单位补助支出0.00万元，占0.00%。</w:t>
      </w:r>
    </w:p>
    <w:p w14:paraId="133FD906">
      <w:pPr>
        <w:spacing w:line="640" w:lineRule="exact"/>
        <w:ind w:firstLine="640"/>
        <w:jc w:val="both"/>
        <w:outlineLvl w:val="2"/>
      </w:pPr>
      <w:r>
        <w:rPr>
          <w:rFonts w:ascii="黑体" w:hAnsi="黑体" w:eastAsia="黑体"/>
          <w:sz w:val="32"/>
        </w:rPr>
        <w:t>四、财政拨款收入支出决算总体情况说明</w:t>
      </w:r>
    </w:p>
    <w:p w14:paraId="147315EA">
      <w:pPr>
        <w:spacing w:line="580" w:lineRule="exact"/>
        <w:ind w:firstLine="640"/>
        <w:jc w:val="both"/>
      </w:pPr>
      <w:r>
        <w:rPr>
          <w:rFonts w:ascii="仿宋_GB2312" w:hAnsi="仿宋_GB2312" w:eastAsia="仿宋_GB2312"/>
          <w:b/>
          <w:sz w:val="32"/>
        </w:rPr>
        <w:t>2024年度财政拨款收入总计3,548.19万元，</w:t>
      </w:r>
      <w:r>
        <w:rPr>
          <w:rFonts w:ascii="仿宋_GB2312" w:hAnsi="仿宋_GB2312" w:eastAsia="仿宋_GB2312"/>
          <w:b w:val="0"/>
          <w:sz w:val="32"/>
        </w:rPr>
        <w:t>其中：年初财政拨款结转和结余0.00万元，本年财政拨款收入3,548.19万元。</w:t>
      </w:r>
      <w:r>
        <w:rPr>
          <w:rFonts w:ascii="仿宋_GB2312" w:hAnsi="仿宋_GB2312" w:eastAsia="仿宋_GB2312"/>
          <w:b/>
          <w:sz w:val="32"/>
        </w:rPr>
        <w:t>财政拨款支出总计3,548.19万元，</w:t>
      </w:r>
      <w:r>
        <w:rPr>
          <w:rFonts w:ascii="仿宋_GB2312" w:hAnsi="仿宋_GB2312" w:eastAsia="仿宋_GB2312"/>
          <w:b w:val="0"/>
          <w:sz w:val="32"/>
        </w:rPr>
        <w:t>其中：年末财政拨款结转和结余0.00万元，本年财政拨款支出3,548.19万元。</w:t>
      </w:r>
    </w:p>
    <w:p w14:paraId="13042B4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减少631.16万元，下降15.10%，主要原因是：本年减少医疗服务能力提升（公立医院综合改革）补助资金，专用材料费，救治能力提升配套工程项目经费等，导致相关经费减少。</w:t>
      </w:r>
      <w:r>
        <w:rPr>
          <w:rFonts w:ascii="仿宋_GB2312" w:hAnsi="仿宋_GB2312" w:eastAsia="仿宋_GB2312"/>
          <w:b/>
          <w:sz w:val="32"/>
        </w:rPr>
        <w:t>与年初预算相比，</w:t>
      </w:r>
      <w:r>
        <w:rPr>
          <w:rFonts w:ascii="仿宋_GB2312" w:hAnsi="仿宋_GB2312" w:eastAsia="仿宋_GB2312"/>
          <w:b w:val="0"/>
          <w:sz w:val="32"/>
        </w:rPr>
        <w:t>年初预算数3,561.90万元，决算数3,548.19万元，预决算差异率-0.38%，主要原因是：本年在职人员减少，年中调减人员经费，导致预决算存在差异。</w:t>
      </w:r>
    </w:p>
    <w:p w14:paraId="460AD148">
      <w:pPr>
        <w:spacing w:line="640" w:lineRule="exact"/>
        <w:ind w:firstLine="640"/>
        <w:jc w:val="both"/>
        <w:outlineLvl w:val="2"/>
      </w:pPr>
      <w:r>
        <w:rPr>
          <w:rFonts w:ascii="黑体" w:hAnsi="黑体" w:eastAsia="黑体"/>
          <w:sz w:val="32"/>
        </w:rPr>
        <w:t>五、一般公共预算财政拨款支出决算情况说明</w:t>
      </w:r>
    </w:p>
    <w:p w14:paraId="02480C0D">
      <w:pPr>
        <w:spacing w:line="640" w:lineRule="exact"/>
        <w:ind w:firstLine="640"/>
        <w:jc w:val="both"/>
        <w:outlineLvl w:val="3"/>
      </w:pPr>
      <w:r>
        <w:rPr>
          <w:rFonts w:ascii="楷体_GB2312" w:hAnsi="楷体_GB2312" w:eastAsia="楷体_GB2312"/>
          <w:b/>
          <w:sz w:val="32"/>
        </w:rPr>
        <w:t>（一）一般公共预算财政拨款支出决算总体情况</w:t>
      </w:r>
    </w:p>
    <w:p w14:paraId="18B17B4E">
      <w:pPr>
        <w:spacing w:line="580" w:lineRule="exact"/>
        <w:ind w:firstLine="640"/>
        <w:jc w:val="both"/>
      </w:pPr>
      <w:r>
        <w:rPr>
          <w:rFonts w:ascii="仿宋_GB2312" w:hAnsi="仿宋_GB2312" w:eastAsia="仿宋_GB2312"/>
          <w:b/>
          <w:sz w:val="32"/>
        </w:rPr>
        <w:t>2024年度一般公共预算财政拨款支出3,548.19万元，</w:t>
      </w:r>
      <w:r>
        <w:rPr>
          <w:rFonts w:ascii="仿宋_GB2312" w:hAnsi="仿宋_GB2312" w:eastAsia="仿宋_GB2312"/>
          <w:b w:val="0"/>
          <w:sz w:val="32"/>
        </w:rPr>
        <w:t>占本年支出合计的22.97%。</w:t>
      </w:r>
      <w:r>
        <w:rPr>
          <w:rFonts w:ascii="仿宋_GB2312" w:hAnsi="仿宋_GB2312" w:eastAsia="仿宋_GB2312"/>
          <w:b/>
          <w:sz w:val="32"/>
        </w:rPr>
        <w:t>与上年相比，</w:t>
      </w:r>
      <w:r>
        <w:rPr>
          <w:rFonts w:ascii="仿宋_GB2312" w:hAnsi="仿宋_GB2312" w:eastAsia="仿宋_GB2312"/>
          <w:b w:val="0"/>
          <w:sz w:val="32"/>
        </w:rPr>
        <w:t>减少631.16万元，下降15.10%，主要原因是：本年减少医疗服务能力提升（公立医院综合改革）补助资金，专用材料费，救治能力提升配套工程项目经费等，导致相关经费减少。</w:t>
      </w:r>
      <w:r>
        <w:rPr>
          <w:rFonts w:ascii="仿宋_GB2312" w:hAnsi="仿宋_GB2312" w:eastAsia="仿宋_GB2312"/>
          <w:b/>
          <w:sz w:val="32"/>
        </w:rPr>
        <w:t>与年初预算相比,</w:t>
      </w:r>
      <w:r>
        <w:rPr>
          <w:rFonts w:ascii="仿宋_GB2312" w:hAnsi="仿宋_GB2312" w:eastAsia="仿宋_GB2312"/>
          <w:b w:val="0"/>
          <w:sz w:val="32"/>
        </w:rPr>
        <w:t>年初预算数3,561.90万元，决算数3,548.19万元，预决算差异率-0.38%，主要原因是：本年在职人员减少，年中调减人员经费，导致预决算存在差异。</w:t>
      </w:r>
    </w:p>
    <w:p w14:paraId="758AC87E">
      <w:pPr>
        <w:spacing w:line="640" w:lineRule="exact"/>
        <w:ind w:firstLine="640"/>
        <w:jc w:val="both"/>
        <w:outlineLvl w:val="3"/>
      </w:pPr>
      <w:r>
        <w:rPr>
          <w:rFonts w:ascii="楷体_GB2312" w:hAnsi="楷体_GB2312" w:eastAsia="楷体_GB2312"/>
          <w:b/>
          <w:sz w:val="32"/>
        </w:rPr>
        <w:t>（二）一般公共预算财政拨款支出决算结构情况</w:t>
      </w:r>
    </w:p>
    <w:p w14:paraId="10EFB892">
      <w:pPr>
        <w:spacing w:line="580" w:lineRule="exact"/>
        <w:ind w:firstLine="640"/>
        <w:jc w:val="both"/>
      </w:pPr>
      <w:r>
        <w:rPr>
          <w:rFonts w:ascii="仿宋_GB2312" w:hAnsi="仿宋_GB2312" w:eastAsia="仿宋_GB2312"/>
          <w:b w:val="0"/>
          <w:sz w:val="32"/>
        </w:rPr>
        <w:t>1.一般公共服务支出(类)9.00万元,占0.25%。</w:t>
      </w:r>
    </w:p>
    <w:p w14:paraId="16358A7F">
      <w:pPr>
        <w:spacing w:line="580" w:lineRule="exact"/>
        <w:ind w:firstLine="640"/>
        <w:jc w:val="both"/>
      </w:pPr>
      <w:r>
        <w:rPr>
          <w:rFonts w:ascii="仿宋_GB2312" w:hAnsi="仿宋_GB2312" w:eastAsia="仿宋_GB2312"/>
          <w:b w:val="0"/>
          <w:sz w:val="32"/>
        </w:rPr>
        <w:t>2.社会保障和就业支出(类)529.59万元,占14.93%。</w:t>
      </w:r>
    </w:p>
    <w:p w14:paraId="7AA419E2">
      <w:pPr>
        <w:spacing w:line="580" w:lineRule="exact"/>
        <w:ind w:firstLine="640"/>
        <w:jc w:val="both"/>
      </w:pPr>
      <w:r>
        <w:rPr>
          <w:rFonts w:ascii="仿宋_GB2312" w:hAnsi="仿宋_GB2312" w:eastAsia="仿宋_GB2312"/>
          <w:b w:val="0"/>
          <w:sz w:val="32"/>
        </w:rPr>
        <w:t>3.卫生健康支出(类)2,666.19万元,占75.14%。</w:t>
      </w:r>
    </w:p>
    <w:p w14:paraId="64C09043">
      <w:pPr>
        <w:spacing w:line="580" w:lineRule="exact"/>
        <w:ind w:firstLine="640"/>
        <w:jc w:val="both"/>
      </w:pPr>
      <w:r>
        <w:rPr>
          <w:rFonts w:ascii="仿宋_GB2312" w:hAnsi="仿宋_GB2312" w:eastAsia="仿宋_GB2312"/>
          <w:b w:val="0"/>
          <w:sz w:val="32"/>
        </w:rPr>
        <w:t>4.住房保障支出(类)232.82万元,占6.56%。</w:t>
      </w:r>
    </w:p>
    <w:p w14:paraId="57DF4407">
      <w:pPr>
        <w:spacing w:line="580" w:lineRule="exact"/>
        <w:ind w:firstLine="640"/>
        <w:jc w:val="both"/>
      </w:pPr>
      <w:r>
        <w:rPr>
          <w:rFonts w:ascii="仿宋_GB2312" w:hAnsi="仿宋_GB2312" w:eastAsia="仿宋_GB2312"/>
          <w:b w:val="0"/>
          <w:sz w:val="32"/>
        </w:rPr>
        <w:t>5.其他支出(类)110.59万元,占3.12%。</w:t>
      </w:r>
    </w:p>
    <w:p w14:paraId="0E7C8C34">
      <w:pPr>
        <w:spacing w:line="640" w:lineRule="exact"/>
        <w:ind w:firstLine="640"/>
        <w:jc w:val="both"/>
        <w:outlineLvl w:val="3"/>
      </w:pPr>
      <w:r>
        <w:rPr>
          <w:rFonts w:ascii="楷体_GB2312" w:hAnsi="楷体_GB2312" w:eastAsia="楷体_GB2312"/>
          <w:b/>
          <w:sz w:val="32"/>
        </w:rPr>
        <w:t>（三）一般公共预算财政拨款支出决算具体情况</w:t>
      </w:r>
    </w:p>
    <w:p w14:paraId="74593A1C">
      <w:pPr>
        <w:spacing w:line="580" w:lineRule="exact"/>
        <w:ind w:firstLine="640"/>
        <w:jc w:val="both"/>
      </w:pPr>
      <w:r>
        <w:rPr>
          <w:rFonts w:ascii="仿宋_GB2312" w:hAnsi="仿宋_GB2312" w:eastAsia="仿宋_GB2312"/>
          <w:b w:val="0"/>
          <w:sz w:val="32"/>
        </w:rPr>
        <w:t>1.一般公共服务支出(类)组织事务(款)其他组织事务支出(项):支出决算数为9.00万元，比上年决算增加8.50万元，增长1,700.00%,主要原因是：本年“五个好”党支部示范点工作补助增加，导致相关经费增加。</w:t>
      </w:r>
    </w:p>
    <w:p w14:paraId="5C73CDDE">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89.43万元，比上年决算增加29.18万元，增长48.43%,主要原因是：本年退休人员增加及补发退休人员绩效，导致退休费支出较上年增加。</w:t>
      </w:r>
    </w:p>
    <w:p w14:paraId="7DCA6AE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293.44万元，比上年决算减少9.63万元，下降3.18%,主要原因是：本年在职人员减少，单位基本养老保险缴费较上年减少。</w:t>
      </w:r>
    </w:p>
    <w:p w14:paraId="5C90F28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4.社会保障和就业支出(类)行政事业单位养老支出(款)机关事业单位职业年金缴费支出(项):支出决算数为146.72万元，比上年决算增加9.57万元，增长6.98%,主要原因是：本年新增退休人员，职业年金缴费支出增加。</w:t>
      </w:r>
    </w:p>
    <w:p w14:paraId="4DD6999D">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5.卫生健康支出(类)卫生健康管理事务(款)其他卫生健康管理事务支出(项):支出决算数为0.00万元，比上年决算减少440.75万元，下降100.00%,主要原因是：本年减少救治能力提升配套工程项目经费，导致相关经费减少。</w:t>
      </w:r>
    </w:p>
    <w:p w14:paraId="4364E7D1">
      <w:pPr>
        <w:spacing w:line="580" w:lineRule="exact"/>
        <w:ind w:firstLine="640"/>
        <w:jc w:val="both"/>
      </w:pPr>
      <w:r>
        <w:rPr>
          <w:rFonts w:ascii="仿宋_GB2312" w:hAnsi="仿宋_GB2312" w:eastAsia="仿宋_GB2312"/>
          <w:b w:val="0"/>
          <w:sz w:val="32"/>
        </w:rPr>
        <w:t>6.卫生健康支出(类)公立医院(款)综合医院(项):支出决算数为2,203.77万元，比上年决算减少181.85万元，下降7.62%,主要原因是：本年减少医疗服务能力提升（公立医院综合改革）补助资金，导致相关经费减少。</w:t>
      </w:r>
    </w:p>
    <w:p w14:paraId="63916C3A">
      <w:pPr>
        <w:spacing w:line="580" w:lineRule="exact"/>
        <w:ind w:firstLine="640"/>
        <w:jc w:val="both"/>
      </w:pPr>
      <w:r>
        <w:rPr>
          <w:rFonts w:ascii="仿宋_GB2312" w:hAnsi="仿宋_GB2312" w:eastAsia="仿宋_GB2312"/>
          <w:b w:val="0"/>
          <w:sz w:val="32"/>
        </w:rPr>
        <w:t>7.卫生健康支出(类)公立医院(款)其他公立医院支出(项):支出决算数为51.00万元，比上年决算减少236.00万元，下降82.23%,主要原因是：本年减少专用材料费，导致相关经费减少。</w:t>
      </w:r>
    </w:p>
    <w:p w14:paraId="3128BF00">
      <w:pPr>
        <w:spacing w:line="580" w:lineRule="exact"/>
        <w:ind w:firstLine="640"/>
        <w:jc w:val="both"/>
      </w:pPr>
      <w:r>
        <w:rPr>
          <w:rFonts w:ascii="仿宋_GB2312" w:hAnsi="仿宋_GB2312" w:eastAsia="仿宋_GB2312"/>
          <w:b w:val="0"/>
          <w:sz w:val="32"/>
        </w:rPr>
        <w:t>8.卫生健康支出(类)基层医疗卫生机构(款)其他基层医疗卫生机构支出(项):支出决算数为141.45万元，比上年决算增加141.45万元，增长100.00%,主要原因是：本年增加中央医疗服务与保障能力提升，导致相关经费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4C94CE0F">
      <w:pPr>
        <w:spacing w:line="580" w:lineRule="exact"/>
        <w:ind w:firstLine="640"/>
        <w:jc w:val="both"/>
      </w:pPr>
      <w:r>
        <w:rPr>
          <w:rFonts w:ascii="仿宋_GB2312" w:hAnsi="仿宋_GB2312" w:eastAsia="仿宋_GB2312"/>
          <w:b w:val="0"/>
          <w:sz w:val="32"/>
        </w:rPr>
        <w:t>9.卫生健康支出(类)公共卫生(款)基本公共卫生服务(项):支出决算数为3.50万元，比上年决算减少20.09万元，下降85.16%,主要原因是：上年补发2022年地方病，重大疾病，职业病等补助，本年正常发放，导致相关经费减少。</w:t>
      </w:r>
    </w:p>
    <w:p w14:paraId="401F5269">
      <w:pPr>
        <w:spacing w:line="580" w:lineRule="exact"/>
        <w:ind w:firstLine="640"/>
        <w:jc w:val="both"/>
      </w:pPr>
      <w:r>
        <w:rPr>
          <w:rFonts w:ascii="仿宋_GB2312" w:hAnsi="仿宋_GB2312" w:eastAsia="仿宋_GB2312"/>
          <w:b w:val="0"/>
          <w:sz w:val="32"/>
        </w:rPr>
        <w:t>10.卫生健康支出(类)公共卫生(款)重大公共卫生服务(项):支出决算数为34.00万元，比上年决算减少14.50万元，下降29.90%,主要原因是：本年减少疫情防控专项资金，导致相关经费减少。</w:t>
      </w:r>
    </w:p>
    <w:p w14:paraId="479A6393">
      <w:pPr>
        <w:spacing w:line="580" w:lineRule="exact"/>
        <w:ind w:firstLine="640"/>
        <w:jc w:val="both"/>
      </w:pPr>
      <w:r>
        <w:rPr>
          <w:rFonts w:ascii="仿宋_GB2312" w:hAnsi="仿宋_GB2312" w:eastAsia="仿宋_GB2312"/>
          <w:b w:val="0"/>
          <w:sz w:val="32"/>
        </w:rPr>
        <w:t>11.卫生健康支出(类)公共卫生(款)突发公共卫生事件应急处理(项):支出决算数为0.00万元，比上年决算减少1.24万元，下降100.00%,主要原因是：本年减少突发公共卫生事件应急处理补助，导致相关经费减少。</w:t>
      </w:r>
    </w:p>
    <w:p w14:paraId="4130AA5B">
      <w:pPr>
        <w:spacing w:line="580" w:lineRule="exact"/>
        <w:ind w:firstLine="640"/>
        <w:jc w:val="both"/>
      </w:pPr>
      <w:r>
        <w:rPr>
          <w:rFonts w:ascii="仿宋_GB2312" w:hAnsi="仿宋_GB2312" w:eastAsia="仿宋_GB2312"/>
          <w:b w:val="0"/>
          <w:sz w:val="32"/>
        </w:rPr>
        <w:t>12.卫生健康支出(类)行政事业单位医疗(款)行政单位医疗(项):支出决算数为99.68万元，比上年决算增加76.56万元，增长331.14%,主要原因是：本年增加2023年我县离休干部医疗费，导致相关经费增加。</w:t>
      </w:r>
    </w:p>
    <w:p w14:paraId="707BA487">
      <w:pPr>
        <w:spacing w:line="580" w:lineRule="exact"/>
        <w:ind w:firstLine="640"/>
        <w:jc w:val="both"/>
      </w:pPr>
      <w:r>
        <w:rPr>
          <w:rFonts w:ascii="仿宋_GB2312" w:hAnsi="仿宋_GB2312" w:eastAsia="仿宋_GB2312"/>
          <w:b w:val="0"/>
          <w:sz w:val="32"/>
        </w:rPr>
        <w:t>13.卫生健康支出(类)行政事业单位医疗(款)事业单位医疗(项):支出决算数为132.79万元，比上年决算减少2.81万元，下降2.07%,主要原因是：本年在职人员减少，事业单位医疗支出较上年减少。</w:t>
      </w:r>
    </w:p>
    <w:p w14:paraId="524CE0E8">
      <w:pPr>
        <w:spacing w:line="580" w:lineRule="exact"/>
        <w:ind w:firstLine="640"/>
        <w:jc w:val="both"/>
      </w:pPr>
      <w:r>
        <w:rPr>
          <w:rFonts w:ascii="仿宋_GB2312" w:hAnsi="仿宋_GB2312" w:eastAsia="仿宋_GB2312"/>
          <w:b w:val="0"/>
          <w:sz w:val="32"/>
        </w:rPr>
        <w:t>14.住房保障支出(类)住房改革支出(款)住房公积金(项):支出决算数为232.82万元，比上年决算减少10.74万元，下降4.41%,主要原因是：本年在职人员减少，住房公积金缴费较上年减少。</w:t>
      </w:r>
    </w:p>
    <w:p w14:paraId="41444FA0">
      <w:pPr>
        <w:spacing w:line="580" w:lineRule="exact"/>
        <w:ind w:firstLine="640"/>
        <w:jc w:val="both"/>
      </w:pPr>
      <w:r>
        <w:rPr>
          <w:rFonts w:ascii="仿宋_GB2312" w:hAnsi="仿宋_GB2312" w:eastAsia="仿宋_GB2312"/>
          <w:b w:val="0"/>
          <w:sz w:val="32"/>
        </w:rPr>
        <w:t>15.其他支出(类)其他支出(款)其他支出(项):支出决算数为110.59万元，比上年决算增加21.18万元，增长23.69%,主要原因是：本年增加新疆人才发展基金重大人才计划项目经费，导致相关经费增加。</w:t>
      </w:r>
    </w:p>
    <w:p w14:paraId="53E3C3C9">
      <w:pPr>
        <w:spacing w:line="640" w:lineRule="exact"/>
        <w:ind w:firstLine="640"/>
        <w:jc w:val="both"/>
        <w:outlineLvl w:val="2"/>
      </w:pPr>
      <w:r>
        <w:rPr>
          <w:rFonts w:ascii="黑体" w:hAnsi="黑体" w:eastAsia="黑体"/>
          <w:sz w:val="32"/>
        </w:rPr>
        <w:t>六、一般公共预算财政拨款基本支出决算情况说明</w:t>
      </w:r>
    </w:p>
    <w:p w14:paraId="1743288B">
      <w:pPr>
        <w:spacing w:line="580" w:lineRule="exact"/>
        <w:ind w:firstLine="640"/>
        <w:jc w:val="both"/>
      </w:pPr>
      <w:r>
        <w:rPr>
          <w:rFonts w:ascii="仿宋_GB2312" w:hAnsi="仿宋_GB2312" w:eastAsia="仿宋_GB2312"/>
          <w:b w:val="0"/>
          <w:sz w:val="32"/>
        </w:rPr>
        <w:t>2024年度一般公共预算财政拨款基本支出3,406.74万元，其中：</w:t>
      </w:r>
      <w:r>
        <w:rPr>
          <w:rFonts w:ascii="仿宋_GB2312" w:hAnsi="仿宋_GB2312" w:eastAsia="仿宋_GB2312"/>
          <w:b/>
          <w:sz w:val="32"/>
        </w:rPr>
        <w:t>人员经费3,198.65万元，</w:t>
      </w:r>
      <w:r>
        <w:rPr>
          <w:rFonts w:ascii="仿宋_GB2312" w:hAnsi="仿宋_GB2312" w:eastAsia="仿宋_GB2312"/>
          <w:b w:val="0"/>
          <w:sz w:val="32"/>
        </w:rPr>
        <w:t>包括：基本工资、津贴补贴、机关事业单位基本养老保险缴费、职业年金缴费、职工基本医疗保险缴费、其他社会保障缴费、住房公积金、医疗费、其他工资福利支出、退休费、奖励金。</w:t>
      </w:r>
    </w:p>
    <w:p w14:paraId="026E36D3">
      <w:pPr>
        <w:spacing w:line="580" w:lineRule="exact"/>
        <w:ind w:firstLine="640"/>
        <w:jc w:val="both"/>
      </w:pPr>
      <w:r>
        <w:rPr>
          <w:rFonts w:ascii="仿宋_GB2312" w:hAnsi="仿宋_GB2312" w:eastAsia="仿宋_GB2312"/>
          <w:b/>
          <w:sz w:val="32"/>
        </w:rPr>
        <w:t>公用经费208.09万元，</w:t>
      </w:r>
      <w:r>
        <w:rPr>
          <w:rFonts w:ascii="仿宋_GB2312" w:hAnsi="仿宋_GB2312" w:eastAsia="仿宋_GB2312"/>
          <w:b w:val="0"/>
          <w:sz w:val="32"/>
        </w:rPr>
        <w:t>包括：差旅费、培训费、专用材料费、劳务费、专用设备购置。</w:t>
      </w:r>
    </w:p>
    <w:p w14:paraId="625DE3CB">
      <w:pPr>
        <w:spacing w:line="640" w:lineRule="exact"/>
        <w:ind w:firstLine="640"/>
        <w:jc w:val="both"/>
        <w:outlineLvl w:val="2"/>
      </w:pPr>
      <w:r>
        <w:rPr>
          <w:rFonts w:ascii="黑体" w:hAnsi="黑体" w:eastAsia="黑体"/>
          <w:sz w:val="32"/>
        </w:rPr>
        <w:t>七、政府性基金预算财政拨款收入支出决算情况说明</w:t>
      </w:r>
    </w:p>
    <w:p w14:paraId="5F1C4D4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089BB76">
      <w:pPr>
        <w:spacing w:line="640" w:lineRule="exact"/>
        <w:ind w:firstLine="640"/>
        <w:jc w:val="both"/>
        <w:outlineLvl w:val="2"/>
      </w:pPr>
      <w:r>
        <w:rPr>
          <w:rFonts w:ascii="黑体" w:hAnsi="黑体" w:eastAsia="黑体"/>
          <w:sz w:val="32"/>
        </w:rPr>
        <w:t>八、国有资本经营预算财政拨款收入支出决算情况说明</w:t>
      </w:r>
    </w:p>
    <w:p w14:paraId="156AA0F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0DB37EB">
      <w:pPr>
        <w:spacing w:line="640" w:lineRule="exact"/>
        <w:ind w:firstLine="640"/>
        <w:jc w:val="both"/>
        <w:outlineLvl w:val="2"/>
      </w:pPr>
      <w:r>
        <w:rPr>
          <w:rFonts w:ascii="黑体" w:hAnsi="黑体" w:eastAsia="黑体"/>
          <w:sz w:val="32"/>
        </w:rPr>
        <w:t>九、财政拨款“三公”经费支出决算情况说明</w:t>
      </w:r>
    </w:p>
    <w:p w14:paraId="6A8EF0B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2D64683">
      <w:pPr>
        <w:spacing w:line="580" w:lineRule="exact"/>
        <w:ind w:firstLine="640"/>
        <w:jc w:val="both"/>
      </w:pPr>
      <w:r>
        <w:rPr>
          <w:rFonts w:ascii="仿宋_GB2312" w:hAnsi="仿宋_GB2312" w:eastAsia="仿宋_GB2312"/>
          <w:b/>
          <w:sz w:val="32"/>
        </w:rPr>
        <w:t>具体情况如下：</w:t>
      </w:r>
    </w:p>
    <w:p w14:paraId="75563A7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FC0BD9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17辆，与公务用车保有量差异原因是：单位业务用车，车辆费用未使用财政拨款公务用车运行维护费支付，由医疗收入经费保障。</w:t>
      </w:r>
    </w:p>
    <w:p w14:paraId="2C051C9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E5FA1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8F4444F">
      <w:pPr>
        <w:spacing w:line="640" w:lineRule="exact"/>
        <w:ind w:firstLine="640"/>
        <w:jc w:val="both"/>
        <w:outlineLvl w:val="2"/>
      </w:pPr>
      <w:r>
        <w:rPr>
          <w:rFonts w:ascii="黑体" w:hAnsi="黑体" w:eastAsia="黑体"/>
          <w:sz w:val="32"/>
        </w:rPr>
        <w:t>十、其他重要事项的情况说明</w:t>
      </w:r>
    </w:p>
    <w:p w14:paraId="031DF037">
      <w:pPr>
        <w:spacing w:line="640" w:lineRule="exact"/>
        <w:ind w:firstLine="640"/>
        <w:jc w:val="both"/>
        <w:outlineLvl w:val="3"/>
      </w:pPr>
      <w:r>
        <w:rPr>
          <w:rFonts w:ascii="楷体_GB2312" w:hAnsi="楷体_GB2312" w:eastAsia="楷体_GB2312"/>
          <w:b/>
          <w:sz w:val="32"/>
        </w:rPr>
        <w:t>（一）机关运行经费及公用经费支出情况</w:t>
      </w:r>
    </w:p>
    <w:p w14:paraId="5426D3C7">
      <w:pPr>
        <w:spacing w:line="580" w:lineRule="exact"/>
        <w:ind w:firstLine="640"/>
        <w:jc w:val="both"/>
      </w:pPr>
      <w:r>
        <w:rPr>
          <w:rFonts w:ascii="仿宋_GB2312" w:hAnsi="仿宋_GB2312" w:eastAsia="仿宋_GB2312"/>
          <w:b w:val="0"/>
          <w:sz w:val="32"/>
        </w:rPr>
        <w:t>2024年度轮台县人民医院（事业单位）公用经费支出208.09万元，比上年减少699.40万元，下降77.07%，主要原因是：本年减少专用材料费。</w:t>
      </w:r>
    </w:p>
    <w:p w14:paraId="6E30B236">
      <w:pPr>
        <w:spacing w:line="640" w:lineRule="exact"/>
        <w:ind w:firstLine="640"/>
        <w:jc w:val="both"/>
        <w:outlineLvl w:val="3"/>
      </w:pPr>
      <w:r>
        <w:rPr>
          <w:rFonts w:ascii="楷体_GB2312" w:hAnsi="楷体_GB2312" w:eastAsia="楷体_GB2312"/>
          <w:b/>
          <w:sz w:val="32"/>
        </w:rPr>
        <w:t>（二）政府采购情况</w:t>
      </w:r>
    </w:p>
    <w:p w14:paraId="4CC01981">
      <w:pPr>
        <w:spacing w:line="580" w:lineRule="exact"/>
        <w:ind w:firstLine="640"/>
        <w:jc w:val="both"/>
      </w:pPr>
      <w:r>
        <w:rPr>
          <w:rFonts w:ascii="仿宋_GB2312" w:hAnsi="仿宋_GB2312" w:eastAsia="仿宋_GB2312"/>
          <w:b w:val="0"/>
          <w:sz w:val="32"/>
        </w:rPr>
        <w:t>2024年度政府采购支出总额3,318.56万元，其中：政府采购货物支出2,606.69万元、政府采购工程支出24.05万元、政府采购服务支出687.83万元。</w:t>
      </w:r>
    </w:p>
    <w:p w14:paraId="7EAFE837">
      <w:pPr>
        <w:spacing w:line="580" w:lineRule="exact"/>
        <w:ind w:firstLine="640"/>
        <w:jc w:val="both"/>
      </w:pPr>
      <w:r>
        <w:rPr>
          <w:rFonts w:ascii="仿宋_GB2312" w:hAnsi="仿宋_GB2312" w:eastAsia="仿宋_GB2312"/>
          <w:b w:val="0"/>
          <w:sz w:val="32"/>
        </w:rPr>
        <w:t>授予中小企业合同金额3,217.86万元，占政府采购支出总额的96.97%，其中：授予小微企业合同金额3,018.10万元，占政府采购支出总额的90.95%。</w:t>
      </w:r>
    </w:p>
    <w:p w14:paraId="3C03FDD5">
      <w:pPr>
        <w:spacing w:line="640" w:lineRule="exact"/>
        <w:ind w:firstLine="640"/>
        <w:jc w:val="both"/>
        <w:outlineLvl w:val="3"/>
      </w:pPr>
      <w:r>
        <w:rPr>
          <w:rFonts w:ascii="楷体_GB2312" w:hAnsi="楷体_GB2312" w:eastAsia="楷体_GB2312"/>
          <w:b/>
          <w:sz w:val="32"/>
        </w:rPr>
        <w:t>（三）国有资产占用情况说明</w:t>
      </w:r>
    </w:p>
    <w:p w14:paraId="147294C9">
      <w:pPr>
        <w:spacing w:line="580" w:lineRule="exact"/>
        <w:ind w:firstLine="640"/>
        <w:jc w:val="both"/>
      </w:pPr>
      <w:r>
        <w:rPr>
          <w:rFonts w:ascii="仿宋_GB2312" w:hAnsi="仿宋_GB2312" w:eastAsia="仿宋_GB2312"/>
          <w:b w:val="0"/>
          <w:sz w:val="32"/>
        </w:rPr>
        <w:t>截至2024年12月31日，房屋61,399.85平方米，价值13,791.31万元。车辆17辆，价值662.70万元，其中：副部（省）级及以上领导用车0辆、主要负责人用车0辆、机要通信用车0辆、应急保障用车0辆、执法执勤用车0辆、特种专业技术用车15辆、离退休干部服务用车0辆、其他用车2辆，其他用车主要是：单位救护车。单价100万元（含）以上设备（不含车辆）20台（套）。</w:t>
      </w:r>
    </w:p>
    <w:p w14:paraId="02B2A804">
      <w:pPr>
        <w:spacing w:line="640" w:lineRule="exact"/>
        <w:ind w:firstLine="640"/>
        <w:jc w:val="both"/>
        <w:outlineLvl w:val="2"/>
      </w:pPr>
      <w:r>
        <w:rPr>
          <w:rFonts w:ascii="黑体" w:hAnsi="黑体" w:eastAsia="黑体"/>
          <w:sz w:val="32"/>
        </w:rPr>
        <w:t>十一、预算绩效的情况说明</w:t>
      </w:r>
    </w:p>
    <w:p w14:paraId="312CC87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18,853.26万元，实际执行总额15,444.22万元；预算绩效评价项目4个，全年预算数2,048.67万元，全年执行数2,048.67万元。预算绩效管理取得的成效：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业务学习方面督导力度不够。科室业务学习意识的积极性、主动性不高，未能杜绝形式化,“走过程”的思想。导致业务学习流于形式，没起到真正的作用。发现的问题及原因：一是</w:t>
      </w:r>
      <w:r>
        <w:rPr>
          <w:rFonts w:hint="eastAsia" w:ascii="仿宋_GB2312" w:hAnsi="仿宋_GB2312" w:eastAsia="仿宋_GB2312"/>
          <w:b w:val="0"/>
          <w:sz w:val="32"/>
          <w:lang w:eastAsia="zh-CN"/>
        </w:rPr>
        <w:t>新疆</w:t>
      </w:r>
      <w:r>
        <w:rPr>
          <w:rFonts w:ascii="仿宋_GB2312" w:hAnsi="仿宋_GB2312" w:eastAsia="仿宋_GB2312"/>
          <w:b w:val="0"/>
          <w:sz w:val="32"/>
        </w:rPr>
        <w:t>人才发展基金第一批重大人才计划项目支持资金到位后，为了充分发挥援疆专家的技术优势和引领作用，我院申请柔性援疆专家帮扶项目，援疆专家到岗后，新开办各类医疗业务培训，导致实际培训次数与目标值有偏差。二是调整医疗服务价格，导致医疗收入减少，故完成值有偏差。下一步改进措施：一是今后</w:t>
      </w:r>
      <w:r>
        <w:rPr>
          <w:rFonts w:hint="eastAsia" w:ascii="仿宋_GB2312" w:hAnsi="仿宋_GB2312" w:eastAsia="仿宋_GB2312"/>
          <w:b w:val="0"/>
          <w:sz w:val="32"/>
          <w:lang w:eastAsia="zh-CN"/>
        </w:rPr>
        <w:t>本单位</w:t>
      </w:r>
      <w:r>
        <w:rPr>
          <w:rFonts w:ascii="仿宋_GB2312" w:hAnsi="仿宋_GB2312" w:eastAsia="仿宋_GB2312"/>
          <w:b w:val="0"/>
          <w:sz w:val="32"/>
        </w:rPr>
        <w:t>将根据年度工作计划和相关方案合理制定年度绩效目标值，对于有重大变更的工作及时调整目标，确保目标值对工作起到约束作用。二是在设定绩效指标时，要符合国家的政策导向，做好过程中监督检查、跟踪督导绩效管理。三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绩效人员水平。四是专门设定对绩效工作人员定职、定岗、</w:t>
      </w:r>
      <w:r>
        <w:rPr>
          <w:rFonts w:hint="eastAsia" w:ascii="仿宋_GB2312" w:hAnsi="仿宋_GB2312" w:eastAsia="仿宋_GB2312"/>
          <w:b w:val="0"/>
          <w:sz w:val="32"/>
          <w:lang w:eastAsia="zh-CN"/>
        </w:rPr>
        <w:t>定规</w:t>
      </w:r>
      <w:r>
        <w:rPr>
          <w:rFonts w:ascii="仿宋_GB2312" w:hAnsi="仿宋_GB2312" w:eastAsia="仿宋_GB2312"/>
          <w:b w:val="0"/>
          <w:sz w:val="32"/>
        </w:rPr>
        <w:t>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43D8C6E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3FC64EE">
        <w:tblPrEx>
          <w:tblCellMar>
            <w:top w:w="0" w:type="dxa"/>
            <w:left w:w="108" w:type="dxa"/>
            <w:bottom w:w="0" w:type="dxa"/>
            <w:right w:w="108" w:type="dxa"/>
          </w:tblCellMar>
        </w:tblPrEx>
        <w:tc>
          <w:tcPr>
            <w:tcW w:w="8840" w:type="dxa"/>
            <w:gridSpan w:val="8"/>
            <w:vAlign w:val="center"/>
          </w:tcPr>
          <w:p w14:paraId="48AA7A6D">
            <w:pPr>
              <w:jc w:val="center"/>
            </w:pPr>
            <w:r>
              <w:rPr>
                <w:rFonts w:ascii="宋体" w:hAnsi="宋体" w:eastAsia="宋体"/>
                <w:sz w:val="24"/>
              </w:rPr>
              <w:t>单位整体支出绩效自评表</w:t>
            </w:r>
          </w:p>
        </w:tc>
      </w:tr>
      <w:tr w14:paraId="6C0E4387">
        <w:tblPrEx>
          <w:tblCellMar>
            <w:top w:w="0" w:type="dxa"/>
            <w:left w:w="108" w:type="dxa"/>
            <w:bottom w:w="0" w:type="dxa"/>
            <w:right w:w="108" w:type="dxa"/>
          </w:tblCellMar>
        </w:tblPrEx>
        <w:tc>
          <w:tcPr>
            <w:tcW w:w="8840" w:type="dxa"/>
            <w:gridSpan w:val="8"/>
            <w:vAlign w:val="center"/>
          </w:tcPr>
          <w:p w14:paraId="532B20A6">
            <w:pPr>
              <w:jc w:val="center"/>
            </w:pPr>
            <w:r>
              <w:rPr>
                <w:rFonts w:ascii="宋体" w:hAnsi="宋体" w:eastAsia="宋体"/>
                <w:sz w:val="24"/>
              </w:rPr>
              <w:t>（2024年度）</w:t>
            </w:r>
          </w:p>
        </w:tc>
      </w:tr>
      <w:tr w14:paraId="4BAA39D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C83A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EE7DB">
            <w:pPr>
              <w:jc w:val="center"/>
            </w:pPr>
            <w:r>
              <w:rPr>
                <w:rFonts w:ascii="宋体" w:hAnsi="宋体" w:eastAsia="宋体"/>
                <w:sz w:val="16"/>
              </w:rPr>
              <w:t>轮台县人民医院</w:t>
            </w:r>
          </w:p>
        </w:tc>
      </w:tr>
      <w:tr w14:paraId="45F259A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4596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E14E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D6FC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E49E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CBA5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B217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0741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15718">
            <w:pPr>
              <w:jc w:val="center"/>
            </w:pPr>
            <w:r>
              <w:rPr>
                <w:rFonts w:ascii="宋体" w:hAnsi="宋体" w:eastAsia="宋体"/>
                <w:sz w:val="16"/>
              </w:rPr>
              <w:t>得分</w:t>
            </w:r>
          </w:p>
        </w:tc>
      </w:tr>
      <w:tr w14:paraId="3A22B8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5043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3294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768A7">
            <w:pPr>
              <w:jc w:val="center"/>
            </w:pPr>
            <w:r>
              <w:rPr>
                <w:rFonts w:ascii="宋体" w:hAnsi="宋体" w:eastAsia="宋体"/>
                <w:sz w:val="16"/>
              </w:rPr>
              <w:t>7,041.90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329BF">
            <w:pPr>
              <w:jc w:val="center"/>
            </w:pPr>
            <w:r>
              <w:rPr>
                <w:rFonts w:ascii="宋体" w:hAnsi="宋体" w:eastAsia="宋体"/>
                <w:sz w:val="16"/>
              </w:rPr>
              <w:t>18,853.26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3F3D6">
            <w:pPr>
              <w:jc w:val="center"/>
            </w:pPr>
            <w:r>
              <w:rPr>
                <w:rFonts w:ascii="宋体" w:hAnsi="宋体" w:eastAsia="宋体"/>
                <w:sz w:val="16"/>
              </w:rPr>
              <w:t>15,444.22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B5B0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AF9DC">
            <w:pPr>
              <w:jc w:val="center"/>
            </w:pPr>
            <w:r>
              <w:rPr>
                <w:rFonts w:ascii="宋体" w:hAnsi="宋体" w:eastAsia="宋体"/>
                <w:sz w:val="16"/>
              </w:rPr>
              <w:t>81.92%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09990">
            <w:pPr>
              <w:jc w:val="center"/>
            </w:pPr>
            <w:r>
              <w:rPr>
                <w:rFonts w:ascii="宋体" w:hAnsi="宋体" w:eastAsia="宋体"/>
                <w:sz w:val="16"/>
              </w:rPr>
              <w:t>8.19</w:t>
            </w:r>
          </w:p>
        </w:tc>
      </w:tr>
      <w:tr w14:paraId="4AF9B3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DD2B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0510D">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CBA59">
            <w:pPr>
              <w:jc w:val="center"/>
            </w:pPr>
            <w:r>
              <w:rPr>
                <w:rFonts w:ascii="宋体" w:hAnsi="宋体" w:eastAsia="宋体"/>
                <w:sz w:val="16"/>
              </w:rPr>
              <w:t>13.59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35285">
            <w:pPr>
              <w:jc w:val="center"/>
            </w:pPr>
            <w:r>
              <w:rPr>
                <w:rFonts w:ascii="宋体" w:hAnsi="宋体" w:eastAsia="宋体"/>
                <w:sz w:val="16"/>
              </w:rPr>
              <w:t>950.54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59700">
            <w:pPr>
              <w:jc w:val="center"/>
            </w:pPr>
            <w:r>
              <w:rPr>
                <w:rFonts w:ascii="宋体" w:hAnsi="宋体" w:eastAsia="宋体"/>
                <w:sz w:val="16"/>
              </w:rPr>
              <w:t>950.54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954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552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A0914">
            <w:pPr>
              <w:jc w:val="center"/>
            </w:pPr>
            <w:r>
              <w:rPr>
                <w:rFonts w:ascii="宋体" w:hAnsi="宋体" w:eastAsia="宋体"/>
                <w:sz w:val="16"/>
              </w:rPr>
              <w:t>-</w:t>
            </w:r>
          </w:p>
        </w:tc>
      </w:tr>
      <w:tr w14:paraId="3FD984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C81F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176D5">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42177">
            <w:pPr>
              <w:jc w:val="center"/>
            </w:pPr>
            <w:r>
              <w:rPr>
                <w:rFonts w:ascii="宋体" w:hAnsi="宋体" w:eastAsia="宋体"/>
                <w:sz w:val="16"/>
              </w:rPr>
              <w:t>7,028.31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CE513">
            <w:pPr>
              <w:jc w:val="center"/>
            </w:pPr>
            <w:r>
              <w:rPr>
                <w:rFonts w:ascii="宋体" w:hAnsi="宋体" w:eastAsia="宋体"/>
                <w:sz w:val="16"/>
              </w:rPr>
              <w:t>2,597.65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E8BD8">
            <w:pPr>
              <w:jc w:val="center"/>
            </w:pPr>
            <w:r>
              <w:rPr>
                <w:rFonts w:ascii="宋体" w:hAnsi="宋体" w:eastAsia="宋体"/>
                <w:sz w:val="16"/>
              </w:rPr>
              <w:t>2,597.65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D03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C14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429F7">
            <w:pPr>
              <w:jc w:val="center"/>
            </w:pPr>
            <w:r>
              <w:rPr>
                <w:rFonts w:ascii="宋体" w:hAnsi="宋体" w:eastAsia="宋体"/>
                <w:sz w:val="16"/>
              </w:rPr>
              <w:t>-</w:t>
            </w:r>
          </w:p>
        </w:tc>
      </w:tr>
      <w:tr w14:paraId="0E2DA3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0A5C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87466">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3FE2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C4F06">
            <w:pPr>
              <w:jc w:val="center"/>
            </w:pPr>
            <w:r>
              <w:rPr>
                <w:rFonts w:ascii="宋体" w:hAnsi="宋体" w:eastAsia="宋体"/>
                <w:sz w:val="16"/>
              </w:rPr>
              <w:t>15,305.07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B0FA4">
            <w:pPr>
              <w:jc w:val="center"/>
            </w:pPr>
            <w:r>
              <w:rPr>
                <w:rFonts w:ascii="宋体" w:hAnsi="宋体" w:eastAsia="宋体"/>
                <w:sz w:val="16"/>
              </w:rPr>
              <w:t>11,896.03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E67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285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6BDF9">
            <w:pPr>
              <w:jc w:val="center"/>
            </w:pPr>
            <w:r>
              <w:rPr>
                <w:rFonts w:ascii="宋体" w:hAnsi="宋体" w:eastAsia="宋体"/>
                <w:sz w:val="16"/>
              </w:rPr>
              <w:t>-</w:t>
            </w:r>
          </w:p>
        </w:tc>
      </w:tr>
      <w:tr w14:paraId="33EB4BA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9BF7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920A7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14FE20">
            <w:pPr>
              <w:jc w:val="center"/>
            </w:pPr>
            <w:r>
              <w:rPr>
                <w:rFonts w:ascii="宋体" w:hAnsi="宋体" w:eastAsia="宋体"/>
                <w:sz w:val="16"/>
              </w:rPr>
              <w:t>实际完成情况</w:t>
            </w:r>
          </w:p>
        </w:tc>
      </w:tr>
      <w:tr w14:paraId="7E16C8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A26C9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74E19C">
            <w:pPr>
              <w:jc w:val="both"/>
            </w:pPr>
            <w:r>
              <w:rPr>
                <w:rFonts w:ascii="宋体" w:hAnsi="宋体" w:eastAsia="宋体"/>
                <w:sz w:val="16"/>
              </w:rPr>
              <w:t>1、持续深化医疗卫生体制改革，加快提升医院综合实力及可持续发展，公立医院医疗服务收入（不含药品、耗材、检查、化验）占医疗收入的比例达到30%以上，公立医院平均住院日控制在10天以内；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2、改善医疗服务质量和就医环境，提升公立医院服务能力，持续为群众提供医疗保障服务，预计接待门急诊人次达到173256次以上；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3、开展医院的医疗、康复等工作，持续为群众提供高质量的医疗保障服务，减少群众的经济负担，预计开展远程会诊640次以上，住院基本药物占比要超过50%；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4、完善医疗管理各项制度、规范医疗行为，提升医疗技术人员业务水平，确保医疗质量和医疗安全，临床路径入径率不低于45%，住院抗菌药物使用</w:t>
            </w:r>
            <w:r>
              <w:rPr>
                <w:rFonts w:hint="eastAsia" w:ascii="宋体" w:hAnsi="宋体"/>
                <w:sz w:val="16"/>
                <w:lang w:eastAsia="zh-CN"/>
              </w:rPr>
              <w:t>率不</w:t>
            </w:r>
            <w:r>
              <w:rPr>
                <w:rFonts w:ascii="宋体" w:hAnsi="宋体" w:eastAsia="宋体"/>
                <w:sz w:val="16"/>
              </w:rPr>
              <w:t>低于40%；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5、保障患者用药安全，药品不良事件上报超过120次以上；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6、提升医院服务能力，全方位为人民提供优质的医疗服务，患者满意度达到95%以上。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4C8472">
            <w:pPr>
              <w:jc w:val="both"/>
            </w:pPr>
            <w:r>
              <w:rPr>
                <w:rFonts w:ascii="宋体" w:hAnsi="宋体" w:eastAsia="宋体"/>
                <w:sz w:val="16"/>
              </w:rPr>
              <w:t>按照年度工作计划的要求，2024年已完成：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1、医疗卫生体制改革得到了持续的深化，同时提升了医院综合实力及可持续发展，公立医院医疗服务收入（不含药品、耗材、检查、化验）占医疗收入的比例为32.63%，公立医院平均住院日为6.42天；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2、医疗服务质量和就医环境得到了明显的改善，同时提升了公立医院服务能力，持续为群众提供了医疗保障服务，全年接待门急诊人次达到174427次；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3、日常开展了医院的医疗、康复等工作，持续为群众提供了高质量的医疗保障服务，减少了群众的经济负担，全年开展远程会诊648次，住院基本药物占比达到52.5%；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4、完善了医疗管理的各项制度、规范医疗行为，提升了医疗技术人员的业务水平，确保了医疗质量和医疗安全，全院临床路径入径率为46.95%，住院抗菌药物使用率为37.04%；</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5、保障了患者的用药安全，药品不良事件上报次数为127次；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6、提升了医院的服务能力，全方位为人民提供了优质的医疗服务，患者满意度为95.19%。</w:t>
            </w:r>
          </w:p>
        </w:tc>
      </w:tr>
      <w:tr w14:paraId="2E706D0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3B56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D916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F8E6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A5BF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9A09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42EA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080A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82300">
            <w:pPr>
              <w:jc w:val="center"/>
            </w:pPr>
            <w:r>
              <w:rPr>
                <w:rFonts w:ascii="宋体" w:hAnsi="宋体" w:eastAsia="宋体"/>
                <w:sz w:val="16"/>
              </w:rPr>
              <w:t>得分</w:t>
            </w:r>
          </w:p>
        </w:tc>
      </w:tr>
      <w:tr w14:paraId="7684D98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91B1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ECB3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42FA9">
            <w:pPr>
              <w:jc w:val="center"/>
            </w:pPr>
            <w:r>
              <w:rPr>
                <w:rFonts w:ascii="宋体" w:hAnsi="宋体" w:eastAsia="宋体"/>
                <w:sz w:val="16"/>
              </w:rPr>
              <w:t>药品不良事件上报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3702A">
            <w:pPr>
              <w:jc w:val="center"/>
            </w:pPr>
            <w:r>
              <w:rPr>
                <w:rFonts w:ascii="宋体" w:hAnsi="宋体" w:eastAsia="宋体"/>
                <w:sz w:val="16"/>
              </w:rPr>
              <w:t>&gt;=120次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009BD">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FCF6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9818D">
            <w:pPr>
              <w:jc w:val="center"/>
            </w:pPr>
            <w:r>
              <w:rPr>
                <w:rFonts w:ascii="宋体" w:hAnsi="宋体" w:eastAsia="宋体"/>
                <w:sz w:val="16"/>
              </w:rPr>
              <w:t>127次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B950E">
            <w:pPr>
              <w:jc w:val="center"/>
            </w:pPr>
            <w:r>
              <w:rPr>
                <w:rFonts w:ascii="宋体" w:hAnsi="宋体" w:eastAsia="宋体"/>
                <w:sz w:val="16"/>
              </w:rPr>
              <w:t>10</w:t>
            </w:r>
          </w:p>
        </w:tc>
      </w:tr>
      <w:tr w14:paraId="71A531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A1D32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75D7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E45B3">
            <w:pPr>
              <w:jc w:val="center"/>
            </w:pPr>
            <w:r>
              <w:rPr>
                <w:rFonts w:ascii="宋体" w:hAnsi="宋体" w:eastAsia="宋体"/>
                <w:sz w:val="16"/>
              </w:rPr>
              <w:t>住院抗菌药物使用率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38B13">
            <w:pPr>
              <w:jc w:val="center"/>
            </w:pPr>
            <w:r>
              <w:rPr>
                <w:rFonts w:ascii="宋体" w:hAnsi="宋体" w:eastAsia="宋体"/>
                <w:sz w:val="16"/>
              </w:rPr>
              <w:t>&lt;=40%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78847">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8EF1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70E9F">
            <w:pPr>
              <w:jc w:val="center"/>
            </w:pPr>
            <w:r>
              <w:rPr>
                <w:rFonts w:ascii="宋体" w:hAnsi="宋体" w:eastAsia="宋体"/>
                <w:sz w:val="16"/>
              </w:rPr>
              <w:t>37.04%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A1200">
            <w:pPr>
              <w:jc w:val="center"/>
            </w:pPr>
            <w:r>
              <w:rPr>
                <w:rFonts w:ascii="宋体" w:hAnsi="宋体" w:eastAsia="宋体"/>
                <w:sz w:val="16"/>
              </w:rPr>
              <w:t>10</w:t>
            </w:r>
          </w:p>
        </w:tc>
      </w:tr>
      <w:tr w14:paraId="2434D7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D212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AF63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80B88">
            <w:pPr>
              <w:jc w:val="center"/>
            </w:pPr>
            <w:r>
              <w:rPr>
                <w:rFonts w:ascii="宋体" w:hAnsi="宋体" w:eastAsia="宋体"/>
                <w:sz w:val="16"/>
              </w:rPr>
              <w:t>住院基本药物占比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D9C9D">
            <w:pPr>
              <w:jc w:val="center"/>
            </w:pPr>
            <w:r>
              <w:rPr>
                <w:rFonts w:ascii="宋体" w:hAnsi="宋体" w:eastAsia="宋体"/>
                <w:sz w:val="16"/>
              </w:rPr>
              <w:t>&gt;=50%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59BD2">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6805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01442">
            <w:pPr>
              <w:jc w:val="center"/>
            </w:pPr>
            <w:r>
              <w:rPr>
                <w:rFonts w:ascii="宋体" w:hAnsi="宋体" w:eastAsia="宋体"/>
                <w:sz w:val="16"/>
              </w:rPr>
              <w:t>52.5%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F74EB">
            <w:pPr>
              <w:jc w:val="center"/>
            </w:pPr>
            <w:r>
              <w:rPr>
                <w:rFonts w:ascii="宋体" w:hAnsi="宋体" w:eastAsia="宋体"/>
                <w:sz w:val="16"/>
              </w:rPr>
              <w:t>10</w:t>
            </w:r>
          </w:p>
        </w:tc>
      </w:tr>
      <w:tr w14:paraId="6FFA56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85AD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9A62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28B0C">
            <w:pPr>
              <w:jc w:val="center"/>
            </w:pPr>
            <w:r>
              <w:rPr>
                <w:rFonts w:ascii="宋体" w:hAnsi="宋体" w:eastAsia="宋体"/>
                <w:sz w:val="16"/>
              </w:rPr>
              <w:t>接待门急诊人次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6E1AB">
            <w:pPr>
              <w:jc w:val="center"/>
            </w:pPr>
            <w:r>
              <w:rPr>
                <w:rFonts w:ascii="宋体" w:hAnsi="宋体" w:eastAsia="宋体"/>
                <w:sz w:val="16"/>
              </w:rPr>
              <w:t>&gt;=173256次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AC256">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B71C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F98BF">
            <w:pPr>
              <w:jc w:val="center"/>
            </w:pPr>
            <w:r>
              <w:rPr>
                <w:rFonts w:ascii="宋体" w:hAnsi="宋体" w:eastAsia="宋体"/>
                <w:sz w:val="16"/>
              </w:rPr>
              <w:t>174427次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C07D5">
            <w:pPr>
              <w:jc w:val="center"/>
            </w:pPr>
            <w:r>
              <w:rPr>
                <w:rFonts w:ascii="宋体" w:hAnsi="宋体" w:eastAsia="宋体"/>
                <w:sz w:val="16"/>
              </w:rPr>
              <w:t>10</w:t>
            </w:r>
          </w:p>
        </w:tc>
      </w:tr>
      <w:tr w14:paraId="53F1F7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AFE7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810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0F4A5">
            <w:pPr>
              <w:jc w:val="center"/>
            </w:pPr>
            <w:r>
              <w:rPr>
                <w:rFonts w:ascii="宋体" w:hAnsi="宋体" w:eastAsia="宋体"/>
                <w:sz w:val="16"/>
              </w:rPr>
              <w:t>公立医院医疗服务收入（不含药品、耗材、检查、化验）占医疗收入的比例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73769">
            <w:pPr>
              <w:jc w:val="center"/>
            </w:pPr>
            <w:r>
              <w:rPr>
                <w:rFonts w:ascii="宋体" w:hAnsi="宋体" w:eastAsia="宋体"/>
                <w:sz w:val="16"/>
              </w:rPr>
              <w:t>&gt;=30%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7216F">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3C02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57B3F">
            <w:pPr>
              <w:jc w:val="center"/>
            </w:pPr>
            <w:r>
              <w:rPr>
                <w:rFonts w:ascii="宋体" w:hAnsi="宋体" w:eastAsia="宋体"/>
                <w:sz w:val="16"/>
              </w:rPr>
              <w:t>32.63%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271CA">
            <w:pPr>
              <w:jc w:val="center"/>
            </w:pPr>
            <w:r>
              <w:rPr>
                <w:rFonts w:ascii="宋体" w:hAnsi="宋体" w:eastAsia="宋体"/>
                <w:sz w:val="16"/>
              </w:rPr>
              <w:t>10</w:t>
            </w:r>
          </w:p>
        </w:tc>
      </w:tr>
      <w:tr w14:paraId="1C24A6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83D19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AE59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CDDA3">
            <w:pPr>
              <w:jc w:val="center"/>
            </w:pPr>
            <w:r>
              <w:rPr>
                <w:rFonts w:ascii="宋体" w:hAnsi="宋体" w:eastAsia="宋体"/>
                <w:sz w:val="16"/>
              </w:rPr>
              <w:t>开展远程会诊次数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754CD">
            <w:pPr>
              <w:jc w:val="center"/>
            </w:pPr>
            <w:r>
              <w:rPr>
                <w:rFonts w:ascii="宋体" w:hAnsi="宋体" w:eastAsia="宋体"/>
                <w:sz w:val="16"/>
              </w:rPr>
              <w:t>&gt;=640次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D5CA2">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36D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5FB4B">
            <w:pPr>
              <w:jc w:val="center"/>
            </w:pPr>
            <w:r>
              <w:rPr>
                <w:rFonts w:ascii="宋体" w:hAnsi="宋体" w:eastAsia="宋体"/>
                <w:sz w:val="16"/>
              </w:rPr>
              <w:t>648次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305E4">
            <w:pPr>
              <w:jc w:val="center"/>
            </w:pPr>
            <w:r>
              <w:rPr>
                <w:rFonts w:ascii="宋体" w:hAnsi="宋体" w:eastAsia="宋体"/>
                <w:sz w:val="16"/>
              </w:rPr>
              <w:t>10</w:t>
            </w:r>
          </w:p>
        </w:tc>
      </w:tr>
      <w:tr w14:paraId="23C0CD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8622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2F72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DE2B9">
            <w:pPr>
              <w:jc w:val="center"/>
            </w:pPr>
            <w:r>
              <w:rPr>
                <w:rFonts w:ascii="宋体" w:hAnsi="宋体" w:eastAsia="宋体"/>
                <w:sz w:val="16"/>
              </w:rPr>
              <w:t>公立医院平均住院日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3BE43">
            <w:pPr>
              <w:jc w:val="center"/>
            </w:pPr>
            <w:r>
              <w:rPr>
                <w:rFonts w:ascii="宋体" w:hAnsi="宋体" w:eastAsia="宋体"/>
                <w:sz w:val="16"/>
              </w:rPr>
              <w:t>&lt;=10天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FDBE4">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2801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F64ED">
            <w:pPr>
              <w:jc w:val="center"/>
            </w:pPr>
            <w:r>
              <w:rPr>
                <w:rFonts w:ascii="宋体" w:hAnsi="宋体" w:eastAsia="宋体"/>
                <w:sz w:val="16"/>
              </w:rPr>
              <w:t>6.42天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55CD3">
            <w:pPr>
              <w:jc w:val="center"/>
            </w:pPr>
            <w:r>
              <w:rPr>
                <w:rFonts w:ascii="宋体" w:hAnsi="宋体" w:eastAsia="宋体"/>
                <w:sz w:val="16"/>
              </w:rPr>
              <w:t>10</w:t>
            </w:r>
          </w:p>
        </w:tc>
      </w:tr>
      <w:tr w14:paraId="58E81A0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45C3D">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E435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D3744">
            <w:pPr>
              <w:jc w:val="center"/>
            </w:pPr>
            <w:r>
              <w:rPr>
                <w:rFonts w:ascii="宋体" w:hAnsi="宋体" w:eastAsia="宋体"/>
                <w:sz w:val="16"/>
              </w:rPr>
              <w:t>临床路径入径率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F09C2">
            <w:pPr>
              <w:jc w:val="center"/>
            </w:pPr>
            <w:r>
              <w:rPr>
                <w:rFonts w:ascii="宋体" w:hAnsi="宋体" w:eastAsia="宋体"/>
                <w:sz w:val="16"/>
              </w:rPr>
              <w:t>&gt;=45%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3F539">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2548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F694E">
            <w:pPr>
              <w:jc w:val="center"/>
            </w:pPr>
            <w:r>
              <w:rPr>
                <w:rFonts w:ascii="宋体" w:hAnsi="宋体" w:eastAsia="宋体"/>
                <w:sz w:val="16"/>
              </w:rPr>
              <w:t>46.95%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B3CCE">
            <w:pPr>
              <w:jc w:val="center"/>
            </w:pPr>
            <w:r>
              <w:rPr>
                <w:rFonts w:ascii="宋体" w:hAnsi="宋体" w:eastAsia="宋体"/>
                <w:sz w:val="16"/>
              </w:rPr>
              <w:t>10</w:t>
            </w:r>
          </w:p>
        </w:tc>
      </w:tr>
      <w:tr w14:paraId="6BF19E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88537">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5ABB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06C12">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9951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C9D71">
            <w:pPr>
              <w:jc w:val="center"/>
            </w:pPr>
            <w:r>
              <w:rPr>
                <w:rFonts w:ascii="宋体" w:hAnsi="宋体" w:eastAsia="宋体"/>
                <w:sz w:val="16"/>
              </w:rPr>
              <w:t>医院重点工作计划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77A7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EAD26">
            <w:pPr>
              <w:jc w:val="center"/>
            </w:pPr>
            <w:r>
              <w:rPr>
                <w:rFonts w:ascii="宋体" w:hAnsi="宋体" w:eastAsia="宋体"/>
                <w:sz w:val="16"/>
              </w:rPr>
              <w:t>95.19%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6798A">
            <w:pPr>
              <w:jc w:val="center"/>
            </w:pPr>
            <w:r>
              <w:rPr>
                <w:rFonts w:ascii="宋体" w:hAnsi="宋体" w:eastAsia="宋体"/>
                <w:sz w:val="16"/>
              </w:rPr>
              <w:t>10</w:t>
            </w:r>
          </w:p>
        </w:tc>
      </w:tr>
    </w:tbl>
    <w:p w14:paraId="28988F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E4F21DA">
        <w:tblPrEx>
          <w:tblCellMar>
            <w:top w:w="0" w:type="dxa"/>
            <w:left w:w="108" w:type="dxa"/>
            <w:bottom w:w="0" w:type="dxa"/>
            <w:right w:w="108" w:type="dxa"/>
          </w:tblCellMar>
        </w:tblPrEx>
        <w:tc>
          <w:tcPr>
            <w:tcW w:w="8848" w:type="dxa"/>
            <w:gridSpan w:val="14"/>
            <w:vAlign w:val="center"/>
          </w:tcPr>
          <w:p w14:paraId="7E530568">
            <w:pPr>
              <w:jc w:val="center"/>
            </w:pPr>
            <w:r>
              <w:rPr>
                <w:rFonts w:ascii="宋体" w:hAnsi="宋体" w:eastAsia="宋体"/>
                <w:sz w:val="24"/>
              </w:rPr>
              <w:t>项目支出绩效自评表</w:t>
            </w:r>
          </w:p>
        </w:tc>
      </w:tr>
      <w:tr w14:paraId="2559EBC6">
        <w:tblPrEx>
          <w:tblCellMar>
            <w:top w:w="0" w:type="dxa"/>
            <w:left w:w="108" w:type="dxa"/>
            <w:bottom w:w="0" w:type="dxa"/>
            <w:right w:w="108" w:type="dxa"/>
          </w:tblCellMar>
        </w:tblPrEx>
        <w:tc>
          <w:tcPr>
            <w:tcW w:w="8848" w:type="dxa"/>
            <w:gridSpan w:val="14"/>
            <w:vAlign w:val="center"/>
          </w:tcPr>
          <w:p w14:paraId="612B19E0">
            <w:pPr>
              <w:jc w:val="center"/>
            </w:pPr>
            <w:r>
              <w:rPr>
                <w:rFonts w:ascii="宋体" w:hAnsi="宋体" w:eastAsia="宋体"/>
                <w:sz w:val="24"/>
              </w:rPr>
              <w:t>(2024年度)</w:t>
            </w:r>
          </w:p>
        </w:tc>
      </w:tr>
      <w:tr w14:paraId="6B9CEA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12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30EF98">
            <w:pPr>
              <w:jc w:val="center"/>
            </w:pPr>
            <w:r>
              <w:rPr>
                <w:rFonts w:ascii="宋体" w:hAnsi="宋体" w:eastAsia="宋体"/>
                <w:sz w:val="16"/>
              </w:rPr>
              <w:t>县人民医院：巴财行</w:t>
            </w:r>
            <w:r>
              <w:rPr>
                <w:rFonts w:hint="eastAsia" w:ascii="宋体" w:hAnsi="宋体"/>
                <w:sz w:val="16"/>
                <w:lang w:eastAsia="zh-CN"/>
              </w:rPr>
              <w:t>〔2023〕37号</w:t>
            </w:r>
            <w:r>
              <w:rPr>
                <w:rFonts w:ascii="宋体" w:hAnsi="宋体" w:eastAsia="宋体"/>
                <w:sz w:val="16"/>
              </w:rPr>
              <w:t>关于下达自治州“五个好”党支部示范点补助经费的通知</w:t>
            </w:r>
          </w:p>
        </w:tc>
      </w:tr>
      <w:tr w14:paraId="37F92D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DF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1AB28">
            <w:pPr>
              <w:jc w:val="center"/>
            </w:pPr>
            <w:r>
              <w:rPr>
                <w:rFonts w:ascii="宋体" w:hAnsi="宋体" w:eastAsia="宋体"/>
                <w:sz w:val="16"/>
              </w:rPr>
              <w:t>新疆轮台县人民医院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42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2D1976">
            <w:pPr>
              <w:jc w:val="center"/>
            </w:pPr>
            <w:r>
              <w:rPr>
                <w:rFonts w:ascii="宋体" w:hAnsi="宋体" w:eastAsia="宋体"/>
                <w:sz w:val="16"/>
              </w:rPr>
              <w:t>轮台县人民医院</w:t>
            </w:r>
          </w:p>
        </w:tc>
      </w:tr>
      <w:tr w14:paraId="063A0D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699F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549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D2B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16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837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473B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C4A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5FBF">
            <w:pPr>
              <w:jc w:val="center"/>
            </w:pPr>
            <w:r>
              <w:rPr>
                <w:rFonts w:ascii="宋体" w:hAnsi="宋体" w:eastAsia="宋体"/>
                <w:sz w:val="16"/>
              </w:rPr>
              <w:t>得分</w:t>
            </w:r>
          </w:p>
        </w:tc>
      </w:tr>
      <w:tr w14:paraId="510E52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200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1A5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E5E0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AD03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DC6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F1B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4D9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932D">
            <w:pPr>
              <w:jc w:val="center"/>
            </w:pPr>
            <w:r>
              <w:rPr>
                <w:rFonts w:ascii="宋体" w:hAnsi="宋体" w:eastAsia="宋体"/>
                <w:sz w:val="16"/>
              </w:rPr>
              <w:t>10.00</w:t>
            </w:r>
          </w:p>
        </w:tc>
      </w:tr>
      <w:tr w14:paraId="40721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938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D6C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FAB9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399F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C40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2BE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823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3ADD">
            <w:pPr>
              <w:jc w:val="center"/>
            </w:pPr>
            <w:r>
              <w:rPr>
                <w:rFonts w:ascii="宋体" w:hAnsi="宋体" w:eastAsia="宋体"/>
                <w:sz w:val="16"/>
              </w:rPr>
              <w:t>-</w:t>
            </w:r>
          </w:p>
        </w:tc>
      </w:tr>
      <w:tr w14:paraId="2C138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93F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988C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CDE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B07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809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14F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BBE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905C">
            <w:pPr>
              <w:jc w:val="center"/>
            </w:pPr>
            <w:r>
              <w:rPr>
                <w:rFonts w:ascii="宋体" w:hAnsi="宋体" w:eastAsia="宋体"/>
                <w:sz w:val="16"/>
              </w:rPr>
              <w:t>-</w:t>
            </w:r>
          </w:p>
        </w:tc>
      </w:tr>
      <w:tr w14:paraId="0B052F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8FB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C390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97ED80">
            <w:pPr>
              <w:jc w:val="center"/>
            </w:pPr>
            <w:r>
              <w:rPr>
                <w:rFonts w:ascii="宋体" w:hAnsi="宋体" w:eastAsia="宋体"/>
                <w:sz w:val="16"/>
              </w:rPr>
              <w:t>总体目标完成情况</w:t>
            </w:r>
          </w:p>
        </w:tc>
      </w:tr>
      <w:tr w14:paraId="5361F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AAB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16ED3">
            <w:pPr>
              <w:jc w:val="both"/>
            </w:pPr>
            <w:r>
              <w:rPr>
                <w:rFonts w:ascii="宋体" w:hAnsi="宋体" w:eastAsia="宋体"/>
                <w:sz w:val="16"/>
              </w:rPr>
              <w:t>围绕“建设一个好班子、造就一支好队伍、健全一套好制度、形成一种好作风、争创一流好业绩”的总目标：</w:t>
            </w:r>
            <w:r>
              <w:rPr>
                <w:rFonts w:ascii="宋体" w:hAnsi="宋体" w:eastAsia="宋体"/>
                <w:sz w:val="16"/>
              </w:rPr>
              <w:br w:type="textWrapping"/>
            </w:r>
            <w:r>
              <w:rPr>
                <w:rFonts w:ascii="宋体" w:hAnsi="宋体" w:eastAsia="宋体"/>
                <w:sz w:val="16"/>
              </w:rPr>
              <w:t>目标1：针对党建宣传工作制作广告宣传牌1批。进一步加强支部建设，努力发挥支部战斗堡垒作用、党员先锋模范作用，推动各支部党建宣传工作的开展。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78157D">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围绕“建设一个好班子、造就一支好队伍、健全一套好制度、形成一种好作风、争创一流好业绩”的总目标开展了相关的党建工作，针对党建宣传和支部建设工作制作了广告宣传牌1批，政府采购率、宣传牌验收合格率及宣传牌利用率均为100%，进一步加强了各支部的建设，发挥了支部战斗堡垒和</w:t>
            </w:r>
            <w:r>
              <w:rPr>
                <w:rFonts w:hint="eastAsia" w:ascii="宋体" w:hAnsi="宋体"/>
                <w:sz w:val="16"/>
                <w:lang w:eastAsia="zh-CN"/>
              </w:rPr>
              <w:t>党员先锋模范作用</w:t>
            </w:r>
            <w:r>
              <w:rPr>
                <w:rFonts w:ascii="宋体" w:hAnsi="宋体" w:eastAsia="宋体"/>
                <w:sz w:val="16"/>
              </w:rPr>
              <w:t>，推动了各支部党建宣传工作的开展，已完成了自治州“五个好”党支部示范点建设的目标内容。</w:t>
            </w:r>
          </w:p>
        </w:tc>
      </w:tr>
      <w:tr w14:paraId="61A213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727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38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1E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13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C9D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2C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D6E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DE9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1CC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D1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32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88A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AC9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B9AA">
            <w:pPr>
              <w:jc w:val="center"/>
            </w:pPr>
            <w:r>
              <w:rPr>
                <w:rFonts w:ascii="宋体" w:hAnsi="宋体" w:eastAsia="宋体"/>
                <w:sz w:val="16"/>
              </w:rPr>
              <w:t>偏差原因分析及改进措施</w:t>
            </w:r>
          </w:p>
        </w:tc>
      </w:tr>
      <w:tr w14:paraId="5D69A1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A78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DCB9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29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3E72">
            <w:pPr>
              <w:jc w:val="center"/>
            </w:pPr>
            <w:r>
              <w:rPr>
                <w:rFonts w:ascii="宋体" w:hAnsi="宋体" w:eastAsia="宋体"/>
                <w:sz w:val="16"/>
              </w:rPr>
              <w:t>采购广告宣传牌数量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EC55">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2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D3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F4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7F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BC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33A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2E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5F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74E9">
            <w:pPr>
              <w:jc w:val="center"/>
            </w:pPr>
          </w:p>
        </w:tc>
      </w:tr>
      <w:tr w14:paraId="0EC48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12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E05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1E4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FF3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C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2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ED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70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A0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15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A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7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5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90FA">
            <w:pPr>
              <w:jc w:val="center"/>
            </w:pPr>
          </w:p>
        </w:tc>
      </w:tr>
      <w:tr w14:paraId="10FFE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A2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8E4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005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DE62">
            <w:pPr>
              <w:jc w:val="center"/>
            </w:pPr>
            <w:r>
              <w:rPr>
                <w:rFonts w:ascii="宋体" w:hAnsi="宋体" w:eastAsia="宋体"/>
                <w:sz w:val="16"/>
              </w:rPr>
              <w:t>广告宣传牌验收合格率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F9EE">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8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4F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E3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F5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77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8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C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D8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E6A5">
            <w:pPr>
              <w:jc w:val="center"/>
            </w:pPr>
          </w:p>
        </w:tc>
      </w:tr>
      <w:tr w14:paraId="5C31C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BA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D4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E6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51BD">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A642">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C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6D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49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FE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E7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EA32">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0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E7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4636">
            <w:pPr>
              <w:jc w:val="center"/>
            </w:pPr>
          </w:p>
        </w:tc>
      </w:tr>
      <w:tr w14:paraId="5F57F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F5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0A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5B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DF4A">
            <w:pPr>
              <w:jc w:val="center"/>
            </w:pPr>
            <w:r>
              <w:rPr>
                <w:rFonts w:ascii="宋体" w:hAnsi="宋体" w:eastAsia="宋体"/>
                <w:sz w:val="16"/>
              </w:rPr>
              <w:t>党支部示范点广告宣传制作费用成本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7FD5">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6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5A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C1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48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9B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307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6E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DC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76A1">
            <w:pPr>
              <w:jc w:val="center"/>
            </w:pPr>
          </w:p>
        </w:tc>
      </w:tr>
      <w:tr w14:paraId="65867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1B0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6DE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A43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8C96">
            <w:pPr>
              <w:jc w:val="center"/>
            </w:pPr>
            <w:r>
              <w:rPr>
                <w:rFonts w:ascii="宋体" w:hAnsi="宋体" w:eastAsia="宋体"/>
                <w:sz w:val="16"/>
              </w:rPr>
              <w:t>广告宣传牌利用率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5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78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AD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44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23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32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F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CC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6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0913">
            <w:pPr>
              <w:jc w:val="center"/>
            </w:pPr>
          </w:p>
        </w:tc>
      </w:tr>
      <w:tr w14:paraId="4A384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D6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95C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21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CE4B">
            <w:pPr>
              <w:jc w:val="center"/>
            </w:pPr>
            <w:r>
              <w:rPr>
                <w:rFonts w:ascii="宋体" w:hAnsi="宋体" w:eastAsia="宋体"/>
                <w:sz w:val="16"/>
              </w:rPr>
              <w:t>推动各支部党建宣传工作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44E4">
            <w:pPr>
              <w:jc w:val="center"/>
            </w:pPr>
            <w:r>
              <w:rPr>
                <w:rFonts w:ascii="宋体" w:hAnsi="宋体" w:eastAsia="宋体"/>
                <w:sz w:val="16"/>
              </w:rPr>
              <w:t>持续推动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80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BF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0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F6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D71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4CA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6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F4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4368">
            <w:pPr>
              <w:jc w:val="center"/>
            </w:pPr>
          </w:p>
        </w:tc>
      </w:tr>
      <w:tr w14:paraId="75DE6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4F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E8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19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9DE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DA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0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5A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00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DA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FA5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0D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E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33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939E">
            <w:pPr>
              <w:jc w:val="center"/>
            </w:pPr>
          </w:p>
        </w:tc>
      </w:tr>
      <w:tr w14:paraId="4E0FEF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7D2A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1FCF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E415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E0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6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DCA3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A5FE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3391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2BF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CD2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456863"/>
        </w:tc>
      </w:tr>
    </w:tbl>
    <w:p w14:paraId="7E2BBBE0">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3"/>
        <w:gridCol w:w="631"/>
        <w:gridCol w:w="623"/>
        <w:gridCol w:w="623"/>
        <w:gridCol w:w="626"/>
        <w:gridCol w:w="623"/>
        <w:gridCol w:w="623"/>
        <w:gridCol w:w="776"/>
        <w:gridCol w:w="776"/>
        <w:gridCol w:w="631"/>
        <w:gridCol w:w="631"/>
      </w:tblGrid>
      <w:tr w14:paraId="73F29252">
        <w:tblPrEx>
          <w:tblCellMar>
            <w:top w:w="0" w:type="dxa"/>
            <w:left w:w="108" w:type="dxa"/>
            <w:bottom w:w="0" w:type="dxa"/>
            <w:right w:w="108" w:type="dxa"/>
          </w:tblCellMar>
        </w:tblPrEx>
        <w:tc>
          <w:tcPr>
            <w:tcW w:w="8848" w:type="dxa"/>
            <w:gridSpan w:val="14"/>
            <w:vAlign w:val="center"/>
          </w:tcPr>
          <w:p w14:paraId="1F848B13">
            <w:pPr>
              <w:jc w:val="center"/>
            </w:pPr>
            <w:r>
              <w:rPr>
                <w:rFonts w:ascii="宋体" w:hAnsi="宋体" w:eastAsia="宋体"/>
                <w:sz w:val="24"/>
              </w:rPr>
              <w:t>项目支出绩效自评表</w:t>
            </w:r>
          </w:p>
        </w:tc>
      </w:tr>
      <w:tr w14:paraId="01293994">
        <w:tblPrEx>
          <w:tblCellMar>
            <w:top w:w="0" w:type="dxa"/>
            <w:left w:w="108" w:type="dxa"/>
            <w:bottom w:w="0" w:type="dxa"/>
            <w:right w:w="108" w:type="dxa"/>
          </w:tblCellMar>
        </w:tblPrEx>
        <w:tc>
          <w:tcPr>
            <w:tcW w:w="8848" w:type="dxa"/>
            <w:gridSpan w:val="14"/>
            <w:vAlign w:val="center"/>
          </w:tcPr>
          <w:p w14:paraId="682E3A95">
            <w:pPr>
              <w:jc w:val="center"/>
            </w:pPr>
            <w:r>
              <w:rPr>
                <w:rFonts w:ascii="宋体" w:hAnsi="宋体" w:eastAsia="宋体"/>
                <w:sz w:val="24"/>
              </w:rPr>
              <w:t>(2024年度)</w:t>
            </w:r>
          </w:p>
        </w:tc>
      </w:tr>
      <w:tr w14:paraId="540C0B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02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FE1541">
            <w:pPr>
              <w:jc w:val="center"/>
            </w:pPr>
            <w:r>
              <w:rPr>
                <w:rFonts w:ascii="宋体" w:hAnsi="宋体" w:eastAsia="宋体"/>
                <w:sz w:val="16"/>
              </w:rPr>
              <w:t>县医院：巴财行</w:t>
            </w:r>
            <w:r>
              <w:rPr>
                <w:rFonts w:hint="eastAsia" w:ascii="宋体" w:hAnsi="宋体"/>
                <w:sz w:val="16"/>
                <w:lang w:eastAsia="zh-CN"/>
              </w:rPr>
              <w:t>〔2024〕2号</w:t>
            </w:r>
            <w:r>
              <w:rPr>
                <w:rFonts w:ascii="宋体" w:hAnsi="宋体" w:eastAsia="宋体"/>
                <w:sz w:val="16"/>
              </w:rPr>
              <w:t>关于拨付新疆人才发展基金2024年第一轮支持资金的通知</w:t>
            </w:r>
          </w:p>
        </w:tc>
      </w:tr>
      <w:tr w14:paraId="1A4F30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EB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790D3">
            <w:pPr>
              <w:jc w:val="center"/>
            </w:pPr>
            <w:r>
              <w:rPr>
                <w:rFonts w:ascii="宋体" w:hAnsi="宋体" w:eastAsia="宋体"/>
                <w:sz w:val="16"/>
              </w:rPr>
              <w:t>新疆轮台县人民医院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83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D4761B">
            <w:pPr>
              <w:jc w:val="center"/>
            </w:pPr>
            <w:r>
              <w:rPr>
                <w:rFonts w:ascii="宋体" w:hAnsi="宋体" w:eastAsia="宋体"/>
                <w:sz w:val="16"/>
              </w:rPr>
              <w:t>轮台县人民医院</w:t>
            </w:r>
          </w:p>
        </w:tc>
      </w:tr>
      <w:tr w14:paraId="363482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7994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865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AE9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D4B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CB0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DE51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931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2D7E">
            <w:pPr>
              <w:jc w:val="center"/>
            </w:pPr>
            <w:r>
              <w:rPr>
                <w:rFonts w:ascii="宋体" w:hAnsi="宋体" w:eastAsia="宋体"/>
                <w:sz w:val="16"/>
              </w:rPr>
              <w:t>得分</w:t>
            </w:r>
          </w:p>
        </w:tc>
      </w:tr>
      <w:tr w14:paraId="7D6B38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2C4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5A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500F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278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90D8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023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57B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6E45">
            <w:pPr>
              <w:jc w:val="center"/>
            </w:pPr>
            <w:r>
              <w:rPr>
                <w:rFonts w:ascii="宋体" w:hAnsi="宋体" w:eastAsia="宋体"/>
                <w:sz w:val="16"/>
              </w:rPr>
              <w:t>10.00</w:t>
            </w:r>
          </w:p>
        </w:tc>
      </w:tr>
      <w:tr w14:paraId="0AB45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42F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96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C809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4F57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D58D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0EC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5F1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6361">
            <w:pPr>
              <w:jc w:val="center"/>
            </w:pPr>
            <w:r>
              <w:rPr>
                <w:rFonts w:ascii="宋体" w:hAnsi="宋体" w:eastAsia="宋体"/>
                <w:sz w:val="16"/>
              </w:rPr>
              <w:t>-</w:t>
            </w:r>
          </w:p>
        </w:tc>
      </w:tr>
      <w:tr w14:paraId="16D44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72A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5B51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B6D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9E6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A0F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067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285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2763">
            <w:pPr>
              <w:jc w:val="center"/>
            </w:pPr>
            <w:r>
              <w:rPr>
                <w:rFonts w:ascii="宋体" w:hAnsi="宋体" w:eastAsia="宋体"/>
                <w:sz w:val="16"/>
              </w:rPr>
              <w:t>-</w:t>
            </w:r>
          </w:p>
        </w:tc>
      </w:tr>
      <w:tr w14:paraId="0F7D59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AFC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C10EF">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107278">
            <w:pPr>
              <w:jc w:val="center"/>
            </w:pPr>
            <w:r>
              <w:rPr>
                <w:rFonts w:ascii="宋体" w:hAnsi="宋体" w:eastAsia="宋体"/>
                <w:sz w:val="16"/>
              </w:rPr>
              <w:t>总体目标完成情况</w:t>
            </w:r>
          </w:p>
        </w:tc>
      </w:tr>
      <w:tr w14:paraId="152B9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A19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0EA8E6">
            <w:pPr>
              <w:jc w:val="both"/>
            </w:pPr>
            <w:r>
              <w:rPr>
                <w:rFonts w:ascii="宋体" w:hAnsi="宋体" w:eastAsia="宋体"/>
                <w:sz w:val="16"/>
              </w:rPr>
              <w:t>目标1：计划引进河北援疆医疗专家36人，充分发挥“组团式”援疆医疗团队优势，以加强临床重点专科建设和打造永不走的医疗人才队伍为抓手，着力提升医院管理水平和诊疗能力，构建功能完善的健康服务体系，提升医院医疗服务水平；</w:t>
            </w:r>
            <w:r>
              <w:rPr>
                <w:rFonts w:ascii="宋体" w:hAnsi="宋体" w:eastAsia="宋体"/>
                <w:sz w:val="16"/>
              </w:rPr>
              <w:br w:type="textWrapping"/>
            </w:r>
            <w:r>
              <w:rPr>
                <w:rFonts w:ascii="宋体" w:hAnsi="宋体" w:eastAsia="宋体"/>
                <w:sz w:val="16"/>
              </w:rPr>
              <w:t>目标2：计划派遣骨干赴河北进修42人，不断提高县医院诊疗水平，为建设健康轮台、增进人民健康福祉提供更加有力保障。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14AD32">
            <w:pPr>
              <w:jc w:val="both"/>
            </w:pPr>
            <w:r>
              <w:rPr>
                <w:rFonts w:hint="eastAsia" w:ascii="宋体" w:hAnsi="宋体"/>
                <w:sz w:val="16"/>
                <w:lang w:eastAsia="zh-CN"/>
              </w:rPr>
              <w:t>1.</w:t>
            </w:r>
            <w:r>
              <w:rPr>
                <w:rFonts w:ascii="宋体" w:hAnsi="宋体" w:eastAsia="宋体"/>
                <w:sz w:val="16"/>
              </w:rPr>
              <w:t>已完成引进河北援疆医疗专家36人，充分发挥“组团式”援疆医疗团队优势，以加强临床重点专科建设和打造永不走的医疗人才队伍为抓手，着力提升医院管理水平和诊疗能力，构建功能完善的健康服务体系；</w:t>
            </w:r>
            <w:r>
              <w:rPr>
                <w:rFonts w:ascii="宋体" w:hAnsi="宋体" w:eastAsia="宋体"/>
                <w:sz w:val="16"/>
              </w:rPr>
              <w:br w:type="textWrapping"/>
            </w:r>
            <w:r>
              <w:rPr>
                <w:rFonts w:ascii="宋体" w:hAnsi="宋体" w:eastAsia="宋体"/>
                <w:sz w:val="16"/>
              </w:rPr>
              <w:t>2：已完成派遣骨干赴河北进修46人，不断提升我县整体医疗卫生水平，为建设健康轮台、增进人民健康福祉提供更加有力保障。</w:t>
            </w:r>
          </w:p>
        </w:tc>
      </w:tr>
      <w:tr w14:paraId="7A6F9F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62A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31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52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AC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80F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A8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ACE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955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D5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77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DEA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8C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113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5594">
            <w:pPr>
              <w:jc w:val="center"/>
            </w:pPr>
            <w:r>
              <w:rPr>
                <w:rFonts w:ascii="宋体" w:hAnsi="宋体" w:eastAsia="宋体"/>
                <w:sz w:val="16"/>
              </w:rPr>
              <w:t>偏差原因分析及改进措施</w:t>
            </w:r>
          </w:p>
        </w:tc>
      </w:tr>
      <w:tr w14:paraId="1235EA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9A7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926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1A1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1BF0">
            <w:pPr>
              <w:jc w:val="center"/>
            </w:pPr>
            <w:r>
              <w:rPr>
                <w:rFonts w:ascii="宋体" w:hAnsi="宋体" w:eastAsia="宋体"/>
                <w:sz w:val="16"/>
              </w:rPr>
              <w:t>引进河北援疆医疗专家人数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EFE9">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6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DC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6C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B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8C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C552">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8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F1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C634">
            <w:pPr>
              <w:jc w:val="center"/>
            </w:pPr>
          </w:p>
        </w:tc>
      </w:tr>
      <w:tr w14:paraId="1804E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2E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C9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F5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B58B">
            <w:pPr>
              <w:jc w:val="center"/>
            </w:pPr>
            <w:r>
              <w:rPr>
                <w:rFonts w:ascii="宋体" w:hAnsi="宋体" w:eastAsia="宋体"/>
                <w:sz w:val="16"/>
              </w:rPr>
              <w:t>派遣骨干赴河北进修人数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445B">
            <w:pPr>
              <w:jc w:val="center"/>
            </w:pPr>
            <w:r>
              <w:rPr>
                <w:rFonts w:ascii="宋体" w:hAnsi="宋体" w:eastAsia="宋体"/>
                <w:sz w:val="16"/>
              </w:rPr>
              <w:t>&gt;=42人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0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1C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55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2A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5A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4ADE">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DBA9">
            <w:pPr>
              <w:jc w:val="center"/>
            </w:pPr>
            <w:r>
              <w:rPr>
                <w:rFonts w:ascii="宋体" w:hAnsi="宋体" w:eastAsia="宋体"/>
                <w:sz w:val="16"/>
              </w:rPr>
              <w:t>109.52%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0784">
            <w:pPr>
              <w:jc w:val="center"/>
            </w:pPr>
            <w:r>
              <w:rPr>
                <w:rFonts w:ascii="宋体" w:hAnsi="宋体" w:eastAsia="宋体"/>
                <w:sz w:val="16"/>
              </w:rPr>
              <w:t>7.24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42C0">
            <w:pPr>
              <w:jc w:val="center"/>
            </w:pPr>
            <w:r>
              <w:rPr>
                <w:rFonts w:ascii="宋体" w:hAnsi="宋体" w:eastAsia="宋体"/>
                <w:sz w:val="16"/>
              </w:rPr>
              <w:t>根据医院发展需求新开设科室，外出培训人员增加。</w:t>
            </w:r>
          </w:p>
        </w:tc>
      </w:tr>
      <w:tr w14:paraId="0414A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50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CE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B6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286F">
            <w:pPr>
              <w:jc w:val="center"/>
            </w:pPr>
            <w:r>
              <w:rPr>
                <w:rFonts w:ascii="宋体" w:hAnsi="宋体" w:eastAsia="宋体"/>
                <w:sz w:val="16"/>
              </w:rPr>
              <w:t>引进援疆专家出勤率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8A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0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DE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ED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B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2A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30F7">
            <w:pPr>
              <w:jc w:val="center"/>
            </w:pPr>
            <w:r>
              <w:rPr>
                <w:rFonts w:ascii="宋体" w:hAnsi="宋体" w:eastAsia="宋体"/>
                <w:sz w:val="16"/>
              </w:rPr>
              <w:t>=98.35%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8839">
            <w:pPr>
              <w:jc w:val="center"/>
            </w:pPr>
            <w:r>
              <w:rPr>
                <w:rFonts w:ascii="宋体" w:hAnsi="宋体" w:eastAsia="宋体"/>
                <w:sz w:val="16"/>
              </w:rPr>
              <w:t>103.53%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0E4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B5AD">
            <w:pPr>
              <w:jc w:val="center"/>
            </w:pPr>
            <w:r>
              <w:rPr>
                <w:rFonts w:ascii="宋体" w:hAnsi="宋体" w:eastAsia="宋体"/>
                <w:sz w:val="16"/>
              </w:rPr>
              <w:t>请进来的专家在我院援疆期间严格遵守考勤制度</w:t>
            </w:r>
            <w:r>
              <w:rPr>
                <w:rFonts w:hint="eastAsia" w:ascii="宋体" w:hAnsi="宋体"/>
                <w:sz w:val="16"/>
                <w:lang w:eastAsia="zh-CN"/>
              </w:rPr>
              <w:t>。</w:t>
            </w:r>
          </w:p>
        </w:tc>
      </w:tr>
      <w:tr w14:paraId="5C5AF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100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A86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80C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491C">
            <w:pPr>
              <w:jc w:val="center"/>
            </w:pPr>
            <w:r>
              <w:rPr>
                <w:rFonts w:ascii="宋体" w:hAnsi="宋体" w:eastAsia="宋体"/>
                <w:sz w:val="16"/>
              </w:rPr>
              <w:t>进修按期完成率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E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4C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EC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C8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EF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36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5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AE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FA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3A55">
            <w:pPr>
              <w:jc w:val="center"/>
            </w:pPr>
          </w:p>
        </w:tc>
      </w:tr>
      <w:tr w14:paraId="49DBA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661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20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A5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FA22">
            <w:pPr>
              <w:jc w:val="center"/>
            </w:pPr>
            <w:r>
              <w:rPr>
                <w:rFonts w:ascii="宋体" w:hAnsi="宋体" w:eastAsia="宋体"/>
                <w:sz w:val="16"/>
              </w:rPr>
              <w:t>引进援疆专家按时到岗率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2D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4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E0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2C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0C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4A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4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DFC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F7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1712">
            <w:pPr>
              <w:jc w:val="center"/>
            </w:pPr>
            <w:r>
              <w:rPr>
                <w:rFonts w:ascii="宋体" w:hAnsi="宋体" w:eastAsia="宋体"/>
                <w:sz w:val="16"/>
              </w:rPr>
              <w:t>请进来的专家在我院援疆期间严格遵守考勤制度，均按时到岗。</w:t>
            </w:r>
          </w:p>
        </w:tc>
      </w:tr>
      <w:tr w14:paraId="5B688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A1E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9800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1B1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CE3A">
            <w:pPr>
              <w:jc w:val="center"/>
            </w:pPr>
            <w:r>
              <w:rPr>
                <w:rFonts w:ascii="宋体" w:hAnsi="宋体" w:eastAsia="宋体"/>
                <w:sz w:val="16"/>
              </w:rPr>
              <w:t>引进河北援疆医疗专家成本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85FD">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38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9E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E4C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8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DF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5023">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1E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5B12">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31BBA">
            <w:pPr>
              <w:jc w:val="center"/>
            </w:pPr>
          </w:p>
        </w:tc>
      </w:tr>
      <w:tr w14:paraId="7CF22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972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887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A3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427E">
            <w:pPr>
              <w:jc w:val="center"/>
            </w:pPr>
            <w:r>
              <w:rPr>
                <w:rFonts w:ascii="宋体" w:hAnsi="宋体" w:eastAsia="宋体"/>
                <w:sz w:val="16"/>
              </w:rPr>
              <w:t>派遣骨干赴河北进修成本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8EEC">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47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0B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37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5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B7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5E2F">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3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70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C18F">
            <w:pPr>
              <w:jc w:val="center"/>
            </w:pPr>
          </w:p>
        </w:tc>
      </w:tr>
      <w:tr w14:paraId="23179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256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C110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140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E90F">
            <w:pPr>
              <w:jc w:val="center"/>
            </w:pPr>
            <w:r>
              <w:rPr>
                <w:rFonts w:ascii="宋体" w:hAnsi="宋体" w:eastAsia="宋体"/>
                <w:sz w:val="16"/>
              </w:rPr>
              <w:t>提升医院医疗服务水平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CEF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B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42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94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F2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2D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2BC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2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75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678C">
            <w:pPr>
              <w:jc w:val="center"/>
            </w:pPr>
          </w:p>
        </w:tc>
      </w:tr>
      <w:tr w14:paraId="4B396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B0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92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D15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5E24">
            <w:pPr>
              <w:jc w:val="center"/>
            </w:pPr>
            <w:r>
              <w:rPr>
                <w:rFonts w:ascii="宋体" w:hAnsi="宋体" w:eastAsia="宋体"/>
                <w:sz w:val="16"/>
              </w:rPr>
              <w:t>提高县医院诊疗水平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51C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03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4F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6C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6D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13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5F8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58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76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1854">
            <w:pPr>
              <w:jc w:val="center"/>
            </w:pPr>
          </w:p>
        </w:tc>
      </w:tr>
      <w:tr w14:paraId="2803A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13B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E2F4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3D0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7902">
            <w:pPr>
              <w:jc w:val="center"/>
            </w:pPr>
            <w:r>
              <w:rPr>
                <w:rFonts w:ascii="宋体" w:hAnsi="宋体" w:eastAsia="宋体"/>
                <w:sz w:val="16"/>
              </w:rPr>
              <w:t>引进援疆专家满意度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D83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3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76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C0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52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F1D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EA6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B6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2E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BF41">
            <w:pPr>
              <w:jc w:val="center"/>
            </w:pPr>
          </w:p>
        </w:tc>
      </w:tr>
      <w:tr w14:paraId="1B39BB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D8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65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FF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D298">
            <w:pPr>
              <w:jc w:val="center"/>
            </w:pPr>
            <w:r>
              <w:rPr>
                <w:rFonts w:ascii="宋体" w:hAnsi="宋体" w:eastAsia="宋体"/>
                <w:sz w:val="16"/>
              </w:rPr>
              <w:t>外出进修人员满意度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0F3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EA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3C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41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65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6DF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8D5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0C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31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6011">
            <w:pPr>
              <w:jc w:val="center"/>
            </w:pPr>
          </w:p>
        </w:tc>
      </w:tr>
      <w:tr w14:paraId="294BE0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09A7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2B5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C745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005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7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904E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4964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9029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B1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BA48">
            <w:pPr>
              <w:jc w:val="center"/>
            </w:pPr>
            <w:r>
              <w:rPr>
                <w:rFonts w:ascii="宋体" w:hAnsi="宋体" w:eastAsia="宋体"/>
                <w:sz w:val="16"/>
              </w:rPr>
              <w:t>99.24分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B2876E"/>
        </w:tc>
      </w:tr>
    </w:tbl>
    <w:p w14:paraId="5AF048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DF1FBE2">
        <w:tblPrEx>
          <w:tblCellMar>
            <w:top w:w="0" w:type="dxa"/>
            <w:left w:w="108" w:type="dxa"/>
            <w:bottom w:w="0" w:type="dxa"/>
            <w:right w:w="108" w:type="dxa"/>
          </w:tblCellMar>
        </w:tblPrEx>
        <w:tc>
          <w:tcPr>
            <w:tcW w:w="8848" w:type="dxa"/>
            <w:gridSpan w:val="14"/>
            <w:vAlign w:val="center"/>
          </w:tcPr>
          <w:p w14:paraId="3062D70C">
            <w:pPr>
              <w:jc w:val="center"/>
            </w:pPr>
            <w:r>
              <w:rPr>
                <w:rFonts w:ascii="宋体" w:hAnsi="宋体" w:eastAsia="宋体"/>
                <w:sz w:val="24"/>
              </w:rPr>
              <w:t>项目支出绩效自评表</w:t>
            </w:r>
          </w:p>
        </w:tc>
      </w:tr>
      <w:tr w14:paraId="566D3CE3">
        <w:tblPrEx>
          <w:tblCellMar>
            <w:top w:w="0" w:type="dxa"/>
            <w:left w:w="108" w:type="dxa"/>
            <w:bottom w:w="0" w:type="dxa"/>
            <w:right w:w="108" w:type="dxa"/>
          </w:tblCellMar>
        </w:tblPrEx>
        <w:tc>
          <w:tcPr>
            <w:tcW w:w="8848" w:type="dxa"/>
            <w:gridSpan w:val="14"/>
            <w:vAlign w:val="center"/>
          </w:tcPr>
          <w:p w14:paraId="683C9589">
            <w:pPr>
              <w:jc w:val="center"/>
            </w:pPr>
            <w:r>
              <w:rPr>
                <w:rFonts w:ascii="宋体" w:hAnsi="宋体" w:eastAsia="宋体"/>
                <w:sz w:val="24"/>
              </w:rPr>
              <w:t>(2024年度)</w:t>
            </w:r>
          </w:p>
        </w:tc>
      </w:tr>
      <w:tr w14:paraId="51E3DC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84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D3984C">
            <w:pPr>
              <w:jc w:val="center"/>
            </w:pPr>
            <w:r>
              <w:rPr>
                <w:rFonts w:ascii="宋体" w:hAnsi="宋体" w:eastAsia="宋体"/>
                <w:sz w:val="16"/>
              </w:rPr>
              <w:t>巴财行</w:t>
            </w:r>
            <w:r>
              <w:rPr>
                <w:rFonts w:hint="eastAsia" w:ascii="宋体" w:hAnsi="宋体"/>
                <w:sz w:val="16"/>
                <w:lang w:eastAsia="zh-CN"/>
              </w:rPr>
              <w:t>〔2024〕21号</w:t>
            </w:r>
            <w:r>
              <w:rPr>
                <w:rFonts w:ascii="宋体" w:hAnsi="宋体" w:eastAsia="宋体"/>
                <w:sz w:val="16"/>
              </w:rPr>
              <w:t>关于拨付自治州优秀专家工作室建设支持资金的通知</w:t>
            </w:r>
          </w:p>
        </w:tc>
      </w:tr>
      <w:tr w14:paraId="6BABFC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AD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D550C">
            <w:pPr>
              <w:jc w:val="center"/>
            </w:pPr>
            <w:r>
              <w:rPr>
                <w:rFonts w:ascii="宋体" w:hAnsi="宋体" w:eastAsia="宋体"/>
                <w:sz w:val="16"/>
              </w:rPr>
              <w:t>新疆轮台县人民医院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2C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1AF3A3">
            <w:pPr>
              <w:jc w:val="center"/>
            </w:pPr>
            <w:r>
              <w:rPr>
                <w:rFonts w:ascii="宋体" w:hAnsi="宋体" w:eastAsia="宋体"/>
                <w:sz w:val="16"/>
              </w:rPr>
              <w:t>轮台县人民医院</w:t>
            </w:r>
          </w:p>
        </w:tc>
      </w:tr>
      <w:tr w14:paraId="577A88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DA10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C3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3D6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DCA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831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16AB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FE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F9F6">
            <w:pPr>
              <w:jc w:val="center"/>
            </w:pPr>
            <w:r>
              <w:rPr>
                <w:rFonts w:ascii="宋体" w:hAnsi="宋体" w:eastAsia="宋体"/>
                <w:sz w:val="16"/>
              </w:rPr>
              <w:t>得分</w:t>
            </w:r>
          </w:p>
        </w:tc>
      </w:tr>
      <w:tr w14:paraId="2E252F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C39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FCE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1D16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1361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D5B1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C76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8CE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475F">
            <w:pPr>
              <w:jc w:val="center"/>
            </w:pPr>
            <w:r>
              <w:rPr>
                <w:rFonts w:ascii="宋体" w:hAnsi="宋体" w:eastAsia="宋体"/>
                <w:sz w:val="16"/>
              </w:rPr>
              <w:t>10.00</w:t>
            </w:r>
          </w:p>
        </w:tc>
      </w:tr>
      <w:tr w14:paraId="00915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80C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6A8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886C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25C7C">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064A9">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C85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B41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3377">
            <w:pPr>
              <w:jc w:val="center"/>
            </w:pPr>
            <w:r>
              <w:rPr>
                <w:rFonts w:ascii="宋体" w:hAnsi="宋体" w:eastAsia="宋体"/>
                <w:sz w:val="16"/>
              </w:rPr>
              <w:t>-</w:t>
            </w:r>
          </w:p>
        </w:tc>
      </w:tr>
      <w:tr w14:paraId="5069F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926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CF58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46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BCC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3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4B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ECD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A1F2">
            <w:pPr>
              <w:jc w:val="center"/>
            </w:pPr>
            <w:r>
              <w:rPr>
                <w:rFonts w:ascii="宋体" w:hAnsi="宋体" w:eastAsia="宋体"/>
                <w:sz w:val="16"/>
              </w:rPr>
              <w:t>-</w:t>
            </w:r>
          </w:p>
        </w:tc>
      </w:tr>
      <w:tr w14:paraId="6331D6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8B4D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A4527">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AD1763">
            <w:pPr>
              <w:jc w:val="center"/>
            </w:pPr>
            <w:r>
              <w:rPr>
                <w:rFonts w:ascii="宋体" w:hAnsi="宋体" w:eastAsia="宋体"/>
                <w:sz w:val="16"/>
              </w:rPr>
              <w:t>总体目标完成情况</w:t>
            </w:r>
          </w:p>
        </w:tc>
      </w:tr>
      <w:tr w14:paraId="025E2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A53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08818">
            <w:pPr>
              <w:jc w:val="both"/>
            </w:pPr>
            <w:r>
              <w:rPr>
                <w:rFonts w:ascii="宋体" w:hAnsi="宋体" w:eastAsia="宋体"/>
                <w:sz w:val="16"/>
              </w:rPr>
              <w:t>为贯彻落实自治区、自治州党委人才工作会议精神，根据经济社会发展重点领域高层次人才姓名及其专业命名的名师、名医、名家工作室发展需要，确保优秀专家工作室工作顺利开展：</w:t>
            </w:r>
            <w:r>
              <w:rPr>
                <w:rFonts w:ascii="宋体" w:hAnsi="宋体" w:eastAsia="宋体"/>
                <w:sz w:val="16"/>
              </w:rPr>
              <w:br w:type="textWrapping"/>
            </w:r>
            <w:r>
              <w:rPr>
                <w:rFonts w:ascii="宋体" w:hAnsi="宋体" w:eastAsia="宋体"/>
                <w:sz w:val="16"/>
              </w:rPr>
              <w:t>目标1：计划采购教学训练模具1批，采购教学专业图书5套，保障名医工作室的日常教学训练及相关活动的开展，提升脊柱疾病治疗水平和医疗服务水平，推进脊柱疾病学科发展，并促进学术交流与合作；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534A1F">
            <w:pPr>
              <w:jc w:val="both"/>
            </w:pPr>
            <w:r>
              <w:rPr>
                <w:rFonts w:hint="eastAsia" w:ascii="宋体" w:hAnsi="宋体"/>
                <w:sz w:val="16"/>
                <w:lang w:eastAsia="zh-CN"/>
              </w:rPr>
              <w:t>本单位</w:t>
            </w:r>
            <w:r>
              <w:rPr>
                <w:rFonts w:ascii="宋体" w:hAnsi="宋体" w:eastAsia="宋体"/>
                <w:sz w:val="16"/>
              </w:rPr>
              <w:t>认真贯彻落实了自治区、自治州党委人才工作会议精神，根据经济社会发展重点领域高层次人才姓名及其专业命名的名师、名医、名家工作室发展需要，优秀专家工作室项目已经顺利开展，完成采购教学训练模具1批，教学专业图书5套，政府采购率及教具、图书利用率均为100%，提升了医疗服务水平，满足了患者就医需求，推动了学科发展，促进了学术交流与合作，提高了社会认知度和信任度。</w:t>
            </w:r>
          </w:p>
        </w:tc>
      </w:tr>
      <w:tr w14:paraId="2882F7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A29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B2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A4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9F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6D6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70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47A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912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053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40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21E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0B5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2B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D310">
            <w:pPr>
              <w:jc w:val="center"/>
            </w:pPr>
            <w:r>
              <w:rPr>
                <w:rFonts w:ascii="宋体" w:hAnsi="宋体" w:eastAsia="宋体"/>
                <w:sz w:val="16"/>
              </w:rPr>
              <w:t>偏差原因分析及改进措施</w:t>
            </w:r>
          </w:p>
        </w:tc>
      </w:tr>
      <w:tr w14:paraId="2CF56C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349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5FD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5C8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2052">
            <w:pPr>
              <w:jc w:val="center"/>
            </w:pPr>
            <w:r>
              <w:rPr>
                <w:rFonts w:ascii="宋体" w:hAnsi="宋体" w:eastAsia="宋体"/>
                <w:sz w:val="16"/>
              </w:rPr>
              <w:t>采购教学训练模具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1F36">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4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9D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66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2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08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C2D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AF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EE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C45E">
            <w:pPr>
              <w:jc w:val="center"/>
            </w:pPr>
          </w:p>
        </w:tc>
      </w:tr>
      <w:tr w14:paraId="4C41C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27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D6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C9B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171E">
            <w:pPr>
              <w:jc w:val="center"/>
            </w:pPr>
            <w:r>
              <w:rPr>
                <w:rFonts w:ascii="宋体" w:hAnsi="宋体" w:eastAsia="宋体"/>
                <w:sz w:val="16"/>
              </w:rPr>
              <w:t>采购教学专业图书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4359">
            <w:pPr>
              <w:jc w:val="center"/>
            </w:pPr>
            <w:r>
              <w:rPr>
                <w:rFonts w:ascii="宋体" w:hAnsi="宋体" w:eastAsia="宋体"/>
                <w:sz w:val="16"/>
              </w:rPr>
              <w:t>&gt;=5套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18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6B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0B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C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73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E126">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CB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E5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E5F8">
            <w:pPr>
              <w:jc w:val="center"/>
            </w:pPr>
          </w:p>
        </w:tc>
      </w:tr>
      <w:tr w14:paraId="7C624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53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50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F7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EE9D">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D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C9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95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4B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A8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50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8F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5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7E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31F8">
            <w:pPr>
              <w:jc w:val="center"/>
            </w:pPr>
          </w:p>
        </w:tc>
      </w:tr>
      <w:tr w14:paraId="0E8C4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F5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FE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A0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8610">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D0F5">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3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78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67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00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CF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1EAB">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59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6D7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1413">
            <w:pPr>
              <w:jc w:val="center"/>
            </w:pPr>
          </w:p>
        </w:tc>
      </w:tr>
      <w:tr w14:paraId="1088B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7F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908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D9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1390">
            <w:pPr>
              <w:jc w:val="center"/>
            </w:pPr>
            <w:r>
              <w:rPr>
                <w:rFonts w:ascii="宋体" w:hAnsi="宋体" w:eastAsia="宋体"/>
                <w:sz w:val="16"/>
              </w:rPr>
              <w:t>采购教具、图书成本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4FFB">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6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95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AD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A0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46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6FB4">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4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E9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E842">
            <w:pPr>
              <w:jc w:val="center"/>
            </w:pPr>
          </w:p>
        </w:tc>
      </w:tr>
      <w:tr w14:paraId="1D130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DD8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258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5CB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88DB">
            <w:pPr>
              <w:jc w:val="center"/>
            </w:pPr>
            <w:r>
              <w:rPr>
                <w:rFonts w:ascii="宋体" w:hAnsi="宋体" w:eastAsia="宋体"/>
                <w:sz w:val="16"/>
              </w:rPr>
              <w:t>采购教具、图书利用率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9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7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69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7A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AE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59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2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2C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A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4A9F">
            <w:pPr>
              <w:jc w:val="center"/>
            </w:pPr>
          </w:p>
        </w:tc>
      </w:tr>
      <w:tr w14:paraId="7B9FB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93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96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3A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1BEA">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94F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5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D7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AC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D6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BC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AB0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C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F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D485">
            <w:pPr>
              <w:jc w:val="center"/>
            </w:pPr>
          </w:p>
        </w:tc>
      </w:tr>
      <w:tr w14:paraId="7B2DE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25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33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59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5779">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CB0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0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9E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B3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72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35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5A1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8A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11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042D">
            <w:pPr>
              <w:jc w:val="center"/>
            </w:pPr>
          </w:p>
        </w:tc>
      </w:tr>
      <w:tr w14:paraId="012ADA9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88B8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79A0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92F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B4AA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60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15B7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4E4F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4DB3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A53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8FA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E365A7"/>
        </w:tc>
      </w:tr>
    </w:tbl>
    <w:p w14:paraId="28ED293A">
      <w:r>
        <w:br w:type="page"/>
      </w:r>
    </w:p>
    <w:tbl>
      <w:tblPr>
        <w:tblStyle w:val="9"/>
        <w:tblW w:w="0" w:type="auto"/>
        <w:tblInd w:w="0" w:type="dxa"/>
        <w:tblLayout w:type="autofit"/>
        <w:tblCellMar>
          <w:top w:w="0" w:type="dxa"/>
          <w:left w:w="108" w:type="dxa"/>
          <w:bottom w:w="0" w:type="dxa"/>
          <w:right w:w="108" w:type="dxa"/>
        </w:tblCellMar>
      </w:tblPr>
      <w:tblGrid>
        <w:gridCol w:w="614"/>
        <w:gridCol w:w="584"/>
        <w:gridCol w:w="584"/>
        <w:gridCol w:w="584"/>
        <w:gridCol w:w="856"/>
        <w:gridCol w:w="596"/>
        <w:gridCol w:w="592"/>
        <w:gridCol w:w="602"/>
        <w:gridCol w:w="586"/>
        <w:gridCol w:w="584"/>
        <w:gridCol w:w="776"/>
        <w:gridCol w:w="776"/>
        <w:gridCol w:w="696"/>
        <w:gridCol w:w="630"/>
      </w:tblGrid>
      <w:tr w14:paraId="1D15EBB0">
        <w:tblPrEx>
          <w:tblCellMar>
            <w:top w:w="0" w:type="dxa"/>
            <w:left w:w="108" w:type="dxa"/>
            <w:bottom w:w="0" w:type="dxa"/>
            <w:right w:w="108" w:type="dxa"/>
          </w:tblCellMar>
        </w:tblPrEx>
        <w:tc>
          <w:tcPr>
            <w:tcW w:w="8848" w:type="dxa"/>
            <w:gridSpan w:val="14"/>
            <w:vAlign w:val="center"/>
          </w:tcPr>
          <w:p w14:paraId="51E55E19">
            <w:pPr>
              <w:jc w:val="center"/>
            </w:pPr>
            <w:r>
              <w:rPr>
                <w:rFonts w:ascii="宋体" w:hAnsi="宋体" w:eastAsia="宋体"/>
                <w:sz w:val="24"/>
              </w:rPr>
              <w:t>项目支出绩效自评表</w:t>
            </w:r>
          </w:p>
        </w:tc>
      </w:tr>
      <w:tr w14:paraId="38C462D8">
        <w:tblPrEx>
          <w:tblCellMar>
            <w:top w:w="0" w:type="dxa"/>
            <w:left w:w="108" w:type="dxa"/>
            <w:bottom w:w="0" w:type="dxa"/>
            <w:right w:w="108" w:type="dxa"/>
          </w:tblCellMar>
        </w:tblPrEx>
        <w:tc>
          <w:tcPr>
            <w:tcW w:w="8848" w:type="dxa"/>
            <w:gridSpan w:val="14"/>
            <w:vAlign w:val="center"/>
          </w:tcPr>
          <w:p w14:paraId="4D1D3077">
            <w:pPr>
              <w:jc w:val="center"/>
            </w:pPr>
            <w:r>
              <w:rPr>
                <w:rFonts w:ascii="宋体" w:hAnsi="宋体" w:eastAsia="宋体"/>
                <w:sz w:val="24"/>
              </w:rPr>
              <w:t>(2024年度)</w:t>
            </w:r>
          </w:p>
        </w:tc>
      </w:tr>
      <w:tr w14:paraId="5EC574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4F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BA95BE">
            <w:pPr>
              <w:jc w:val="center"/>
            </w:pPr>
            <w:r>
              <w:rPr>
                <w:rFonts w:ascii="宋体" w:hAnsi="宋体" w:eastAsia="宋体"/>
                <w:sz w:val="16"/>
              </w:rPr>
              <w:t>轮台县人民医院：2024年单位自有资金（门诊收入、住院收入）</w:t>
            </w:r>
          </w:p>
        </w:tc>
      </w:tr>
      <w:tr w14:paraId="50328B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7E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CBD78">
            <w:pPr>
              <w:jc w:val="center"/>
            </w:pPr>
            <w:r>
              <w:rPr>
                <w:rFonts w:ascii="宋体" w:hAnsi="宋体" w:eastAsia="宋体"/>
                <w:sz w:val="16"/>
              </w:rPr>
              <w:t>新疆轮台县人民医院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43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200A25">
            <w:pPr>
              <w:jc w:val="center"/>
            </w:pPr>
            <w:r>
              <w:rPr>
                <w:rFonts w:ascii="宋体" w:hAnsi="宋体" w:eastAsia="宋体"/>
                <w:sz w:val="16"/>
              </w:rPr>
              <w:t>轮台县人民医院</w:t>
            </w:r>
          </w:p>
        </w:tc>
      </w:tr>
      <w:tr w14:paraId="12C5B4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7251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F6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B88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787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5A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A8DA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3A1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8B13">
            <w:pPr>
              <w:jc w:val="center"/>
            </w:pPr>
            <w:r>
              <w:rPr>
                <w:rFonts w:ascii="宋体" w:hAnsi="宋体" w:eastAsia="宋体"/>
                <w:sz w:val="16"/>
              </w:rPr>
              <w:t>得分</w:t>
            </w:r>
          </w:p>
        </w:tc>
      </w:tr>
      <w:tr w14:paraId="2393E3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1DC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AC6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43D58">
            <w:pPr>
              <w:jc w:val="center"/>
            </w:pPr>
            <w:r>
              <w:rPr>
                <w:rFonts w:ascii="宋体" w:hAnsi="宋体" w:eastAsia="宋体"/>
                <w:sz w:val="16"/>
              </w:rPr>
              <w:t>1,939.67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DC9F5">
            <w:pPr>
              <w:jc w:val="center"/>
            </w:pPr>
            <w:r>
              <w:rPr>
                <w:rFonts w:ascii="宋体" w:hAnsi="宋体" w:eastAsia="宋体"/>
                <w:sz w:val="16"/>
              </w:rPr>
              <w:t>1,939.67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C9D8A">
            <w:pPr>
              <w:jc w:val="center"/>
            </w:pPr>
            <w:r>
              <w:rPr>
                <w:rFonts w:ascii="宋体" w:hAnsi="宋体" w:eastAsia="宋体"/>
                <w:sz w:val="16"/>
              </w:rPr>
              <w:t>1,939.67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B84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1C2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64BC">
            <w:pPr>
              <w:jc w:val="center"/>
            </w:pPr>
            <w:r>
              <w:rPr>
                <w:rFonts w:ascii="宋体" w:hAnsi="宋体" w:eastAsia="宋体"/>
                <w:sz w:val="16"/>
              </w:rPr>
              <w:t>10.00</w:t>
            </w:r>
          </w:p>
        </w:tc>
      </w:tr>
      <w:tr w14:paraId="1ACB7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F6E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465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B4B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DF5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F93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082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897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8BA2">
            <w:pPr>
              <w:jc w:val="center"/>
            </w:pPr>
            <w:r>
              <w:rPr>
                <w:rFonts w:ascii="宋体" w:hAnsi="宋体" w:eastAsia="宋体"/>
                <w:sz w:val="16"/>
              </w:rPr>
              <w:t>-</w:t>
            </w:r>
          </w:p>
        </w:tc>
      </w:tr>
      <w:tr w14:paraId="62E8F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B6A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B86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33F26">
            <w:pPr>
              <w:jc w:val="center"/>
            </w:pPr>
            <w:r>
              <w:rPr>
                <w:rFonts w:ascii="宋体" w:hAnsi="宋体" w:eastAsia="宋体"/>
                <w:sz w:val="16"/>
              </w:rPr>
              <w:t>1,939.67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A8CE0">
            <w:pPr>
              <w:jc w:val="center"/>
            </w:pPr>
            <w:r>
              <w:rPr>
                <w:rFonts w:ascii="宋体" w:hAnsi="宋体" w:eastAsia="宋体"/>
                <w:sz w:val="16"/>
              </w:rPr>
              <w:t>1,939.67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A3BC">
            <w:pPr>
              <w:jc w:val="center"/>
            </w:pPr>
            <w:r>
              <w:rPr>
                <w:rFonts w:ascii="宋体" w:hAnsi="宋体" w:eastAsia="宋体"/>
                <w:sz w:val="16"/>
              </w:rPr>
              <w:t>1,939.67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714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85B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964C">
            <w:pPr>
              <w:jc w:val="center"/>
            </w:pPr>
            <w:r>
              <w:rPr>
                <w:rFonts w:ascii="宋体" w:hAnsi="宋体" w:eastAsia="宋体"/>
                <w:sz w:val="16"/>
              </w:rPr>
              <w:t>-</w:t>
            </w:r>
          </w:p>
        </w:tc>
      </w:tr>
      <w:tr w14:paraId="745C8E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B9FC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CD388">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91D704">
            <w:pPr>
              <w:jc w:val="center"/>
            </w:pPr>
            <w:r>
              <w:rPr>
                <w:rFonts w:ascii="宋体" w:hAnsi="宋体" w:eastAsia="宋体"/>
                <w:sz w:val="16"/>
              </w:rPr>
              <w:t>总体目标完成情况</w:t>
            </w:r>
          </w:p>
        </w:tc>
      </w:tr>
      <w:tr w14:paraId="183D4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3DE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C8FB9">
            <w:pPr>
              <w:jc w:val="both"/>
            </w:pPr>
            <w:r>
              <w:rPr>
                <w:rFonts w:ascii="宋体" w:hAnsi="宋体" w:eastAsia="宋体"/>
                <w:sz w:val="16"/>
              </w:rPr>
              <w:t>持续深化医疗卫生体制改革，加快提升医院综合实力及可持续发展，开展医院的医疗、康复等工作，持续为群众提供高质量的医疗保障服务</w:t>
            </w:r>
            <w:r>
              <w:rPr>
                <w:rFonts w:hint="eastAsia" w:ascii="宋体" w:hAnsi="宋体"/>
                <w:sz w:val="16"/>
                <w:lang w:eastAsia="zh-CN"/>
              </w:rPr>
              <w:t>。</w:t>
            </w:r>
            <w:r>
              <w:rPr>
                <w:rFonts w:ascii="宋体" w:hAnsi="宋体" w:eastAsia="宋体"/>
                <w:sz w:val="16"/>
              </w:rPr>
              <w:t>目标1：保障单位人员经费的正常支出，按月发放工资，稳定医疗队伍，提升医疗服务能力，持续为人民群众提供医疗保障服务；目标2：保障单位车辆运转支出，保障医院正常诊疗活动的开展；目标3：计划采购医疗设备，提升医院服务水平，全方位保障优质的医疗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0487F2">
            <w:pPr>
              <w:jc w:val="both"/>
            </w:pPr>
            <w:r>
              <w:rPr>
                <w:rFonts w:ascii="宋体" w:hAnsi="宋体" w:eastAsia="宋体"/>
                <w:sz w:val="16"/>
              </w:rPr>
              <w:t>根据医院年度目标和医院整体运行情况，该自有资金项目情况如下： 1：保障单位办公人员590人的人员经费正常支出，成功发放1-12月财政拨款工资，工资发放及时率和准确率为100%，</w:t>
            </w:r>
            <w:r>
              <w:rPr>
                <w:rFonts w:hint="eastAsia" w:ascii="宋体" w:hAnsi="宋体"/>
                <w:sz w:val="16"/>
                <w:lang w:eastAsia="zh-CN"/>
              </w:rPr>
              <w:t>有效地</w:t>
            </w:r>
            <w:r>
              <w:rPr>
                <w:rFonts w:ascii="宋体" w:hAnsi="宋体" w:eastAsia="宋体"/>
                <w:sz w:val="16"/>
              </w:rPr>
              <w:t>稳定了医疗队伍，提升医疗服务能力，持续为人民群众提供医疗保障服务； 2：保障17</w:t>
            </w:r>
            <w:r>
              <w:rPr>
                <w:rFonts w:hint="eastAsia" w:ascii="宋体" w:hAnsi="宋体"/>
                <w:sz w:val="16"/>
                <w:lang w:eastAsia="zh-CN"/>
              </w:rPr>
              <w:t>家</w:t>
            </w:r>
            <w:r>
              <w:rPr>
                <w:rFonts w:ascii="宋体" w:hAnsi="宋体" w:eastAsia="宋体"/>
                <w:sz w:val="16"/>
              </w:rPr>
              <w:t>单位车辆运转支出，医院正常诊疗活动的开展得到了</w:t>
            </w:r>
            <w:bookmarkStart w:id="0" w:name="_GoBack"/>
            <w:r>
              <w:rPr>
                <w:rFonts w:hint="eastAsia" w:ascii="宋体" w:hAnsi="宋体"/>
                <w:sz w:val="16"/>
                <w:lang w:eastAsia="zh-CN"/>
              </w:rPr>
              <w:t>有效</w:t>
            </w:r>
            <w:bookmarkEnd w:id="0"/>
            <w:r>
              <w:rPr>
                <w:rFonts w:ascii="宋体" w:hAnsi="宋体" w:eastAsia="宋体"/>
                <w:sz w:val="16"/>
              </w:rPr>
              <w:t>保障； 3：完成医疗设备采购21批次，医院服务水平得到显著提升，优质的医疗服务水平得到了全方位保障。</w:t>
            </w:r>
          </w:p>
        </w:tc>
      </w:tr>
      <w:tr w14:paraId="7F98D0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05BF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89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F9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63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2C8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F2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387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6DA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D5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98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C65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E35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8E4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A804">
            <w:pPr>
              <w:jc w:val="center"/>
            </w:pPr>
            <w:r>
              <w:rPr>
                <w:rFonts w:ascii="宋体" w:hAnsi="宋体" w:eastAsia="宋体"/>
                <w:sz w:val="16"/>
              </w:rPr>
              <w:t>偏差原因分析及改进措施</w:t>
            </w:r>
          </w:p>
        </w:tc>
      </w:tr>
      <w:tr w14:paraId="55B778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E7C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565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61F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BD1E">
            <w:pPr>
              <w:jc w:val="center"/>
            </w:pPr>
            <w:r>
              <w:rPr>
                <w:rFonts w:ascii="宋体" w:hAnsi="宋体" w:eastAsia="宋体"/>
                <w:sz w:val="16"/>
              </w:rPr>
              <w:t>补贴财政拨款人员工资人数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2E30">
            <w:pPr>
              <w:jc w:val="center"/>
            </w:pPr>
            <w:r>
              <w:rPr>
                <w:rFonts w:ascii="宋体" w:hAnsi="宋体" w:eastAsia="宋体"/>
                <w:sz w:val="16"/>
              </w:rPr>
              <w:t>&gt;=249人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3B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0B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75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1C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3F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21BB">
            <w:pPr>
              <w:jc w:val="center"/>
            </w:pPr>
            <w:r>
              <w:rPr>
                <w:rFonts w:ascii="宋体" w:hAnsi="宋体" w:eastAsia="宋体"/>
                <w:sz w:val="16"/>
              </w:rPr>
              <w:t>=249人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82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8B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712F">
            <w:pPr>
              <w:jc w:val="center"/>
            </w:pPr>
          </w:p>
        </w:tc>
      </w:tr>
      <w:tr w14:paraId="53EE2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58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4A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4D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E702">
            <w:pPr>
              <w:jc w:val="center"/>
            </w:pPr>
            <w:r>
              <w:rPr>
                <w:rFonts w:ascii="宋体" w:hAnsi="宋体" w:eastAsia="宋体"/>
                <w:sz w:val="16"/>
              </w:rPr>
              <w:t>发放工资次数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9B1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9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34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FD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7C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ED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894C">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7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C1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228F">
            <w:pPr>
              <w:jc w:val="center"/>
            </w:pPr>
          </w:p>
        </w:tc>
      </w:tr>
      <w:tr w14:paraId="6F7CC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44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67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44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1334">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52B3">
            <w:pPr>
              <w:jc w:val="center"/>
            </w:pPr>
            <w:r>
              <w:rPr>
                <w:rFonts w:ascii="宋体" w:hAnsi="宋体" w:eastAsia="宋体"/>
                <w:sz w:val="16"/>
              </w:rPr>
              <w:t>&gt;=590人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6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F7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C0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B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7B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B67A">
            <w:pPr>
              <w:jc w:val="center"/>
            </w:pPr>
            <w:r>
              <w:rPr>
                <w:rFonts w:ascii="宋体" w:hAnsi="宋体" w:eastAsia="宋体"/>
                <w:sz w:val="16"/>
              </w:rPr>
              <w:t>=590人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A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63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37B3">
            <w:pPr>
              <w:jc w:val="center"/>
            </w:pPr>
          </w:p>
        </w:tc>
      </w:tr>
      <w:tr w14:paraId="623BC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ACF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232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2E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1A21">
            <w:pPr>
              <w:jc w:val="center"/>
            </w:pPr>
            <w:r>
              <w:rPr>
                <w:rFonts w:ascii="宋体" w:hAnsi="宋体" w:eastAsia="宋体"/>
                <w:sz w:val="16"/>
              </w:rPr>
              <w:t>保障办公用车数量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B7D3">
            <w:pPr>
              <w:jc w:val="center"/>
            </w:pPr>
            <w:r>
              <w:rPr>
                <w:rFonts w:ascii="宋体" w:hAnsi="宋体" w:eastAsia="宋体"/>
                <w:sz w:val="16"/>
              </w:rPr>
              <w:t>&gt;=17辆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68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26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530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F8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50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1B42">
            <w:pPr>
              <w:jc w:val="center"/>
            </w:pPr>
            <w:r>
              <w:rPr>
                <w:rFonts w:ascii="宋体" w:hAnsi="宋体" w:eastAsia="宋体"/>
                <w:sz w:val="16"/>
              </w:rPr>
              <w:t>=17辆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B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A7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AD7E">
            <w:pPr>
              <w:jc w:val="center"/>
            </w:pPr>
          </w:p>
        </w:tc>
      </w:tr>
      <w:tr w14:paraId="2D6B1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5A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07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5B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9920">
            <w:pPr>
              <w:jc w:val="center"/>
            </w:pPr>
            <w:r>
              <w:rPr>
                <w:rFonts w:ascii="宋体" w:hAnsi="宋体" w:eastAsia="宋体"/>
                <w:sz w:val="16"/>
              </w:rPr>
              <w:t>采购医疗设备批次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16BE">
            <w:pPr>
              <w:jc w:val="center"/>
            </w:pPr>
            <w:r>
              <w:rPr>
                <w:rFonts w:ascii="宋体" w:hAnsi="宋体" w:eastAsia="宋体"/>
                <w:sz w:val="16"/>
              </w:rPr>
              <w:t>&gt;=21批次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C8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92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239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F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E8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78F9">
            <w:pPr>
              <w:jc w:val="center"/>
            </w:pPr>
            <w:r>
              <w:rPr>
                <w:rFonts w:ascii="宋体" w:hAnsi="宋体" w:eastAsia="宋体"/>
                <w:sz w:val="16"/>
              </w:rPr>
              <w:t>=21批次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A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B3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F7A1">
            <w:pPr>
              <w:jc w:val="center"/>
            </w:pPr>
          </w:p>
        </w:tc>
      </w:tr>
      <w:tr w14:paraId="675DE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3C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3F9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16B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6071">
            <w:pPr>
              <w:jc w:val="center"/>
            </w:pPr>
            <w:r>
              <w:rPr>
                <w:rFonts w:ascii="宋体" w:hAnsi="宋体" w:eastAsia="宋体"/>
                <w:sz w:val="16"/>
              </w:rPr>
              <w:t>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AC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01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D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93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2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93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8E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D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3E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EBB0">
            <w:pPr>
              <w:jc w:val="center"/>
            </w:pPr>
          </w:p>
        </w:tc>
      </w:tr>
      <w:tr w14:paraId="0169B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64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280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41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5705">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B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C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37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597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E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B2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CE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F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64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A9A9">
            <w:pPr>
              <w:jc w:val="center"/>
            </w:pPr>
          </w:p>
        </w:tc>
      </w:tr>
      <w:tr w14:paraId="0F2EE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32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2FB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534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266B">
            <w:pPr>
              <w:jc w:val="center"/>
            </w:pPr>
            <w:r>
              <w:rPr>
                <w:rFonts w:ascii="宋体" w:hAnsi="宋体" w:eastAsia="宋体"/>
                <w:sz w:val="16"/>
              </w:rPr>
              <w:t>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6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EB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2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C5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80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D1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9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1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62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78B4">
            <w:pPr>
              <w:jc w:val="center"/>
            </w:pPr>
          </w:p>
        </w:tc>
      </w:tr>
      <w:tr w14:paraId="0457F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4D5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67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FF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C906">
            <w:pPr>
              <w:jc w:val="center"/>
            </w:pPr>
            <w:r>
              <w:rPr>
                <w:rFonts w:ascii="宋体" w:hAnsi="宋体" w:eastAsia="宋体"/>
                <w:sz w:val="16"/>
              </w:rPr>
              <w:t>采购医疗设备完成时间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7C32">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F5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7B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1F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5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F6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6929">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C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74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DC7A">
            <w:pPr>
              <w:jc w:val="center"/>
            </w:pPr>
          </w:p>
        </w:tc>
      </w:tr>
      <w:tr w14:paraId="1FC9F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A06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70FC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756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10A4">
            <w:pPr>
              <w:jc w:val="center"/>
            </w:pPr>
            <w:r>
              <w:rPr>
                <w:rFonts w:ascii="宋体" w:hAnsi="宋体" w:eastAsia="宋体"/>
                <w:sz w:val="16"/>
              </w:rPr>
              <w:t>每次补贴财政拨款人员工资资金数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95B7">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CF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9C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5A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0A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25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2EA9">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80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B5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13AE">
            <w:pPr>
              <w:jc w:val="center"/>
            </w:pPr>
          </w:p>
        </w:tc>
      </w:tr>
      <w:tr w14:paraId="5958D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AE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CB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B0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105C">
            <w:pPr>
              <w:jc w:val="center"/>
            </w:pPr>
            <w:r>
              <w:rPr>
                <w:rFonts w:ascii="宋体" w:hAnsi="宋体" w:eastAsia="宋体"/>
                <w:sz w:val="16"/>
              </w:rPr>
              <w:t>采购医疗设备成本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0669">
            <w:pPr>
              <w:jc w:val="center"/>
            </w:pPr>
            <w:r>
              <w:rPr>
                <w:rFonts w:ascii="宋体" w:hAnsi="宋体" w:eastAsia="宋体"/>
                <w:sz w:val="16"/>
              </w:rPr>
              <w:t>&lt;=748.77万元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D8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46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6A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ED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43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EA3F">
            <w:pPr>
              <w:jc w:val="center"/>
            </w:pPr>
            <w:r>
              <w:rPr>
                <w:rFonts w:ascii="宋体" w:hAnsi="宋体" w:eastAsia="宋体"/>
                <w:sz w:val="16"/>
              </w:rPr>
              <w:t>=748.77万元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F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2F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1A47">
            <w:pPr>
              <w:jc w:val="center"/>
            </w:pPr>
          </w:p>
        </w:tc>
      </w:tr>
      <w:tr w14:paraId="5CEF9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16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6C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521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BF89">
            <w:pPr>
              <w:jc w:val="center"/>
            </w:pPr>
            <w:r>
              <w:rPr>
                <w:rFonts w:ascii="宋体" w:hAnsi="宋体" w:eastAsia="宋体"/>
                <w:sz w:val="16"/>
              </w:rPr>
              <w:t>保障办公人员运转成本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8ED0">
            <w:pPr>
              <w:jc w:val="center"/>
            </w:pPr>
            <w:r>
              <w:rPr>
                <w:rFonts w:ascii="宋体" w:hAnsi="宋体" w:eastAsia="宋体"/>
                <w:sz w:val="16"/>
              </w:rPr>
              <w:t>&lt;=466.34万元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B1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89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11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4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56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63CA">
            <w:pPr>
              <w:jc w:val="center"/>
            </w:pPr>
            <w:r>
              <w:rPr>
                <w:rFonts w:ascii="宋体" w:hAnsi="宋体" w:eastAsia="宋体"/>
                <w:sz w:val="16"/>
              </w:rPr>
              <w:t>=466.34万元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5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E2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6131">
            <w:pPr>
              <w:jc w:val="center"/>
            </w:pPr>
          </w:p>
        </w:tc>
      </w:tr>
      <w:tr w14:paraId="16D83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F6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4C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B0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B3E8">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D8B4">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3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83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DE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DB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A1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E0C2">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1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1F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928F">
            <w:pPr>
              <w:jc w:val="center"/>
            </w:pPr>
          </w:p>
        </w:tc>
      </w:tr>
      <w:tr w14:paraId="45E51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6C2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5F4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7BC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6067">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B5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1C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50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E4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0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37D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C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F8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F8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8FF3">
            <w:pPr>
              <w:jc w:val="center"/>
            </w:pPr>
          </w:p>
        </w:tc>
      </w:tr>
      <w:tr w14:paraId="05327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A6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760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E57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DD9F">
            <w:pPr>
              <w:jc w:val="center"/>
            </w:pPr>
            <w:r>
              <w:rPr>
                <w:rFonts w:ascii="宋体" w:hAnsi="宋体" w:eastAsia="宋体"/>
                <w:sz w:val="16"/>
              </w:rPr>
              <w:t>保障医疗服务质量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AD0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3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E5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6F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16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2D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870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D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DA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ED59">
            <w:pPr>
              <w:jc w:val="center"/>
            </w:pPr>
          </w:p>
        </w:tc>
      </w:tr>
      <w:tr w14:paraId="48084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9DD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EB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0D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9C09">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2D0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2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29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4F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64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B9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240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7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8E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9A46">
            <w:pPr>
              <w:jc w:val="center"/>
            </w:pPr>
          </w:p>
        </w:tc>
      </w:tr>
      <w:tr w14:paraId="57182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458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FF28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319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5B12">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6D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3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98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54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99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51D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14BA">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94DD">
            <w:pPr>
              <w:jc w:val="center"/>
            </w:pPr>
            <w:r>
              <w:rPr>
                <w:rFonts w:ascii="宋体" w:hAnsi="宋体" w:eastAsia="宋体"/>
                <w:sz w:val="16"/>
              </w:rPr>
              <w:t>103.58%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43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D0AF">
            <w:pPr>
              <w:jc w:val="center"/>
            </w:pPr>
            <w:r>
              <w:rPr>
                <w:rFonts w:ascii="宋体" w:hAnsi="宋体" w:eastAsia="宋体"/>
                <w:sz w:val="16"/>
              </w:rPr>
              <w:t>医院新购置医疗设备，同时设备科加强了业务培训及提高了设备维修</w:t>
            </w:r>
            <w:r>
              <w:rPr>
                <w:rFonts w:hint="eastAsia" w:ascii="宋体" w:hAnsi="宋体"/>
                <w:sz w:val="16"/>
                <w:lang w:eastAsia="zh-CN"/>
              </w:rPr>
              <w:t>时效</w:t>
            </w:r>
            <w:r>
              <w:rPr>
                <w:rFonts w:ascii="宋体" w:hAnsi="宋体" w:eastAsia="宋体"/>
                <w:sz w:val="16"/>
              </w:rPr>
              <w:t>，使得设备使用人员满意度较预期有所提高；</w:t>
            </w:r>
          </w:p>
        </w:tc>
      </w:tr>
      <w:tr w14:paraId="3A1FA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A0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E5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36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1246">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9D7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1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BC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F4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09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AD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EFAE">
            <w:pPr>
              <w:jc w:val="center"/>
            </w:pPr>
            <w:r>
              <w:rPr>
                <w:rFonts w:ascii="宋体" w:hAnsi="宋体" w:eastAsia="宋体"/>
                <w:sz w:val="16"/>
              </w:rPr>
              <w:t>=90.83%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4FB8">
            <w:pPr>
              <w:jc w:val="center"/>
            </w:pPr>
            <w:r>
              <w:rPr>
                <w:rFonts w:ascii="宋体" w:hAnsi="宋体" w:eastAsia="宋体"/>
                <w:sz w:val="16"/>
              </w:rPr>
              <w:t>100.92%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11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590E">
            <w:pPr>
              <w:jc w:val="center"/>
            </w:pPr>
          </w:p>
        </w:tc>
      </w:tr>
      <w:tr w14:paraId="6D178B6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050A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9C2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613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577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57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256C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6961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D2F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A2F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B06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A76977"/>
        </w:tc>
      </w:tr>
    </w:tbl>
    <w:p w14:paraId="426FADC9">
      <w:r>
        <w:br w:type="page"/>
      </w:r>
    </w:p>
    <w:p w14:paraId="7CEF273E">
      <w:pPr>
        <w:spacing w:line="640" w:lineRule="exact"/>
        <w:ind w:firstLine="640"/>
        <w:jc w:val="both"/>
        <w:outlineLvl w:val="2"/>
      </w:pPr>
      <w:r>
        <w:rPr>
          <w:rFonts w:ascii="黑体" w:hAnsi="黑体" w:eastAsia="黑体"/>
          <w:sz w:val="32"/>
        </w:rPr>
        <w:t>十二、其他需说明的事项</w:t>
      </w:r>
    </w:p>
    <w:p w14:paraId="7424D751">
      <w:pPr>
        <w:spacing w:line="580" w:lineRule="exact"/>
        <w:ind w:firstLine="640"/>
        <w:jc w:val="both"/>
      </w:pPr>
      <w:r>
        <w:rPr>
          <w:rFonts w:ascii="仿宋_GB2312" w:hAnsi="仿宋_GB2312" w:eastAsia="仿宋_GB2312"/>
          <w:b w:val="0"/>
          <w:sz w:val="32"/>
        </w:rPr>
        <w:t>本单位无其他需说明的事项。</w:t>
      </w:r>
    </w:p>
    <w:p w14:paraId="6870E36C">
      <w:r>
        <w:br w:type="page"/>
      </w:r>
    </w:p>
    <w:p w14:paraId="727FE9E7">
      <w:pPr>
        <w:spacing w:line="240" w:lineRule="auto"/>
        <w:jc w:val="center"/>
        <w:outlineLvl w:val="1"/>
      </w:pPr>
      <w:r>
        <w:rPr>
          <w:rFonts w:ascii="黑体" w:hAnsi="黑体" w:eastAsia="黑体"/>
          <w:sz w:val="32"/>
        </w:rPr>
        <w:t>第三部分 专业名词解释</w:t>
      </w:r>
    </w:p>
    <w:p w14:paraId="76A7ADE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2F408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9C09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6B26CC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D1C16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923C2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D586B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685AC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99AA8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A2BA6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0F7BA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A332E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31D1E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33B15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71C5E7">
      <w:r>
        <w:br w:type="page"/>
      </w:r>
    </w:p>
    <w:p w14:paraId="65E88A97">
      <w:pPr>
        <w:spacing w:line="240" w:lineRule="auto"/>
        <w:jc w:val="center"/>
        <w:outlineLvl w:val="1"/>
      </w:pPr>
      <w:r>
        <w:rPr>
          <w:rFonts w:ascii="黑体" w:hAnsi="黑体" w:eastAsia="黑体"/>
          <w:sz w:val="32"/>
        </w:rPr>
        <w:t>第四部分 部门决算报表（见附表）</w:t>
      </w:r>
    </w:p>
    <w:p w14:paraId="42114B4C">
      <w:pPr>
        <w:spacing w:line="240" w:lineRule="auto"/>
        <w:ind w:firstLine="640"/>
        <w:jc w:val="both"/>
      </w:pPr>
      <w:r>
        <w:rPr>
          <w:rFonts w:ascii="仿宋_GB2312" w:hAnsi="仿宋_GB2312" w:eastAsia="仿宋_GB2312"/>
          <w:b w:val="0"/>
          <w:sz w:val="32"/>
        </w:rPr>
        <w:t>一、《收入支出决算总表》</w:t>
      </w:r>
    </w:p>
    <w:p w14:paraId="29F91747">
      <w:pPr>
        <w:spacing w:line="240" w:lineRule="auto"/>
        <w:ind w:firstLine="640"/>
        <w:jc w:val="both"/>
      </w:pPr>
      <w:r>
        <w:rPr>
          <w:rFonts w:ascii="仿宋_GB2312" w:hAnsi="仿宋_GB2312" w:eastAsia="仿宋_GB2312"/>
          <w:b w:val="0"/>
          <w:sz w:val="32"/>
        </w:rPr>
        <w:t>二、《收入决算表》</w:t>
      </w:r>
    </w:p>
    <w:p w14:paraId="75754563">
      <w:pPr>
        <w:spacing w:line="240" w:lineRule="auto"/>
        <w:ind w:firstLine="640"/>
        <w:jc w:val="both"/>
      </w:pPr>
      <w:r>
        <w:rPr>
          <w:rFonts w:ascii="仿宋_GB2312" w:hAnsi="仿宋_GB2312" w:eastAsia="仿宋_GB2312"/>
          <w:b w:val="0"/>
          <w:sz w:val="32"/>
        </w:rPr>
        <w:t>三、《支出决算表》</w:t>
      </w:r>
    </w:p>
    <w:p w14:paraId="30A9531F">
      <w:pPr>
        <w:spacing w:line="240" w:lineRule="auto"/>
        <w:ind w:firstLine="640"/>
        <w:jc w:val="both"/>
      </w:pPr>
      <w:r>
        <w:rPr>
          <w:rFonts w:ascii="仿宋_GB2312" w:hAnsi="仿宋_GB2312" w:eastAsia="仿宋_GB2312"/>
          <w:b w:val="0"/>
          <w:sz w:val="32"/>
        </w:rPr>
        <w:t>四、《财政拨款收入支出决算总表》</w:t>
      </w:r>
    </w:p>
    <w:p w14:paraId="355D0208">
      <w:pPr>
        <w:spacing w:line="240" w:lineRule="auto"/>
        <w:ind w:firstLine="640"/>
        <w:jc w:val="both"/>
      </w:pPr>
      <w:r>
        <w:rPr>
          <w:rFonts w:ascii="仿宋_GB2312" w:hAnsi="仿宋_GB2312" w:eastAsia="仿宋_GB2312"/>
          <w:b w:val="0"/>
          <w:sz w:val="32"/>
        </w:rPr>
        <w:t>五、《一般公共预算财政拨款支出决算表》</w:t>
      </w:r>
    </w:p>
    <w:p w14:paraId="03C8373C">
      <w:pPr>
        <w:spacing w:line="240" w:lineRule="auto"/>
        <w:ind w:firstLine="640"/>
        <w:jc w:val="both"/>
      </w:pPr>
      <w:r>
        <w:rPr>
          <w:rFonts w:ascii="仿宋_GB2312" w:hAnsi="仿宋_GB2312" w:eastAsia="仿宋_GB2312"/>
          <w:b w:val="0"/>
          <w:sz w:val="32"/>
        </w:rPr>
        <w:t>六、《一般公共预算财政拨款基本支出决算表》</w:t>
      </w:r>
    </w:p>
    <w:p w14:paraId="0A6EDF28">
      <w:pPr>
        <w:spacing w:line="240" w:lineRule="auto"/>
        <w:ind w:firstLine="640"/>
        <w:jc w:val="both"/>
      </w:pPr>
      <w:r>
        <w:rPr>
          <w:rFonts w:ascii="仿宋_GB2312" w:hAnsi="仿宋_GB2312" w:eastAsia="仿宋_GB2312"/>
          <w:b w:val="0"/>
          <w:sz w:val="32"/>
        </w:rPr>
        <w:t>七、《政府性基金预算财政拨款收入支出决算表》</w:t>
      </w:r>
    </w:p>
    <w:p w14:paraId="69784D8D">
      <w:pPr>
        <w:spacing w:line="240" w:lineRule="auto"/>
        <w:ind w:firstLine="640"/>
        <w:jc w:val="both"/>
      </w:pPr>
      <w:r>
        <w:rPr>
          <w:rFonts w:ascii="仿宋_GB2312" w:hAnsi="仿宋_GB2312" w:eastAsia="仿宋_GB2312"/>
          <w:b w:val="0"/>
          <w:sz w:val="32"/>
        </w:rPr>
        <w:t>八、《国有资本经营预算财政拨款收入支出决算表》</w:t>
      </w:r>
    </w:p>
    <w:p w14:paraId="2C7AADD7">
      <w:pPr>
        <w:spacing w:line="240" w:lineRule="auto"/>
        <w:ind w:firstLine="640"/>
        <w:jc w:val="both"/>
      </w:pPr>
      <w:r>
        <w:rPr>
          <w:rFonts w:ascii="仿宋_GB2312" w:hAnsi="仿宋_GB2312" w:eastAsia="仿宋_GB2312"/>
          <w:b w:val="0"/>
          <w:sz w:val="32"/>
        </w:rPr>
        <w:t>九、《财政拨款“三公”经费支出决算表》</w:t>
      </w:r>
    </w:p>
    <w:p w14:paraId="47A25A01">
      <w:pPr>
        <w:spacing w:line="240" w:lineRule="auto"/>
        <w:ind w:firstLine="640"/>
        <w:jc w:val="both"/>
      </w:pPr>
    </w:p>
    <w:p w14:paraId="716A8057">
      <w:pPr>
        <w:spacing w:line="240" w:lineRule="auto"/>
        <w:ind w:firstLine="640"/>
        <w:jc w:val="both"/>
      </w:pPr>
    </w:p>
    <w:p w14:paraId="032F9694">
      <w:pPr>
        <w:spacing w:line="240" w:lineRule="auto"/>
        <w:ind w:firstLine="640"/>
        <w:jc w:val="both"/>
      </w:pPr>
    </w:p>
    <w:p w14:paraId="0C77749D">
      <w:pPr>
        <w:spacing w:line="240" w:lineRule="auto"/>
        <w:ind w:firstLine="640"/>
        <w:jc w:val="both"/>
      </w:pPr>
    </w:p>
    <w:p w14:paraId="3CDFF04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05DF43-DF0D-4B83-BD32-3F229C66D0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03FCBDE-C120-40B9-83EF-EF962AFFBBE9}"/>
  </w:font>
  <w:font w:name="仿宋_GB2312">
    <w:panose1 w:val="02010609030101010101"/>
    <w:charset w:val="86"/>
    <w:family w:val="modern"/>
    <w:pitch w:val="default"/>
    <w:sig w:usb0="00000001" w:usb1="080E0000" w:usb2="00000000" w:usb3="00000000" w:csb0="00040000" w:csb1="00000000"/>
    <w:embedRegular r:id="rId3" w:fontKey="{F4191F35-D160-4ABE-8623-1E060B1C796F}"/>
  </w:font>
  <w:font w:name="楷体_GB2312">
    <w:panose1 w:val="02010609030101010101"/>
    <w:charset w:val="86"/>
    <w:family w:val="auto"/>
    <w:pitch w:val="default"/>
    <w:sig w:usb0="00000001" w:usb1="080E0000" w:usb2="00000000" w:usb3="00000000" w:csb0="00040000" w:csb1="00000000"/>
    <w:embedRegular r:id="rId4" w:fontKey="{F0B9EB41-FA18-46A2-9C00-079D2CC79C3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546A8"/>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7E02E9"/>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12010</Words>
  <Characters>13913</Characters>
  <Lines>0</Lines>
  <Paragraphs>0</Paragraphs>
  <TotalTime>10</TotalTime>
  <ScaleCrop>false</ScaleCrop>
  <LinksUpToDate>false</LinksUpToDate>
  <CharactersWithSpaces>13930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2025-09-16T07:57:43Z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