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B825F">
      <w:pPr>
        <w:rPr>
          <w:color w:val="auto"/>
          <w:highlight w:val="none"/>
        </w:rPr>
      </w:pPr>
      <w:bookmarkStart w:id="37" w:name="_GoBack"/>
    </w:p>
    <w:p w14:paraId="28492899">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1230E13B">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3BEE17AE">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54BD5214">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highlight w:val="none"/>
        </w:rPr>
      </w:pPr>
      <w:r>
        <w:rPr>
          <w:rFonts w:hint="eastAsia" w:ascii="宋体" w:hAnsi="宋体" w:eastAsia="宋体" w:cs="Arial"/>
          <w:b/>
          <w:bCs/>
          <w:color w:val="auto"/>
          <w:sz w:val="48"/>
          <w:szCs w:val="48"/>
          <w:highlight w:val="none"/>
        </w:rPr>
        <w:t>项目支出绩效评价报告</w:t>
      </w:r>
    </w:p>
    <w:p w14:paraId="71037FA2">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7343D8F9">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hint="eastAsia" w:ascii="红豆小标宋简体" w:hAnsi="红豆小标宋简体" w:eastAsia="红豆小标宋简体" w:cs="红豆小标宋简体"/>
          <w:color w:val="auto"/>
          <w:kern w:val="0"/>
          <w:sz w:val="32"/>
          <w:szCs w:val="32"/>
          <w:highlight w:val="none"/>
        </w:rPr>
        <w:t>（2</w:t>
      </w:r>
      <w:r>
        <w:rPr>
          <w:rFonts w:ascii="红豆小标宋简体" w:hAnsi="红豆小标宋简体" w:eastAsia="红豆小标宋简体" w:cs="红豆小标宋简体"/>
          <w:color w:val="auto"/>
          <w:kern w:val="0"/>
          <w:sz w:val="32"/>
          <w:szCs w:val="32"/>
          <w:highlight w:val="none"/>
        </w:rPr>
        <w:t>02</w:t>
      </w:r>
      <w:r>
        <w:rPr>
          <w:rFonts w:hint="eastAsia" w:ascii="红豆小标宋简体" w:hAnsi="红豆小标宋简体" w:eastAsia="红豆小标宋简体" w:cs="红豆小标宋简体"/>
          <w:color w:val="auto"/>
          <w:kern w:val="0"/>
          <w:sz w:val="32"/>
          <w:szCs w:val="32"/>
          <w:highlight w:val="none"/>
          <w:lang w:val="en-US" w:eastAsia="zh-CN"/>
        </w:rPr>
        <w:t>4</w:t>
      </w:r>
      <w:r>
        <w:rPr>
          <w:rFonts w:hint="eastAsia" w:ascii="红豆小标宋简体" w:hAnsi="红豆小标宋简体" w:eastAsia="红豆小标宋简体" w:cs="红豆小标宋简体"/>
          <w:color w:val="auto"/>
          <w:kern w:val="0"/>
          <w:sz w:val="32"/>
          <w:szCs w:val="32"/>
          <w:highlight w:val="none"/>
        </w:rPr>
        <w:t>年度）</w:t>
      </w:r>
    </w:p>
    <w:p w14:paraId="5F5B1793">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597077FE">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09D2FB0E">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293C371B">
      <w:pPr>
        <w:pStyle w:val="4"/>
        <w:rPr>
          <w:rFonts w:ascii="仿宋_GB2312" w:hAnsi="仿宋_GB2312" w:cs="仿宋_GB2312"/>
          <w:b/>
          <w:color w:val="auto"/>
          <w:kern w:val="0"/>
          <w:sz w:val="32"/>
          <w:szCs w:val="32"/>
          <w:highlight w:val="none"/>
          <w:lang w:bidi="en-US"/>
        </w:rPr>
      </w:pPr>
    </w:p>
    <w:p w14:paraId="5B013FA2">
      <w:pPr>
        <w:rPr>
          <w:rFonts w:ascii="仿宋_GB2312" w:hAnsi="仿宋_GB2312" w:cs="仿宋_GB2312"/>
          <w:b/>
          <w:color w:val="auto"/>
          <w:kern w:val="0"/>
          <w:sz w:val="32"/>
          <w:szCs w:val="32"/>
          <w:highlight w:val="none"/>
          <w:lang w:bidi="en-US"/>
        </w:rPr>
      </w:pPr>
    </w:p>
    <w:p w14:paraId="0BB243D9">
      <w:pPr>
        <w:pStyle w:val="4"/>
        <w:rPr>
          <w:rFonts w:ascii="仿宋_GB2312" w:hAnsi="仿宋_GB2312" w:cs="仿宋_GB2312"/>
          <w:b/>
          <w:color w:val="auto"/>
          <w:kern w:val="0"/>
          <w:sz w:val="32"/>
          <w:szCs w:val="32"/>
          <w:highlight w:val="none"/>
          <w:lang w:bidi="en-US"/>
        </w:rPr>
      </w:pPr>
    </w:p>
    <w:p w14:paraId="5A2860B7">
      <w:pPr>
        <w:rPr>
          <w:color w:val="auto"/>
          <w:highlight w:val="none"/>
        </w:rPr>
      </w:pPr>
    </w:p>
    <w:p w14:paraId="0E182D66">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3936C900">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263C10A6">
      <w:pPr>
        <w:pageBreakBefore w:val="0"/>
        <w:kinsoku/>
        <w:wordWrap/>
        <w:overflowPunct/>
        <w:topLinePunct w:val="0"/>
        <w:autoSpaceDE/>
        <w:autoSpaceDN/>
        <w:bidi w:val="0"/>
        <w:adjustRightInd/>
        <w:snapToGrid/>
        <w:spacing w:line="560" w:lineRule="exact"/>
        <w:ind w:firstLine="643" w:firstLineChars="200"/>
        <w:textAlignment w:val="auto"/>
        <w:rPr>
          <w:rFonts w:hint="default"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项目名称：</w:t>
      </w:r>
      <w:bookmarkStart w:id="0" w:name="OLE_LINK14"/>
      <w:r>
        <w:rPr>
          <w:rFonts w:hint="eastAsia" w:ascii="宋体" w:hAnsi="宋体" w:eastAsia="宋体" w:cs="仿宋_GB2312"/>
          <w:b/>
          <w:bCs/>
          <w:color w:val="auto"/>
          <w:kern w:val="0"/>
          <w:sz w:val="32"/>
          <w:szCs w:val="32"/>
          <w:highlight w:val="none"/>
          <w:lang w:val="en-US" w:eastAsia="zh-CN"/>
        </w:rPr>
        <w:t>2024年度棚户区改造项目支出补偿款费用 汇总</w:t>
      </w:r>
      <w:bookmarkEnd w:id="0"/>
    </w:p>
    <w:p w14:paraId="51B26767">
      <w:pPr>
        <w:pageBreakBefore w:val="0"/>
        <w:kinsoku/>
        <w:wordWrap/>
        <w:overflowPunct/>
        <w:topLinePunct w:val="0"/>
        <w:autoSpaceDE/>
        <w:autoSpaceDN/>
        <w:bidi w:val="0"/>
        <w:adjustRightInd/>
        <w:snapToGrid/>
        <w:spacing w:line="560" w:lineRule="exact"/>
        <w:ind w:firstLine="643" w:firstLineChars="200"/>
        <w:textAlignment w:val="auto"/>
        <w:rPr>
          <w:rFonts w:hint="default"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val="en-US" w:eastAsia="zh-CN"/>
        </w:rPr>
        <w:t>轮台县住</w:t>
      </w:r>
      <w:bookmarkStart w:id="1" w:name="OLE_LINK3"/>
      <w:r>
        <w:rPr>
          <w:rFonts w:hint="eastAsia" w:ascii="宋体" w:hAnsi="宋体" w:eastAsia="宋体" w:cs="仿宋_GB2312"/>
          <w:b/>
          <w:bCs/>
          <w:color w:val="auto"/>
          <w:kern w:val="0"/>
          <w:sz w:val="32"/>
          <w:szCs w:val="32"/>
          <w:highlight w:val="none"/>
          <w:lang w:val="en-US" w:eastAsia="zh-CN"/>
        </w:rPr>
        <w:t>房和城乡建设局</w:t>
      </w:r>
      <w:bookmarkEnd w:id="1"/>
    </w:p>
    <w:p w14:paraId="410B2DAB">
      <w:pPr>
        <w:pageBreakBefore w:val="0"/>
        <w:kinsoku/>
        <w:wordWrap/>
        <w:overflowPunct/>
        <w:topLinePunct w:val="0"/>
        <w:autoSpaceDE/>
        <w:autoSpaceDN/>
        <w:bidi w:val="0"/>
        <w:adjustRightInd/>
        <w:snapToGrid/>
        <w:spacing w:line="560" w:lineRule="exact"/>
        <w:ind w:firstLine="643" w:firstLineChars="200"/>
        <w:textAlignment w:val="auto"/>
        <w:rPr>
          <w:rFonts w:hint="default"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val="en-US" w:eastAsia="zh-CN"/>
        </w:rPr>
        <w:t>轮台县住房和城乡建设局</w:t>
      </w:r>
    </w:p>
    <w:p w14:paraId="492696F3">
      <w:pPr>
        <w:pageBreakBefore w:val="0"/>
        <w:kinsoku/>
        <w:wordWrap/>
        <w:overflowPunct/>
        <w:topLinePunct w:val="0"/>
        <w:autoSpaceDE/>
        <w:autoSpaceDN/>
        <w:bidi w:val="0"/>
        <w:adjustRightInd/>
        <w:snapToGrid/>
        <w:spacing w:line="560" w:lineRule="exact"/>
        <w:ind w:firstLine="643" w:firstLineChars="200"/>
        <w:textAlignment w:val="auto"/>
        <w:rPr>
          <w:rFonts w:hint="default"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val="en-US" w:eastAsia="zh-CN"/>
        </w:rPr>
        <w:t>杨振</w:t>
      </w:r>
    </w:p>
    <w:p w14:paraId="39FE6132">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rPr>
        <w:t>填报时间：202</w:t>
      </w:r>
      <w:r>
        <w:rPr>
          <w:rFonts w:hint="eastAsia" w:ascii="宋体" w:hAnsi="宋体" w:eastAsia="宋体" w:cs="仿宋_GB2312"/>
          <w:b/>
          <w:bCs/>
          <w:color w:val="auto"/>
          <w:kern w:val="0"/>
          <w:sz w:val="32"/>
          <w:szCs w:val="32"/>
          <w:highlight w:val="none"/>
          <w:lang w:val="en-US" w:eastAsia="zh-CN"/>
        </w:rPr>
        <w:t>5</w:t>
      </w:r>
      <w:r>
        <w:rPr>
          <w:rFonts w:hint="eastAsia" w:ascii="宋体" w:hAnsi="宋体" w:eastAsia="宋体" w:cs="仿宋_GB2312"/>
          <w:b/>
          <w:bCs/>
          <w:color w:val="auto"/>
          <w:kern w:val="0"/>
          <w:sz w:val="32"/>
          <w:szCs w:val="32"/>
          <w:highlight w:val="none"/>
        </w:rPr>
        <w:t>年</w:t>
      </w:r>
      <w:r>
        <w:rPr>
          <w:rFonts w:hint="eastAsia" w:ascii="宋体" w:hAnsi="宋体" w:eastAsia="宋体" w:cs="仿宋_GB2312"/>
          <w:b/>
          <w:bCs/>
          <w:color w:val="auto"/>
          <w:kern w:val="0"/>
          <w:sz w:val="32"/>
          <w:szCs w:val="32"/>
          <w:highlight w:val="none"/>
          <w:lang w:val="en-US" w:eastAsia="zh-CN"/>
        </w:rPr>
        <w:t>03</w:t>
      </w:r>
      <w:r>
        <w:rPr>
          <w:rFonts w:hint="eastAsia" w:ascii="宋体" w:hAnsi="宋体" w:eastAsia="宋体" w:cs="仿宋_GB2312"/>
          <w:b/>
          <w:bCs/>
          <w:color w:val="auto"/>
          <w:kern w:val="0"/>
          <w:sz w:val="32"/>
          <w:szCs w:val="32"/>
          <w:highlight w:val="none"/>
        </w:rPr>
        <w:t>月</w:t>
      </w:r>
      <w:r>
        <w:rPr>
          <w:rFonts w:hint="eastAsia" w:ascii="宋体" w:hAnsi="宋体" w:eastAsia="宋体" w:cs="仿宋_GB2312"/>
          <w:b/>
          <w:bCs/>
          <w:color w:val="auto"/>
          <w:kern w:val="0"/>
          <w:sz w:val="32"/>
          <w:szCs w:val="32"/>
          <w:highlight w:val="none"/>
          <w:lang w:val="en-US" w:eastAsia="zh-CN"/>
        </w:rPr>
        <w:t>25</w:t>
      </w:r>
      <w:r>
        <w:rPr>
          <w:rFonts w:hint="eastAsia" w:ascii="宋体" w:hAnsi="宋体" w:eastAsia="宋体" w:cs="仿宋_GB2312"/>
          <w:b/>
          <w:bCs/>
          <w:color w:val="auto"/>
          <w:kern w:val="0"/>
          <w:sz w:val="32"/>
          <w:szCs w:val="32"/>
          <w:highlight w:val="none"/>
        </w:rPr>
        <w:t>日</w:t>
      </w:r>
    </w:p>
    <w:p w14:paraId="7C848D81">
      <w:pPr>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宋体" w:hAnsi="宋体" w:eastAsia="宋体" w:cs="Arial"/>
          <w:b/>
          <w:bCs/>
          <w:color w:val="auto"/>
          <w:sz w:val="32"/>
          <w:szCs w:val="32"/>
          <w:highlight w:val="none"/>
        </w:rPr>
      </w:pPr>
      <w:r>
        <w:rPr>
          <w:color w:val="auto"/>
          <w:highlight w:val="none"/>
        </w:rPr>
        <w:br w:type="page"/>
      </w:r>
    </w:p>
    <w:p w14:paraId="0A1CDEF0">
      <w:pPr>
        <w:pageBreakBefore w:val="0"/>
        <w:kinsoku/>
        <w:wordWrap/>
        <w:overflowPunct/>
        <w:topLinePunct w:val="0"/>
        <w:autoSpaceDE/>
        <w:autoSpaceDN/>
        <w:bidi w:val="0"/>
        <w:adjustRightInd/>
        <w:snapToGrid/>
        <w:spacing w:line="560" w:lineRule="exact"/>
        <w:ind w:firstLine="883" w:firstLineChars="200"/>
        <w:jc w:val="center"/>
        <w:textAlignment w:val="auto"/>
        <w:rPr>
          <w:rFonts w:ascii="Arial" w:hAnsi="Arial" w:eastAsia="宋体" w:cs="Arial"/>
          <w:b/>
          <w:bCs/>
          <w:color w:val="auto"/>
          <w:sz w:val="44"/>
          <w:szCs w:val="44"/>
          <w:highlight w:val="none"/>
        </w:rPr>
      </w:pPr>
      <w:r>
        <w:rPr>
          <w:rFonts w:hint="eastAsia" w:ascii="宋体" w:hAnsi="宋体" w:eastAsia="宋体" w:cs="Arial"/>
          <w:b/>
          <w:bCs/>
          <w:color w:val="auto"/>
          <w:sz w:val="44"/>
          <w:szCs w:val="44"/>
          <w:highlight w:val="none"/>
        </w:rPr>
        <w:t>项目支出</w:t>
      </w:r>
      <w:r>
        <w:rPr>
          <w:rFonts w:ascii="宋体" w:hAnsi="宋体" w:eastAsia="宋体" w:cs="Arial"/>
          <w:b/>
          <w:bCs/>
          <w:color w:val="auto"/>
          <w:sz w:val="44"/>
          <w:szCs w:val="44"/>
          <w:highlight w:val="none"/>
        </w:rPr>
        <w:t>绩效</w:t>
      </w:r>
      <w:r>
        <w:rPr>
          <w:rFonts w:hint="eastAsia" w:ascii="宋体" w:hAnsi="宋体" w:eastAsia="宋体" w:cs="Arial"/>
          <w:b/>
          <w:bCs/>
          <w:color w:val="auto"/>
          <w:sz w:val="44"/>
          <w:szCs w:val="44"/>
          <w:highlight w:val="none"/>
        </w:rPr>
        <w:t>评价报告</w:t>
      </w:r>
    </w:p>
    <w:p w14:paraId="3EA9095B">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2" w:name="_Toc68703827"/>
      <w:r>
        <w:rPr>
          <w:rFonts w:hint="eastAsia" w:ascii="宋体" w:hAnsi="宋体" w:eastAsia="宋体"/>
          <w:color w:val="auto"/>
          <w:sz w:val="32"/>
          <w:szCs w:val="32"/>
          <w:highlight w:val="none"/>
        </w:rPr>
        <w:t>一、基本情况</w:t>
      </w:r>
      <w:bookmarkEnd w:id="2"/>
    </w:p>
    <w:p w14:paraId="2D49B481">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rPr>
      </w:pPr>
      <w:bookmarkStart w:id="3" w:name="_Toc68703828"/>
      <w:r>
        <w:rPr>
          <w:rFonts w:hint="eastAsia" w:ascii="仿宋_GB2312" w:eastAsia="仿宋_GB2312"/>
          <w:b/>
          <w:bCs/>
          <w:color w:val="auto"/>
          <w:sz w:val="32"/>
          <w:szCs w:val="32"/>
          <w:highlight w:val="none"/>
        </w:rPr>
        <w:t>（一）项目概况</w:t>
      </w:r>
      <w:r>
        <w:rPr>
          <w:rFonts w:hint="eastAsia" w:ascii="仿宋_GB2312" w:eastAsia="仿宋_GB2312"/>
          <w:b w:val="0"/>
          <w:bCs w:val="0"/>
          <w:color w:val="auto"/>
          <w:sz w:val="32"/>
          <w:szCs w:val="32"/>
          <w:highlight w:val="none"/>
        </w:rPr>
        <w:t>。</w:t>
      </w:r>
      <w:bookmarkEnd w:id="3"/>
    </w:p>
    <w:p w14:paraId="4950152C">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b/>
          <w:bCs/>
          <w:color w:val="auto"/>
          <w:sz w:val="32"/>
          <w:szCs w:val="32"/>
          <w:highlight w:val="none"/>
        </w:rPr>
      </w:pPr>
      <w:r>
        <w:rPr>
          <w:rFonts w:hint="eastAsia" w:ascii="仿宋_GB2312"/>
          <w:b/>
          <w:bCs/>
          <w:color w:val="auto"/>
          <w:sz w:val="32"/>
          <w:szCs w:val="32"/>
          <w:highlight w:val="none"/>
          <w:lang w:val="en-US" w:eastAsia="zh-CN"/>
        </w:rPr>
        <w:t>1.</w:t>
      </w:r>
      <w:r>
        <w:rPr>
          <w:rFonts w:hint="eastAsia" w:ascii="仿宋_GB2312"/>
          <w:b/>
          <w:bCs/>
          <w:color w:val="auto"/>
          <w:sz w:val="32"/>
          <w:szCs w:val="32"/>
          <w:highlight w:val="none"/>
        </w:rPr>
        <w:t>项目背景，主要内容及实施情况</w:t>
      </w:r>
    </w:p>
    <w:p w14:paraId="4E998C53">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sz w:val="32"/>
          <w:szCs w:val="32"/>
          <w:highlight w:val="none"/>
          <w:lang w:eastAsia="zh-CN"/>
        </w:rPr>
      </w:pPr>
      <w:r>
        <w:rPr>
          <w:rFonts w:hint="eastAsia" w:ascii="仿宋_GB2312"/>
          <w:color w:val="auto"/>
          <w:sz w:val="32"/>
          <w:szCs w:val="32"/>
          <w:highlight w:val="none"/>
        </w:rPr>
        <w:t>（1）项目背景</w:t>
      </w:r>
      <w:r>
        <w:rPr>
          <w:rFonts w:hint="eastAsia" w:ascii="仿宋_GB2312"/>
          <w:color w:val="auto"/>
          <w:sz w:val="32"/>
          <w:szCs w:val="32"/>
          <w:highlight w:val="none"/>
          <w:lang w:eastAsia="zh-CN"/>
        </w:rPr>
        <w:t>：</w:t>
      </w:r>
    </w:p>
    <w:p w14:paraId="09431203">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根据自治区第六巡视组巡视轮台县反馈意见“在棚户区改造项目违规引进开发商参与拆迁，直接由开发商负责人负责开发范围内标近补偿”的问题和</w:t>
      </w:r>
      <w:r>
        <w:rPr>
          <w:rFonts w:hint="default" w:ascii="仿宋" w:hAnsi="仿宋" w:eastAsia="仿宋" w:cs="仿宋"/>
          <w:color w:val="auto"/>
          <w:sz w:val="32"/>
          <w:szCs w:val="32"/>
          <w:highlight w:val="none"/>
          <w:lang w:val="en-US" w:eastAsia="zh-CN"/>
        </w:rPr>
        <w:t xml:space="preserve">我县““十四五”规划”、县城城市近期建设规划及2022 年棚户区改造项目需要，我县自2022年启动棚户区改造工作，截至目前已签订征收补偿协议1974份，已拆除房屋1588 户。根据《轮台县2022年棚户区改造项目房屋征收决定》 </w:t>
      </w:r>
      <w:bookmarkStart w:id="4" w:name="OLE_LINK5"/>
      <w:r>
        <w:rPr>
          <w:rFonts w:hint="default" w:ascii="仿宋" w:hAnsi="仿宋" w:eastAsia="仿宋" w:cs="仿宋"/>
          <w:color w:val="auto"/>
          <w:sz w:val="32"/>
          <w:szCs w:val="32"/>
          <w:highlight w:val="none"/>
          <w:lang w:val="en-US" w:eastAsia="zh-CN"/>
        </w:rPr>
        <w:t>(轮政发[2022]30号)文件</w:t>
      </w:r>
      <w:bookmarkEnd w:id="4"/>
      <w:r>
        <w:rPr>
          <w:rFonts w:hint="default" w:ascii="仿宋" w:hAnsi="仿宋" w:eastAsia="仿宋" w:cs="仿宋"/>
          <w:color w:val="auto"/>
          <w:sz w:val="32"/>
          <w:szCs w:val="32"/>
          <w:highlight w:val="none"/>
          <w:lang w:val="en-US" w:eastAsia="zh-CN"/>
        </w:rPr>
        <w:t>“选择产权调换的棚改户支付过渡费。过渡费一房屋所在地类房屋市场租赁价格(900元/月)×过渡月数”，因县内大部分开发企业建设的商品房暂未交付，还需</w:t>
      </w:r>
      <w:r>
        <w:rPr>
          <w:rFonts w:hint="eastAsia" w:ascii="仿宋" w:hAnsi="仿宋" w:eastAsia="仿宋" w:cs="仿宋"/>
          <w:color w:val="auto"/>
          <w:sz w:val="32"/>
          <w:szCs w:val="32"/>
          <w:highlight w:val="none"/>
          <w:lang w:val="en-US" w:eastAsia="zh-CN"/>
        </w:rPr>
        <w:t>按时</w:t>
      </w:r>
      <w:r>
        <w:rPr>
          <w:rFonts w:hint="default" w:ascii="仿宋" w:hAnsi="仿宋" w:eastAsia="仿宋" w:cs="仿宋"/>
          <w:color w:val="auto"/>
          <w:sz w:val="32"/>
          <w:szCs w:val="32"/>
          <w:highlight w:val="none"/>
          <w:lang w:val="en-US" w:eastAsia="zh-CN"/>
        </w:rPr>
        <w:t>支付</w:t>
      </w:r>
      <w:r>
        <w:rPr>
          <w:rFonts w:hint="eastAsia" w:ascii="仿宋" w:hAnsi="仿宋" w:eastAsia="仿宋" w:cs="仿宋"/>
          <w:color w:val="auto"/>
          <w:sz w:val="32"/>
          <w:szCs w:val="32"/>
          <w:highlight w:val="none"/>
          <w:lang w:val="en-US" w:eastAsia="zh-CN"/>
        </w:rPr>
        <w:t>被征收户</w:t>
      </w:r>
      <w:r>
        <w:rPr>
          <w:rFonts w:hint="default" w:ascii="仿宋" w:hAnsi="仿宋" w:eastAsia="仿宋" w:cs="仿宋"/>
          <w:color w:val="auto"/>
          <w:sz w:val="32"/>
          <w:szCs w:val="32"/>
          <w:highlight w:val="none"/>
          <w:lang w:val="en-US" w:eastAsia="zh-CN"/>
        </w:rPr>
        <w:t>过渡费。因目前征收补偿款尚未到位，结合自治区党委第六巡视组反馈的“群众利益和诉求解决不及时”的问题</w:t>
      </w:r>
      <w:r>
        <w:rPr>
          <w:rFonts w:hint="eastAsia" w:ascii="仿宋" w:hAnsi="仿宋" w:eastAsia="仿宋" w:cs="仿宋"/>
          <w:color w:val="auto"/>
          <w:sz w:val="32"/>
          <w:szCs w:val="32"/>
          <w:highlight w:val="none"/>
          <w:lang w:val="en-US" w:eastAsia="zh-CN"/>
        </w:rPr>
        <w:t>，开展</w:t>
      </w:r>
      <w:bookmarkStart w:id="5" w:name="OLE_LINK4"/>
      <w:r>
        <w:rPr>
          <w:rFonts w:hint="eastAsia" w:ascii="仿宋" w:hAnsi="仿宋" w:eastAsia="仿宋" w:cs="仿宋"/>
          <w:color w:val="auto"/>
          <w:sz w:val="32"/>
          <w:szCs w:val="32"/>
          <w:highlight w:val="none"/>
          <w:lang w:val="en-US" w:eastAsia="zh-CN"/>
        </w:rPr>
        <w:t>2024年度棚户区改造项目支出补偿款费用 汇总</w:t>
      </w:r>
      <w:bookmarkEnd w:id="5"/>
      <w:r>
        <w:rPr>
          <w:rFonts w:hint="eastAsia" w:ascii="仿宋" w:hAnsi="仿宋" w:eastAsia="仿宋" w:cs="仿宋"/>
          <w:color w:val="auto"/>
          <w:sz w:val="32"/>
          <w:szCs w:val="32"/>
          <w:highlight w:val="none"/>
          <w:lang w:val="en-US" w:eastAsia="zh-CN"/>
        </w:rPr>
        <w:t>项目。</w:t>
      </w:r>
    </w:p>
    <w:p w14:paraId="481F1919">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w:t>
      </w:r>
      <w:r>
        <w:rPr>
          <w:rFonts w:hint="eastAsia" w:ascii="仿宋_GB2312"/>
          <w:color w:val="auto"/>
          <w:sz w:val="32"/>
          <w:szCs w:val="32"/>
          <w:highlight w:val="none"/>
          <w:lang w:val="en-US" w:eastAsia="zh-CN"/>
        </w:rPr>
        <w:t>2</w:t>
      </w:r>
      <w:r>
        <w:rPr>
          <w:rFonts w:hint="eastAsia" w:ascii="仿宋_GB2312"/>
          <w:color w:val="auto"/>
          <w:sz w:val="32"/>
          <w:szCs w:val="32"/>
          <w:highlight w:val="none"/>
        </w:rPr>
        <w:t>）主要内容</w:t>
      </w:r>
      <w:r>
        <w:rPr>
          <w:rFonts w:hint="eastAsia"/>
          <w:color w:val="auto"/>
          <w:sz w:val="32"/>
          <w:szCs w:val="32"/>
          <w:highlight w:val="none"/>
        </w:rPr>
        <w:t>及</w:t>
      </w:r>
      <w:r>
        <w:rPr>
          <w:rFonts w:hint="eastAsia" w:ascii="仿宋_GB2312"/>
          <w:color w:val="auto"/>
          <w:sz w:val="32"/>
          <w:szCs w:val="32"/>
          <w:highlight w:val="none"/>
        </w:rPr>
        <w:t>实施情况</w:t>
      </w:r>
    </w:p>
    <w:p w14:paraId="7E2078D9">
      <w:pPr>
        <w:pStyle w:val="24"/>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主要内容：</w:t>
      </w:r>
      <w:bookmarkStart w:id="6" w:name="OLE_LINK1"/>
    </w:p>
    <w:p w14:paraId="509C4643">
      <w:pPr>
        <w:pStyle w:val="24"/>
        <w:pageBreakBefore w:val="0"/>
        <w:numPr>
          <w:ilvl w:val="0"/>
          <w:numId w:val="0"/>
        </w:numPr>
        <w:kinsoku/>
        <w:wordWrap/>
        <w:overflowPunct/>
        <w:topLinePunct w:val="0"/>
        <w:bidi w:val="0"/>
        <w:snapToGrid/>
        <w:spacing w:line="560" w:lineRule="exact"/>
        <w:ind w:firstLine="640" w:firstLineChars="200"/>
        <w:jc w:val="left"/>
        <w:textAlignment w:val="auto"/>
        <w:rPr>
          <w:rFonts w:hint="default"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项目</w:t>
      </w:r>
      <w:r>
        <w:rPr>
          <w:rFonts w:hint="eastAsia" w:ascii="仿宋" w:hAnsi="仿宋" w:eastAsia="仿宋" w:cs="仿宋"/>
          <w:b w:val="0"/>
          <w:bCs w:val="0"/>
          <w:color w:val="auto"/>
          <w:kern w:val="2"/>
          <w:sz w:val="32"/>
          <w:szCs w:val="32"/>
          <w:highlight w:val="none"/>
          <w:lang w:val="en-US" w:eastAsia="zh-CN" w:bidi="ar-SA"/>
        </w:rPr>
        <w:t>资金6503.21万元，给980余户被征收人发放部分征收补偿款、过渡费5433.59万元，平均发放征收补偿款5.54万元，有效改善居住环境。依法依规的拆迁，推进整改自治区党委第六巡视组反馈的群众利益和诉求解决不及时”的问题。给4家评估公司结算部分测绘评估费69.62万元，给建祥公司结算部分房屋拆除垃圾清运费1000万元，继续推进棚户区改造征收工作后续的持续评估测绘和垃圾清运，改善居住环境，保障5家公司的合法权益。</w:t>
      </w:r>
      <w:bookmarkEnd w:id="6"/>
    </w:p>
    <w:p w14:paraId="1FBBBB0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实施情况：</w:t>
      </w:r>
    </w:p>
    <w:p w14:paraId="57CF3862">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 w:hAnsi="仿宋" w:eastAsia="仿宋" w:cs="仿宋"/>
          <w:b w:val="0"/>
          <w:bCs w:val="0"/>
          <w:color w:val="auto"/>
          <w:kern w:val="2"/>
          <w:sz w:val="32"/>
          <w:szCs w:val="32"/>
          <w:highlight w:val="none"/>
          <w:lang w:val="en-US" w:eastAsia="zh-CN" w:bidi="ar-SA"/>
        </w:rPr>
        <w:t>我单位本年度加快推进了轮台县城镇棚户区改造工作，达到了预期改造工作效果，已完成980户拆迁补偿款、安置过渡费补偿款发放，完成了4家公司评估测绘费、1家公司拆迁清运费的结算，提高了棚户区改造工作进度，改善了被征收户居住环境。</w:t>
      </w:r>
    </w:p>
    <w:p w14:paraId="1AB07C9D">
      <w:pPr>
        <w:pageBreakBefore w:val="0"/>
        <w:kinsoku/>
        <w:wordWrap/>
        <w:overflowPunct/>
        <w:topLinePunct w:val="0"/>
        <w:autoSpaceDE/>
        <w:autoSpaceDN/>
        <w:bidi w:val="0"/>
        <w:adjustRightInd/>
        <w:snapToGrid/>
        <w:spacing w:line="560" w:lineRule="exact"/>
        <w:ind w:firstLine="643" w:firstLineChars="200"/>
        <w:textAlignment w:val="auto"/>
        <w:rPr>
          <w:rFonts w:ascii="仿宋_GB2312"/>
          <w:b/>
          <w:bCs/>
          <w:color w:val="auto"/>
          <w:sz w:val="32"/>
          <w:szCs w:val="32"/>
          <w:highlight w:val="none"/>
        </w:rPr>
      </w:pPr>
      <w:r>
        <w:rPr>
          <w:rFonts w:hint="eastAsia" w:ascii="仿宋_GB2312"/>
          <w:b/>
          <w:bCs/>
          <w:color w:val="auto"/>
          <w:sz w:val="32"/>
          <w:szCs w:val="32"/>
          <w:highlight w:val="none"/>
          <w:lang w:val="en-US" w:eastAsia="zh-CN"/>
        </w:rPr>
        <w:t>2.</w:t>
      </w:r>
      <w:r>
        <w:rPr>
          <w:rFonts w:hint="eastAsia" w:ascii="仿宋_GB2312"/>
          <w:b/>
          <w:bCs/>
          <w:color w:val="auto"/>
          <w:sz w:val="32"/>
          <w:szCs w:val="32"/>
          <w:highlight w:val="none"/>
        </w:rPr>
        <w:t>资金投入和使用情况</w:t>
      </w:r>
    </w:p>
    <w:p w14:paraId="42E62045">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3588985E">
      <w:pPr>
        <w:shd w:val="clear" w:color="auto" w:fill="auto"/>
        <w:spacing w:line="600" w:lineRule="exact"/>
        <w:ind w:firstLine="640" w:firstLineChars="200"/>
        <w:outlineLvl w:val="0"/>
        <w:rPr>
          <w:rFonts w:hint="eastAsia"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bookmarkStart w:id="7" w:name="OLE_LINK2"/>
      <w:r>
        <w:rPr>
          <w:rFonts w:hint="eastAsia" w:cs="Times New Roman"/>
          <w:color w:val="auto"/>
          <w:sz w:val="32"/>
          <w:szCs w:val="32"/>
          <w:highlight w:val="none"/>
          <w:lang w:val="en-US" w:eastAsia="zh-CN"/>
        </w:rPr>
        <w:t>6503.21</w:t>
      </w:r>
      <w:bookmarkEnd w:id="7"/>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6503.21</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eastAsia" w:cs="Times New Roman"/>
          <w:color w:val="auto"/>
          <w:sz w:val="32"/>
          <w:szCs w:val="32"/>
          <w:highlight w:val="none"/>
          <w:lang w:val="en-US" w:eastAsia="zh-CN"/>
        </w:rPr>
        <w:t>。</w:t>
      </w:r>
    </w:p>
    <w:p w14:paraId="3F720C25">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0A0B8155">
      <w:pPr>
        <w:pageBreakBefore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cs="Times New Roman"/>
          <w:color w:val="auto"/>
          <w:sz w:val="32"/>
          <w:szCs w:val="32"/>
          <w:highlight w:val="none"/>
          <w:lang w:val="en-US" w:eastAsia="zh-CN"/>
        </w:rPr>
        <w:t>6503.21</w:t>
      </w:r>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6503.21</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cs="Times New Roman"/>
          <w:color w:val="auto"/>
          <w:sz w:val="32"/>
          <w:szCs w:val="32"/>
          <w:highlight w:val="none"/>
          <w:lang w:val="en-US" w:eastAsia="zh-CN"/>
        </w:rPr>
        <w:t>6494.85</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99.87</w:t>
      </w:r>
      <w:r>
        <w:rPr>
          <w:rFonts w:hint="default" w:ascii="Times New Roman" w:hAnsi="Times New Roman" w:eastAsia="仿宋_GB2312" w:cs="Times New Roman"/>
          <w:color w:val="auto"/>
          <w:sz w:val="32"/>
          <w:szCs w:val="32"/>
          <w:highlight w:val="none"/>
          <w:lang w:val="en-US" w:eastAsia="zh-CN"/>
        </w:rPr>
        <w:t>%，主要用于：</w:t>
      </w:r>
      <w:r>
        <w:rPr>
          <w:rFonts w:hint="eastAsia"/>
          <w:color w:val="auto"/>
          <w:sz w:val="32"/>
          <w:szCs w:val="32"/>
          <w:highlight w:val="none"/>
          <w:lang w:val="en-US" w:eastAsia="zh-CN"/>
        </w:rPr>
        <w:t>开展征收补偿工作</w:t>
      </w:r>
      <w:r>
        <w:rPr>
          <w:rFonts w:hint="eastAsia"/>
          <w:color w:val="auto"/>
          <w:sz w:val="32"/>
          <w:szCs w:val="32"/>
          <w:highlight w:val="none"/>
          <w:lang w:val="en-US" w:eastAsia="zh-CN"/>
        </w:rPr>
        <w:t>6494.85</w:t>
      </w:r>
      <w:r>
        <w:rPr>
          <w:rFonts w:hint="eastAsia"/>
          <w:color w:val="auto"/>
          <w:sz w:val="32"/>
          <w:szCs w:val="32"/>
          <w:highlight w:val="none"/>
          <w:lang w:val="en-US" w:eastAsia="zh-CN"/>
        </w:rPr>
        <w:t>万元。</w:t>
      </w:r>
    </w:p>
    <w:p w14:paraId="6FFB3A7A">
      <w:pPr>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bCs/>
          <w:color w:val="auto"/>
          <w:sz w:val="32"/>
          <w:szCs w:val="32"/>
          <w:highlight w:val="none"/>
          <w:lang w:val="en-US" w:eastAsia="zh-CN"/>
        </w:rPr>
      </w:pPr>
      <w:bookmarkStart w:id="8" w:name="_Toc68703829"/>
      <w:r>
        <w:rPr>
          <w:rFonts w:hint="eastAsia" w:ascii="仿宋_GB2312" w:eastAsia="仿宋_GB2312"/>
          <w:b/>
          <w:bCs/>
          <w:color w:val="auto"/>
          <w:sz w:val="32"/>
          <w:szCs w:val="32"/>
          <w:highlight w:val="none"/>
        </w:rPr>
        <w:t>（二）项目绩效目标</w:t>
      </w:r>
      <w:bookmarkEnd w:id="8"/>
      <w:r>
        <w:rPr>
          <w:rFonts w:hint="eastAsia" w:ascii="仿宋_GB2312" w:eastAsia="仿宋_GB2312"/>
          <w:b/>
          <w:bCs/>
          <w:color w:val="auto"/>
          <w:sz w:val="32"/>
          <w:szCs w:val="32"/>
          <w:highlight w:val="none"/>
          <w:lang w:eastAsia="zh-CN"/>
        </w:rPr>
        <w:t>，</w:t>
      </w:r>
      <w:r>
        <w:rPr>
          <w:rFonts w:hint="eastAsia"/>
          <w:b/>
          <w:bCs/>
          <w:color w:val="auto"/>
          <w:sz w:val="32"/>
          <w:szCs w:val="32"/>
          <w:highlight w:val="none"/>
        </w:rPr>
        <w:t>包括总体目标和阶段性目标。</w:t>
      </w:r>
    </w:p>
    <w:p w14:paraId="70D7D7BE">
      <w:pPr>
        <w:pageBreakBefore w:val="0"/>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总体目标：</w:t>
      </w:r>
    </w:p>
    <w:p w14:paraId="3FF8DC1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xml:space="preserve">为加快推进轮台县城镇棚户区改造工作，提升棚户区改造工作质量，达到预期改造工作效果，决定实施以下项目： </w:t>
      </w:r>
    </w:p>
    <w:p w14:paraId="2205444D">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xml:space="preserve">目标1：980户拆迁补偿款、安置过渡费补偿款发放，提高:棚户区改造工作进度，改善居住环境。 </w:t>
      </w:r>
    </w:p>
    <w:p w14:paraId="07FE36D1">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仿宋" w:hAnsi="仿宋" w:eastAsia="仿宋" w:cs="仿宋"/>
          <w:b w:val="0"/>
          <w:bCs w:val="0"/>
          <w:color w:val="auto"/>
          <w:kern w:val="2"/>
          <w:sz w:val="32"/>
          <w:szCs w:val="32"/>
          <w:highlight w:val="none"/>
          <w:lang w:val="en-US" w:eastAsia="zh-CN" w:bidi="ar-SA"/>
        </w:rPr>
        <w:t>目标2：4家公司评估测绘费、1家公司拆迁清运费的结算，提高棚户区改造工作进度，改善居住环境。</w:t>
      </w:r>
    </w:p>
    <w:p w14:paraId="64B0B3EC">
      <w:pPr>
        <w:pageBreakBefore w:val="0"/>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阶段性目标：</w:t>
      </w:r>
    </w:p>
    <w:p w14:paraId="3154AF29">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hint="default" w:ascii="仿宋" w:hAnsi="仿宋" w:eastAsia="仿宋" w:cs="仿宋"/>
          <w:b w:val="0"/>
          <w:bCs w:val="0"/>
          <w:color w:val="auto"/>
          <w:kern w:val="2"/>
          <w:sz w:val="32"/>
          <w:szCs w:val="32"/>
          <w:highlight w:val="none"/>
          <w:lang w:val="en-US" w:eastAsia="zh-CN" w:bidi="ar-SA"/>
        </w:rPr>
      </w:pPr>
      <w:bookmarkStart w:id="9" w:name="_Toc68703830"/>
      <w:r>
        <w:rPr>
          <w:rFonts w:hint="eastAsia" w:ascii="仿宋" w:hAnsi="仿宋" w:eastAsia="仿宋" w:cs="仿宋"/>
          <w:b w:val="0"/>
          <w:bCs w:val="0"/>
          <w:color w:val="auto"/>
          <w:kern w:val="2"/>
          <w:sz w:val="32"/>
          <w:szCs w:val="32"/>
          <w:highlight w:val="none"/>
          <w:lang w:val="en-US" w:eastAsia="zh-CN" w:bidi="ar-SA"/>
        </w:rPr>
        <w:t>第一阶段：入户摸排统计征收补偿费用及过渡费用，收集整理被征收户银行卡号，需支付金额，制作支付表格</w:t>
      </w:r>
    </w:p>
    <w:p w14:paraId="0CD59F5D">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hint="default"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第二阶段：请示上报费用金额及项目情况，会议研究决定支付时间及金额，上报财务部门，进行审核。</w:t>
      </w:r>
    </w:p>
    <w:p w14:paraId="3B942675">
      <w:pPr>
        <w:rPr>
          <w:rFonts w:hint="default"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xml:space="preserve">    第三阶段：项目资金到位后，严格按照相关文件要求，准确高效的将项目资金发放至个人账户中，逐一电话回访，核实资金是否全额发放到位。</w:t>
      </w:r>
    </w:p>
    <w:p w14:paraId="3686EFCB">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二、绩效评价工作开展情况</w:t>
      </w:r>
      <w:bookmarkEnd w:id="9"/>
    </w:p>
    <w:p w14:paraId="2A97F0B3">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default" w:eastAsia="仿宋_GB2312"/>
          <w:b/>
          <w:bCs/>
          <w:color w:val="auto"/>
          <w:sz w:val="32"/>
          <w:szCs w:val="32"/>
          <w:highlight w:val="none"/>
          <w:lang w:val="en-US" w:eastAsia="zh-CN"/>
        </w:rPr>
      </w:pPr>
      <w:bookmarkStart w:id="10" w:name="_Toc68703831"/>
      <w:r>
        <w:rPr>
          <w:rFonts w:hint="eastAsia" w:ascii="仿宋_GB2312" w:eastAsia="仿宋_GB2312"/>
          <w:b/>
          <w:bCs/>
          <w:color w:val="auto"/>
          <w:sz w:val="32"/>
          <w:szCs w:val="32"/>
          <w:highlight w:val="none"/>
        </w:rPr>
        <w:t>（一）绩效评价目的、对象和范围。</w:t>
      </w:r>
      <w:bookmarkEnd w:id="10"/>
    </w:p>
    <w:p w14:paraId="11B6F3EF">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38B438B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E96D30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default" w:ascii="Times New Roman" w:hAnsi="Times New Roman"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46C7078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5BE34B1">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FC6591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D6387C9">
      <w:pPr>
        <w:pageBreakBefore w:val="0"/>
        <w:kinsoku/>
        <w:wordWrap/>
        <w:overflowPunct/>
        <w:topLinePunct w:val="0"/>
        <w:autoSpaceDE/>
        <w:autoSpaceDN/>
        <w:bidi w:val="0"/>
        <w:adjustRightInd/>
        <w:snapToGrid/>
        <w:spacing w:line="560" w:lineRule="exact"/>
        <w:ind w:firstLine="643" w:firstLineChars="200"/>
        <w:textAlignment w:val="auto"/>
        <w:rPr>
          <w:rFonts w:hint="default" w:eastAsia="仿宋_GB2312"/>
          <w:color w:val="auto"/>
          <w:sz w:val="32"/>
          <w:szCs w:val="32"/>
          <w:highlight w:val="none"/>
          <w:lang w:val="en-US" w:eastAsia="zh-CN"/>
        </w:rPr>
      </w:pPr>
      <w:r>
        <w:rPr>
          <w:rFonts w:hint="eastAsia"/>
          <w:b/>
          <w:bCs/>
          <w:color w:val="auto"/>
          <w:sz w:val="32"/>
          <w:szCs w:val="32"/>
          <w:highlight w:val="none"/>
          <w:lang w:val="en-US" w:eastAsia="zh-CN"/>
        </w:rPr>
        <w:t>2.</w:t>
      </w:r>
      <w:r>
        <w:rPr>
          <w:rFonts w:hint="eastAsia"/>
          <w:b/>
          <w:bCs/>
          <w:color w:val="auto"/>
          <w:sz w:val="32"/>
          <w:szCs w:val="32"/>
          <w:highlight w:val="none"/>
        </w:rPr>
        <w:t>绩效评价目的</w:t>
      </w:r>
      <w:r>
        <w:rPr>
          <w:rFonts w:hint="eastAsia"/>
          <w:b/>
          <w:bCs/>
          <w:color w:val="auto"/>
          <w:sz w:val="32"/>
          <w:szCs w:val="32"/>
          <w:highlight w:val="none"/>
          <w:lang w:eastAsia="zh-CN"/>
        </w:rPr>
        <w:t>：</w:t>
      </w:r>
    </w:p>
    <w:p w14:paraId="144C3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eastAsia="仿宋_GB2312"/>
          <w:color w:val="auto"/>
          <w:sz w:val="32"/>
          <w:szCs w:val="32"/>
          <w:highlight w:val="none"/>
        </w:rPr>
        <w:t>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w:t>
      </w:r>
      <w:r>
        <w:rPr>
          <w:rFonts w:hint="eastAsia"/>
          <w:color w:val="auto"/>
          <w:sz w:val="32"/>
          <w:szCs w:val="32"/>
          <w:highlight w:val="none"/>
          <w:lang w:val="en-US" w:eastAsia="zh-CN"/>
        </w:rPr>
        <w:t>主要体现在以下5个方面：</w:t>
      </w:r>
    </w:p>
    <w:p w14:paraId="23B29F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02837A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rPr>
        <w:t>社会效益</w:t>
      </w:r>
      <w:r>
        <w:rPr>
          <w:rFonts w:hint="default" w:ascii="Times New Roman" w:hAnsi="Times New Roman" w:eastAsia="仿宋_GB2312" w:cs="Times New Roman"/>
          <w:color w:val="auto"/>
          <w:sz w:val="32"/>
          <w:szCs w:val="32"/>
          <w:highlight w:val="none"/>
        </w:rPr>
        <w:t>等多维度指标，为项目后续的改进与优化提供科学依据。</w:t>
      </w:r>
    </w:p>
    <w:p w14:paraId="6397A6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DB1DA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6F7E9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232CA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2A5F5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8E5C9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0DA4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1DFA3D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8A4A5C6">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bCs/>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B5B83D">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3.</w:t>
      </w:r>
      <w:r>
        <w:rPr>
          <w:rFonts w:hint="eastAsia"/>
          <w:b/>
          <w:bCs/>
          <w:color w:val="auto"/>
          <w:sz w:val="32"/>
          <w:szCs w:val="32"/>
          <w:highlight w:val="none"/>
        </w:rPr>
        <w:t>绩效评价对象：</w:t>
      </w:r>
      <w:r>
        <w:rPr>
          <w:rFonts w:hint="default" w:ascii="Times New Roman" w:hAnsi="Times New Roman" w:eastAsia="仿宋_GB2312" w:cs="Times New Roman"/>
          <w:color w:val="auto"/>
          <w:sz w:val="32"/>
          <w:szCs w:val="32"/>
          <w:highlight w:val="none"/>
        </w:rPr>
        <w:t>本项目预算绩效评价报告的评价对象是2024年棚户区改造项目支出补偿款费用及其预算执行情况。该项目由</w:t>
      </w:r>
      <w:r>
        <w:rPr>
          <w:rFonts w:hint="eastAsia" w:cs="Times New Roman"/>
          <w:color w:val="auto"/>
          <w:sz w:val="32"/>
          <w:szCs w:val="32"/>
          <w:highlight w:val="none"/>
          <w:lang w:val="en-US" w:eastAsia="zh-CN"/>
        </w:rPr>
        <w:t>轮台县住房和城乡建设局</w:t>
      </w:r>
      <w:r>
        <w:rPr>
          <w:rFonts w:hint="default" w:ascii="Times New Roman" w:hAnsi="Times New Roman" w:eastAsia="仿宋_GB2312" w:cs="Times New Roman"/>
          <w:color w:val="auto"/>
          <w:sz w:val="32"/>
          <w:szCs w:val="32"/>
          <w:highlight w:val="none"/>
        </w:rPr>
        <w:t>负责实施，旨在</w:t>
      </w:r>
      <w:r>
        <w:rPr>
          <w:rFonts w:hint="eastAsia" w:cs="Times New Roman"/>
          <w:color w:val="auto"/>
          <w:sz w:val="32"/>
          <w:szCs w:val="32"/>
          <w:highlight w:val="none"/>
          <w:lang w:val="en-US" w:eastAsia="zh-CN"/>
        </w:rPr>
        <w:t>改善人居环境，加快城市更新，预防老旧危房安全隐患</w:t>
      </w:r>
      <w:r>
        <w:rPr>
          <w:rFonts w:hint="default" w:ascii="Times New Roman" w:hAnsi="Times New Roman" w:eastAsia="仿宋_GB2312" w:cs="Times New Roman"/>
          <w:color w:val="auto"/>
          <w:sz w:val="32"/>
          <w:szCs w:val="32"/>
          <w:highlight w:val="none"/>
        </w:rPr>
        <w:t>。项目预算涵盖从</w:t>
      </w:r>
      <w:r>
        <w:rPr>
          <w:rFonts w:hint="eastAsia" w:cs="Times New Roman"/>
          <w:color w:val="auto"/>
          <w:sz w:val="32"/>
          <w:szCs w:val="32"/>
          <w:highlight w:val="none"/>
          <w:lang w:val="en-US" w:eastAsia="zh-CN"/>
        </w:rPr>
        <w:t>2024年1月1日</w:t>
      </w:r>
      <w:r>
        <w:rPr>
          <w:rFonts w:hint="default" w:ascii="Times New Roman" w:hAnsi="Times New Roman" w:eastAsia="仿宋_GB2312" w:cs="Times New Roman"/>
          <w:color w:val="auto"/>
          <w:sz w:val="32"/>
          <w:szCs w:val="32"/>
          <w:highlight w:val="none"/>
        </w:rPr>
        <w:t>至</w:t>
      </w:r>
      <w:r>
        <w:rPr>
          <w:rFonts w:hint="eastAsia" w:cs="Times New Roman"/>
          <w:color w:val="auto"/>
          <w:sz w:val="32"/>
          <w:szCs w:val="32"/>
          <w:highlight w:val="none"/>
          <w:lang w:val="en-US" w:eastAsia="zh-CN"/>
        </w:rPr>
        <w:t>2024年12月20日</w:t>
      </w:r>
      <w:r>
        <w:rPr>
          <w:rFonts w:hint="default" w:ascii="Times New Roman" w:hAnsi="Times New Roman" w:eastAsia="仿宋_GB2312" w:cs="Times New Roman"/>
          <w:color w:val="auto"/>
          <w:sz w:val="32"/>
          <w:szCs w:val="32"/>
          <w:highlight w:val="none"/>
        </w:rPr>
        <w:t>的全部资金投入与支出，涉及资金总额为</w:t>
      </w:r>
      <w:r>
        <w:rPr>
          <w:rFonts w:hint="eastAsia" w:cs="Times New Roman"/>
          <w:color w:val="auto"/>
          <w:sz w:val="32"/>
          <w:szCs w:val="32"/>
          <w:highlight w:val="none"/>
          <w:lang w:val="en-US" w:eastAsia="zh-CN"/>
        </w:rPr>
        <w:t>6503.21</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rPr>
        <w:t>元。</w:t>
      </w:r>
    </w:p>
    <w:p w14:paraId="61A95745">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4.</w:t>
      </w:r>
      <w:r>
        <w:rPr>
          <w:rFonts w:hint="eastAsia"/>
          <w:b/>
          <w:bCs/>
          <w:color w:val="auto"/>
          <w:sz w:val="32"/>
          <w:szCs w:val="32"/>
          <w:highlight w:val="none"/>
        </w:rPr>
        <w:t>绩效评价范围：</w:t>
      </w:r>
    </w:p>
    <w:p w14:paraId="10F08FF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bookmarkStart w:id="11" w:name="_Toc68703832"/>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07B69A9C">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59BD5EC4">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4470520B">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09242957">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rPr>
        <w:t>等方面的综合影响。</w:t>
      </w:r>
    </w:p>
    <w:p w14:paraId="0BB1645D">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（二）绩效评价原则、评价指标体系</w:t>
      </w:r>
      <w:r>
        <w:rPr>
          <w:rFonts w:hint="eastAsia" w:ascii="仿宋_GB2312" w:eastAsia="仿宋_GB2312"/>
          <w:b/>
          <w:bCs/>
          <w:color w:val="auto"/>
          <w:sz w:val="32"/>
          <w:szCs w:val="32"/>
          <w:highlight w:val="none"/>
          <w:lang w:eastAsia="zh-CN"/>
        </w:rPr>
        <w:t>（附表说明）</w:t>
      </w:r>
      <w:r>
        <w:rPr>
          <w:rFonts w:hint="eastAsia" w:ascii="仿宋_GB2312" w:eastAsia="仿宋_GB2312"/>
          <w:b/>
          <w:bCs/>
          <w:color w:val="auto"/>
          <w:sz w:val="32"/>
          <w:szCs w:val="32"/>
          <w:highlight w:val="none"/>
        </w:rPr>
        <w:t>、评价方法、评价标准等。</w:t>
      </w:r>
      <w:bookmarkEnd w:id="11"/>
    </w:p>
    <w:p w14:paraId="2BE471C8">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绩效评价原则</w:t>
      </w:r>
    </w:p>
    <w:p w14:paraId="10CEC6A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bCs/>
          <w:color w:val="auto"/>
          <w:sz w:val="32"/>
          <w:szCs w:val="32"/>
          <w:highlight w:val="none"/>
        </w:rPr>
      </w:pPr>
      <w:r>
        <w:rPr>
          <w:rFonts w:eastAsia="仿宋_GB2312"/>
          <w:color w:val="auto"/>
          <w:sz w:val="32"/>
          <w:szCs w:val="32"/>
          <w:highlight w:val="none"/>
        </w:rPr>
        <w:t>本次项目绩效评价遵循以下基本原则：</w:t>
      </w:r>
    </w:p>
    <w:p w14:paraId="714C3809">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54716066">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19F310F8">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4B292DB2">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1523441C">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CN"/>
        </w:rPr>
        <w:t>.</w:t>
      </w:r>
      <w:r>
        <w:rPr>
          <w:rFonts w:hint="eastAsia"/>
          <w:b/>
          <w:bCs/>
          <w:color w:val="auto"/>
          <w:sz w:val="32"/>
          <w:szCs w:val="32"/>
          <w:highlight w:val="none"/>
        </w:rPr>
        <w:t>评价指标体系</w:t>
      </w:r>
    </w:p>
    <w:p w14:paraId="39A6004C">
      <w:pPr>
        <w:pageBreakBefore w:val="0"/>
        <w:kinsoku/>
        <w:wordWrap/>
        <w:overflowPunct/>
        <w:topLinePunct w:val="0"/>
        <w:autoSpaceDE/>
        <w:autoSpaceDN/>
        <w:bidi w:val="0"/>
        <w:adjustRightInd/>
        <w:snapToGrid/>
        <w:spacing w:line="560" w:lineRule="exact"/>
        <w:ind w:firstLine="708" w:firstLineChars="200"/>
        <w:textAlignment w:val="auto"/>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8E55396">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（1）确定评价指标</w:t>
      </w:r>
    </w:p>
    <w:p w14:paraId="3A046164">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F150166">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（2）确定权重</w:t>
      </w:r>
    </w:p>
    <w:p w14:paraId="3B6EA6A3">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144A06AA">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14:paraId="4BF49366">
      <w:pPr>
        <w:pageBreakBefore w:val="0"/>
        <w:kinsoku/>
        <w:wordWrap/>
        <w:overflowPunct/>
        <w:topLinePunct w:val="0"/>
        <w:autoSpaceDE/>
        <w:autoSpaceDN/>
        <w:bidi w:val="0"/>
        <w:adjustRightInd/>
        <w:snapToGrid/>
        <w:spacing w:line="560" w:lineRule="exact"/>
        <w:ind w:firstLine="708" w:firstLineChars="200"/>
        <w:jc w:val="left"/>
        <w:textAlignment w:val="auto"/>
        <w:rPr>
          <w:rFonts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4A386D73">
      <w:pPr>
        <w:pStyle w:val="11"/>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58C68DD1">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eastAsia="zh-CN"/>
        </w:rPr>
        <w:t>.</w:t>
      </w:r>
      <w:r>
        <w:rPr>
          <w:rFonts w:hint="eastAsia"/>
          <w:b/>
          <w:bCs/>
          <w:color w:val="auto"/>
          <w:sz w:val="32"/>
          <w:szCs w:val="32"/>
          <w:highlight w:val="none"/>
        </w:rPr>
        <w:t>评价方法</w:t>
      </w:r>
    </w:p>
    <w:p w14:paraId="05BA12AF">
      <w:pPr>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475C0D5D">
      <w:pPr>
        <w:pageBreakBefore w:val="0"/>
        <w:kinsoku/>
        <w:wordWrap/>
        <w:overflowPunct/>
        <w:topLinePunct w:val="0"/>
        <w:autoSpaceDE/>
        <w:autoSpaceDN/>
        <w:bidi w:val="0"/>
        <w:adjustRightInd/>
        <w:snapToGrid/>
        <w:spacing w:line="560" w:lineRule="exact"/>
        <w:ind w:firstLine="708" w:firstLineChars="200"/>
        <w:textAlignment w:val="auto"/>
        <w:rPr>
          <w:color w:val="auto"/>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Times New Roman" w:cs="Times New Roman"/>
          <w:color w:val="auto"/>
          <w:sz w:val="32"/>
          <w:szCs w:val="32"/>
          <w:highlight w:val="none"/>
          <w:lang w:val="zh-CN"/>
        </w:rPr>
        <w:t>采用比较法和公众评判法</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原因是：通过分析202</w:t>
      </w:r>
      <w:r>
        <w:rPr>
          <w:rFonts w:hint="eastAsia" w:ascii="仿宋_GB2312" w:cs="Times New Roman"/>
          <w:color w:val="auto"/>
          <w:sz w:val="32"/>
          <w:szCs w:val="32"/>
          <w:highlight w:val="none"/>
          <w:lang w:val="en-US" w:eastAsia="zh-CN"/>
        </w:rPr>
        <w:t>4</w:t>
      </w:r>
      <w:r>
        <w:rPr>
          <w:rFonts w:hint="eastAsia" w:ascii="仿宋_GB2312" w:hAnsi="Times New Roman" w:cs="Times New Roman"/>
          <w:color w:val="auto"/>
          <w:sz w:val="32"/>
          <w:szCs w:val="32"/>
          <w:highlight w:val="none"/>
          <w:lang w:val="zh-CN"/>
        </w:rPr>
        <w:t>年</w:t>
      </w:r>
      <w:r>
        <w:rPr>
          <w:rFonts w:hint="eastAsia" w:ascii="仿宋_GB2312" w:cs="Times New Roman"/>
          <w:color w:val="auto"/>
          <w:sz w:val="32"/>
          <w:szCs w:val="32"/>
          <w:highlight w:val="none"/>
          <w:lang w:val="en-US" w:eastAsia="zh-CN"/>
        </w:rPr>
        <w:t>棚户区改造项目</w:t>
      </w:r>
      <w:r>
        <w:rPr>
          <w:rFonts w:hint="eastAsia" w:ascii="Times New Roman" w:hAnsi="Times New Roman" w:cs="Times New Roman"/>
          <w:b w:val="0"/>
          <w:bCs w:val="0"/>
          <w:color w:val="auto"/>
          <w:sz w:val="32"/>
          <w:szCs w:val="32"/>
          <w:highlight w:val="none"/>
          <w:lang w:val="en-US" w:eastAsia="zh-CN"/>
        </w:rPr>
        <w:t>年初设定的</w:t>
      </w:r>
      <w:r>
        <w:rPr>
          <w:rFonts w:hint="eastAsia" w:ascii="仿宋_GB2312" w:hAnsi="Times New Roman" w:cs="Times New Roman"/>
          <w:color w:val="auto"/>
          <w:sz w:val="32"/>
          <w:szCs w:val="32"/>
          <w:highlight w:val="none"/>
          <w:lang w:val="zh-CN"/>
        </w:rPr>
        <w:t>绩效目标与实施效果、历史与当期情况的比较，综合分析绩效目标实现程度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不断提升绩效管理水平</w:t>
      </w:r>
      <w:r>
        <w:rPr>
          <w:rFonts w:hint="eastAsia" w:ascii="仿宋_GB2312" w:hAnsi="Times New Roman" w:cs="Times New Roman"/>
          <w:color w:val="auto"/>
          <w:sz w:val="32"/>
          <w:szCs w:val="32"/>
          <w:highlight w:val="none"/>
          <w:lang w:val="zh-CN"/>
        </w:rPr>
        <w:t>；通过对社会群众</w:t>
      </w:r>
      <w:r>
        <w:rPr>
          <w:rFonts w:hint="eastAsia" w:ascii="仿宋_GB2312" w:hAnsi="Times New Roman" w:cs="Times New Roman"/>
          <w:color w:val="auto"/>
          <w:sz w:val="32"/>
          <w:szCs w:val="32"/>
          <w:highlight w:val="none"/>
          <w:lang w:val="en-US" w:eastAsia="zh-CN"/>
        </w:rPr>
        <w:t>访谈</w:t>
      </w:r>
      <w:r>
        <w:rPr>
          <w:rFonts w:hint="eastAsia" w:ascii="仿宋_GB2312" w:hAnsi="Times New Roman" w:cs="Times New Roman"/>
          <w:color w:val="auto"/>
          <w:sz w:val="32"/>
          <w:szCs w:val="32"/>
          <w:highlight w:val="none"/>
          <w:lang w:val="zh-CN"/>
        </w:rPr>
        <w:t>及抽样调查等对财政支出效果进行评判，</w:t>
      </w:r>
      <w:r>
        <w:rPr>
          <w:rFonts w:hint="eastAsia" w:ascii="仿宋_GB2312" w:cs="Times New Roman"/>
          <w:color w:val="auto"/>
          <w:sz w:val="32"/>
          <w:szCs w:val="32"/>
          <w:highlight w:val="none"/>
          <w:lang w:val="en-US" w:eastAsia="zh-CN"/>
        </w:rPr>
        <w:t>了解直接受益群体对项目的直观感受</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评价绩效目标实现程度</w:t>
      </w:r>
      <w:r>
        <w:rPr>
          <w:rFonts w:hint="eastAsia" w:ascii="仿宋_GB2312" w:cs="Times New Roman"/>
          <w:color w:val="auto"/>
          <w:sz w:val="32"/>
          <w:szCs w:val="32"/>
          <w:highlight w:val="none"/>
          <w:lang w:val="zh-CN"/>
        </w:rPr>
        <w:t>，</w:t>
      </w:r>
      <w:r>
        <w:rPr>
          <w:rFonts w:hint="eastAsia" w:ascii="仿宋_GB2312"/>
          <w:color w:val="auto"/>
          <w:sz w:val="32"/>
          <w:szCs w:val="32"/>
          <w:highlight w:val="none"/>
          <w:lang w:val="en-US" w:eastAsia="zh-CN"/>
        </w:rPr>
        <w:t>改善居住环境</w:t>
      </w:r>
      <w:r>
        <w:rPr>
          <w:rFonts w:hint="eastAsia" w:ascii="仿宋_GB2312"/>
          <w:color w:val="auto"/>
          <w:sz w:val="32"/>
          <w:szCs w:val="32"/>
          <w:highlight w:val="none"/>
          <w:lang w:eastAsia="zh-CN"/>
        </w:rPr>
        <w:t>。</w:t>
      </w:r>
    </w:p>
    <w:p w14:paraId="0ED0E14A">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评价标准</w:t>
      </w:r>
    </w:p>
    <w:p w14:paraId="1780EE85">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cs="Times New Roman"/>
          <w:color w:val="auto"/>
          <w:sz w:val="32"/>
          <w:szCs w:val="32"/>
          <w:highlight w:val="none"/>
          <w:lang w:val="zh-CN"/>
        </w:rPr>
      </w:pPr>
      <w:r>
        <w:rPr>
          <w:rFonts w:hint="eastAsia" w:ascii="仿宋_GB2312" w:hAnsi="Times New Roman" w:cs="Times New Roman"/>
          <w:color w:val="auto"/>
          <w:sz w:val="32"/>
          <w:szCs w:val="32"/>
          <w:highlight w:val="none"/>
          <w:lang w:val="zh-CN"/>
        </w:rPr>
        <w:t>绩效评价标准通常包括计划标准、行业标准、历史标准等，用于对绩效指标完成情况进行比较、分析、评价。本次项目支出绩效自评采用计划标准，原因是：</w:t>
      </w:r>
      <w:r>
        <w:rPr>
          <w:rFonts w:hint="eastAsia" w:ascii="仿宋_GB2312" w:hAnsi="Times New Roman" w:cs="Times New Roman"/>
          <w:color w:val="auto"/>
          <w:sz w:val="32"/>
          <w:szCs w:val="32"/>
          <w:highlight w:val="none"/>
          <w:lang w:val="en-US" w:eastAsia="zh-CN"/>
        </w:rPr>
        <w:t>通过</w:t>
      </w:r>
      <w:r>
        <w:rPr>
          <w:rFonts w:hint="eastAsia" w:ascii="仿宋_GB2312" w:hAnsi="Times New Roman" w:cs="Times New Roman"/>
          <w:color w:val="auto"/>
          <w:sz w:val="32"/>
          <w:szCs w:val="32"/>
          <w:highlight w:val="none"/>
          <w:lang w:val="zh-CN"/>
        </w:rPr>
        <w:t>预先制定的</w:t>
      </w:r>
      <w:r>
        <w:rPr>
          <w:rFonts w:hint="eastAsia" w:ascii="仿宋_GB2312" w:hAnsi="Times New Roman" w:cs="Times New Roman"/>
          <w:color w:val="auto"/>
          <w:sz w:val="32"/>
          <w:szCs w:val="32"/>
          <w:highlight w:val="none"/>
          <w:lang w:val="en-US" w:eastAsia="zh-CN"/>
        </w:rPr>
        <w:t>项目产出、效益等</w:t>
      </w:r>
      <w:r>
        <w:rPr>
          <w:rFonts w:hint="eastAsia" w:ascii="仿宋_GB2312" w:hAnsi="Times New Roman" w:cs="Times New Roman"/>
          <w:color w:val="auto"/>
          <w:sz w:val="32"/>
          <w:szCs w:val="32"/>
          <w:highlight w:val="none"/>
          <w:lang w:val="zh-CN"/>
        </w:rPr>
        <w:t>目标、</w:t>
      </w:r>
      <w:r>
        <w:rPr>
          <w:rFonts w:hint="eastAsia" w:ascii="仿宋_GB2312" w:hAnsi="Times New Roman" w:cs="Times New Roman"/>
          <w:color w:val="auto"/>
          <w:sz w:val="32"/>
          <w:szCs w:val="32"/>
          <w:highlight w:val="none"/>
          <w:lang w:val="en-US" w:eastAsia="zh-CN"/>
        </w:rPr>
        <w:t>并制定项目实施</w:t>
      </w:r>
      <w:r>
        <w:rPr>
          <w:rFonts w:hint="eastAsia" w:ascii="仿宋_GB2312" w:hAnsi="Times New Roman" w:cs="Times New Roman"/>
          <w:color w:val="auto"/>
          <w:sz w:val="32"/>
          <w:szCs w:val="32"/>
          <w:highlight w:val="none"/>
          <w:lang w:val="zh-CN"/>
        </w:rPr>
        <w:t>计划等作为评价标准</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en-US" w:eastAsia="zh-CN"/>
        </w:rPr>
        <w:t>项目实施完成后，</w:t>
      </w:r>
      <w:r>
        <w:rPr>
          <w:rFonts w:hint="eastAsia" w:ascii="仿宋_GB2312" w:hAnsi="Times New Roman" w:cs="Times New Roman"/>
          <w:color w:val="auto"/>
          <w:sz w:val="32"/>
          <w:szCs w:val="32"/>
          <w:highlight w:val="none"/>
          <w:lang w:val="zh-CN"/>
        </w:rPr>
        <w:t>对绩效指标完成情况进行比较</w:t>
      </w:r>
      <w:r>
        <w:rPr>
          <w:rFonts w:hint="eastAsia" w:ascii="仿宋_GB2312" w:hAnsi="Times New Roman" w:cs="Times New Roman"/>
          <w:color w:val="auto"/>
          <w:sz w:val="32"/>
          <w:szCs w:val="32"/>
          <w:highlight w:val="none"/>
          <w:lang w:val="zh-CN" w:eastAsia="zh-CN"/>
        </w:rPr>
        <w:t>，</w:t>
      </w:r>
      <w:r>
        <w:rPr>
          <w:rFonts w:hint="eastAsia" w:ascii="仿宋_GB2312" w:hAnsi="Times New Roman" w:cs="Times New Roman"/>
          <w:color w:val="auto"/>
          <w:sz w:val="32"/>
          <w:szCs w:val="32"/>
          <w:highlight w:val="none"/>
          <w:lang w:val="en-US" w:eastAsia="zh-CN"/>
        </w:rPr>
        <w:t>从而反映项目产出和效益情况</w:t>
      </w:r>
      <w:r>
        <w:rPr>
          <w:rFonts w:hint="eastAsia" w:ascii="仿宋_GB2312" w:hAnsi="Times New Roman" w:cs="Times New Roman"/>
          <w:color w:val="auto"/>
          <w:sz w:val="32"/>
          <w:szCs w:val="32"/>
          <w:highlight w:val="none"/>
          <w:lang w:val="zh-CN"/>
        </w:rPr>
        <w:t>。</w:t>
      </w:r>
    </w:p>
    <w:p w14:paraId="54CA1AC1">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12" w:name="_Toc68703833"/>
      <w:r>
        <w:rPr>
          <w:rFonts w:hint="eastAsia" w:ascii="仿宋_GB2312" w:eastAsia="仿宋_GB2312"/>
          <w:b/>
          <w:bCs/>
          <w:color w:val="auto"/>
          <w:sz w:val="32"/>
          <w:szCs w:val="32"/>
          <w:highlight w:val="none"/>
        </w:rPr>
        <w:t>（三）绩效评价工作过程。</w:t>
      </w:r>
      <w:bookmarkEnd w:id="12"/>
    </w:p>
    <w:p w14:paraId="43AF0F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3" w:name="_Toc68703834"/>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1C2797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278AA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4AE9AA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0D0E51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1DCDD2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BD85C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024F6A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C18F4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547DC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EB7D4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7DD545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312141D">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三、综合评价情况及评价结论</w:t>
      </w:r>
      <w:bookmarkEnd w:id="13"/>
    </w:p>
    <w:p w14:paraId="750849C9">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lang w:eastAsia="zh-CN"/>
        </w:rPr>
      </w:pPr>
      <w:bookmarkStart w:id="14" w:name="_Toc68703835"/>
      <w:r>
        <w:rPr>
          <w:rFonts w:hint="eastAsia" w:ascii="仿宋_GB2312" w:eastAsia="仿宋_GB2312"/>
          <w:b/>
          <w:bCs/>
          <w:color w:val="auto"/>
          <w:sz w:val="32"/>
          <w:szCs w:val="32"/>
          <w:highlight w:val="none"/>
        </w:rPr>
        <w:t>（一）综合评价情况</w:t>
      </w:r>
      <w:bookmarkEnd w:id="14"/>
      <w:r>
        <w:rPr>
          <w:rFonts w:hint="eastAsia" w:ascii="仿宋_GB2312" w:eastAsia="仿宋_GB2312"/>
          <w:b/>
          <w:bCs/>
          <w:color w:val="auto"/>
          <w:sz w:val="32"/>
          <w:szCs w:val="32"/>
          <w:highlight w:val="none"/>
          <w:lang w:eastAsia="zh-CN"/>
        </w:rPr>
        <w:t>及评价结论</w:t>
      </w:r>
    </w:p>
    <w:p w14:paraId="7B6A6D1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bookmarkStart w:id="15" w:name="_Toc68703836"/>
      <w:r>
        <w:rPr>
          <w:rFonts w:hint="default" w:ascii="Times New Roman" w:hAnsi="Times New Roman" w:eastAsia="仿宋_GB2312" w:cs="Times New Roman"/>
          <w:b w:val="0"/>
          <w:bCs w:val="0"/>
          <w:color w:val="auto"/>
          <w:sz w:val="32"/>
          <w:szCs w:val="32"/>
          <w:highlight w:val="none"/>
        </w:rPr>
        <w:t>本项目的综合评价基于对项目各方面绩效的深入分析与评估。从项目目标的达成情况来看，</w:t>
      </w:r>
      <w:r>
        <w:rPr>
          <w:rFonts w:hint="eastAsia" w:cs="Times New Roman"/>
          <w:b w:val="0"/>
          <w:bCs w:val="0"/>
          <w:color w:val="auto"/>
          <w:sz w:val="32"/>
          <w:szCs w:val="32"/>
          <w:highlight w:val="none"/>
          <w:lang w:val="en-US" w:eastAsia="zh-CN"/>
        </w:rPr>
        <w:t>棚户区改造</w:t>
      </w:r>
      <w:r>
        <w:rPr>
          <w:rFonts w:hint="eastAsia" w:ascii="Times New Roman" w:hAnsi="Times New Roman" w:cs="Times New Roman"/>
          <w:b w:val="0"/>
          <w:bCs w:val="0"/>
          <w:color w:val="auto"/>
          <w:sz w:val="32"/>
          <w:szCs w:val="32"/>
          <w:highlight w:val="none"/>
          <w:lang w:val="en-US" w:eastAsia="zh-CN"/>
        </w:rPr>
        <w:t>项目</w:t>
      </w:r>
      <w:r>
        <w:rPr>
          <w:rFonts w:hint="default" w:ascii="Times New Roman" w:hAnsi="Times New Roman" w:eastAsia="仿宋_GB2312" w:cs="Times New Roman"/>
          <w:b w:val="0"/>
          <w:bCs w:val="0"/>
          <w:color w:val="auto"/>
          <w:sz w:val="32"/>
          <w:szCs w:val="32"/>
          <w:highlight w:val="none"/>
        </w:rPr>
        <w:t>在</w:t>
      </w:r>
      <w:r>
        <w:rPr>
          <w:rFonts w:hint="eastAsia" w:ascii="Times New Roman" w:hAnsi="Times New Roman" w:eastAsia="仿宋_GB2312" w:cs="Times New Roman"/>
          <w:b w:val="0"/>
          <w:bCs w:val="0"/>
          <w:color w:val="auto"/>
          <w:sz w:val="32"/>
          <w:szCs w:val="32"/>
          <w:highlight w:val="none"/>
        </w:rPr>
        <w:t>拆迁补偿款、安置过渡费补偿款发放</w:t>
      </w:r>
      <w:r>
        <w:rPr>
          <w:rFonts w:hint="eastAsia" w:ascii="Times New Roman" w:hAnsi="Times New Roman"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评估测绘费</w:t>
      </w:r>
      <w:r>
        <w:rPr>
          <w:rFonts w:hint="eastAsia" w:ascii="Times New Roman" w:hAnsi="Times New Roman" w:cs="Times New Roman"/>
          <w:b w:val="0"/>
          <w:bCs w:val="0"/>
          <w:color w:val="auto"/>
          <w:sz w:val="32"/>
          <w:szCs w:val="32"/>
          <w:highlight w:val="none"/>
          <w:lang w:val="en-US" w:eastAsia="zh-CN"/>
        </w:rPr>
        <w:t>和</w:t>
      </w:r>
      <w:r>
        <w:rPr>
          <w:rFonts w:hint="eastAsia" w:ascii="Times New Roman" w:hAnsi="Times New Roman" w:eastAsia="仿宋_GB2312" w:cs="Times New Roman"/>
          <w:b w:val="0"/>
          <w:bCs w:val="0"/>
          <w:color w:val="auto"/>
          <w:sz w:val="32"/>
          <w:szCs w:val="32"/>
          <w:highlight w:val="none"/>
        </w:rPr>
        <w:t>拆迁清运费的结算</w:t>
      </w:r>
      <w:r>
        <w:rPr>
          <w:rFonts w:hint="default" w:ascii="Times New Roman" w:hAnsi="Times New Roman" w:eastAsia="仿宋_GB2312" w:cs="Times New Roman"/>
          <w:b w:val="0"/>
          <w:bCs w:val="0"/>
          <w:color w:val="auto"/>
          <w:sz w:val="32"/>
          <w:szCs w:val="32"/>
          <w:highlight w:val="none"/>
        </w:rPr>
        <w:t>等方面表现出色，达到了预期的标准与要求。同时，项目也在</w:t>
      </w:r>
      <w:r>
        <w:rPr>
          <w:rFonts w:hint="eastAsia" w:cs="Times New Roman"/>
          <w:b w:val="0"/>
          <w:bCs w:val="0"/>
          <w:color w:val="auto"/>
          <w:sz w:val="32"/>
          <w:szCs w:val="32"/>
          <w:highlight w:val="none"/>
          <w:lang w:val="en-US" w:eastAsia="zh-CN"/>
        </w:rPr>
        <w:t>改善人居环境中</w:t>
      </w:r>
      <w:r>
        <w:rPr>
          <w:rFonts w:hint="default" w:ascii="Times New Roman" w:hAnsi="Times New Roman" w:eastAsia="仿宋_GB2312" w:cs="Times New Roman"/>
          <w:b w:val="0"/>
          <w:bCs w:val="0"/>
          <w:color w:val="auto"/>
          <w:sz w:val="32"/>
          <w:szCs w:val="32"/>
          <w:highlight w:val="none"/>
        </w:rPr>
        <w:t>取得了显著的成效，如</w:t>
      </w:r>
      <w:r>
        <w:rPr>
          <w:rFonts w:hint="eastAsia" w:ascii="Times New Roman" w:hAnsi="Times New Roman" w:eastAsia="仿宋_GB2312" w:cs="Times New Roman"/>
          <w:b w:val="0"/>
          <w:bCs w:val="0"/>
          <w:color w:val="auto"/>
          <w:sz w:val="32"/>
          <w:szCs w:val="32"/>
          <w:highlight w:val="none"/>
        </w:rPr>
        <w:t>已完成980户拆迁补偿款、安置过渡费补偿款发放，完成了4家公司评估测绘费、1家公司拆迁清运费的结算</w:t>
      </w:r>
      <w:r>
        <w:rPr>
          <w:rFonts w:hint="default" w:ascii="Times New Roman" w:hAnsi="Times New Roman" w:eastAsia="仿宋_GB2312" w:cs="Times New Roman"/>
          <w:b w:val="0"/>
          <w:bCs w:val="0"/>
          <w:color w:val="auto"/>
          <w:sz w:val="32"/>
          <w:szCs w:val="32"/>
          <w:highlight w:val="none"/>
        </w:rPr>
        <w:t>等。</w:t>
      </w:r>
    </w:p>
    <w:p w14:paraId="5A1DC37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在项目管理方面，</w:t>
      </w:r>
      <w:r>
        <w:rPr>
          <w:rFonts w:hint="eastAsia" w:cs="Times New Roman"/>
          <w:b w:val="0"/>
          <w:bCs w:val="0"/>
          <w:color w:val="auto"/>
          <w:sz w:val="32"/>
          <w:szCs w:val="32"/>
          <w:highlight w:val="none"/>
          <w:lang w:val="en-US" w:eastAsia="zh-CN"/>
        </w:rPr>
        <w:t>轮台县住房和城乡建设局</w:t>
      </w:r>
      <w:r>
        <w:rPr>
          <w:rFonts w:hint="default" w:ascii="Times New Roman" w:hAnsi="Times New Roman" w:eastAsia="仿宋_GB2312" w:cs="Times New Roman"/>
          <w:b w:val="0"/>
          <w:bCs w:val="0"/>
          <w:color w:val="auto"/>
          <w:sz w:val="32"/>
          <w:szCs w:val="32"/>
          <w:highlight w:val="none"/>
        </w:rPr>
        <w:t>通过有效的规划、组织与协调，项目得以顺利实施，并在预算与时间上保持了良好的控制。</w:t>
      </w:r>
    </w:p>
    <w:p w14:paraId="6CE8628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从项目效益的角度来看，本项目不仅实现了预期的</w:t>
      </w:r>
      <w:r>
        <w:rPr>
          <w:rFonts w:hint="default" w:ascii="Times New Roman" w:hAnsi="Times New Roman" w:eastAsia="仿宋_GB2312" w:cs="Times New Roman"/>
          <w:b w:val="0"/>
          <w:bCs w:val="0"/>
          <w:color w:val="auto"/>
          <w:sz w:val="32"/>
          <w:szCs w:val="32"/>
          <w:highlight w:val="none"/>
        </w:rPr>
        <w:t>社会效益</w:t>
      </w:r>
      <w:r>
        <w:rPr>
          <w:rFonts w:hint="default" w:ascii="Times New Roman" w:hAnsi="Times New Roman" w:eastAsia="仿宋_GB2312" w:cs="Times New Roman"/>
          <w:b w:val="0"/>
          <w:bCs w:val="0"/>
          <w:color w:val="auto"/>
          <w:sz w:val="32"/>
          <w:szCs w:val="32"/>
          <w:highlight w:val="none"/>
        </w:rPr>
        <w:t>等方面产生了积极的影响。具体而言，</w:t>
      </w:r>
      <w:r>
        <w:rPr>
          <w:rFonts w:hint="eastAsia" w:cs="Times New Roman"/>
          <w:b w:val="0"/>
          <w:bCs w:val="0"/>
          <w:color w:val="auto"/>
          <w:sz w:val="32"/>
          <w:szCs w:val="32"/>
          <w:highlight w:val="none"/>
          <w:lang w:val="en-US" w:eastAsia="zh-CN"/>
        </w:rPr>
        <w:t>人居环境、城市更新</w:t>
      </w:r>
      <w:r>
        <w:rPr>
          <w:rFonts w:hint="default" w:ascii="Times New Roman" w:hAnsi="Times New Roman" w:eastAsia="仿宋_GB2312" w:cs="Times New Roman"/>
          <w:b w:val="0"/>
          <w:bCs w:val="0"/>
          <w:color w:val="auto"/>
          <w:sz w:val="32"/>
          <w:szCs w:val="32"/>
          <w:highlight w:val="none"/>
        </w:rPr>
        <w:t>等方面的提升，为项目的利益相关者带来了</w:t>
      </w:r>
      <w:r>
        <w:rPr>
          <w:rFonts w:hint="eastAsia" w:ascii="Times New Roman" w:hAnsi="Times New Roman" w:cs="Times New Roman"/>
          <w:b w:val="0"/>
          <w:bCs w:val="0"/>
          <w:color w:val="auto"/>
          <w:sz w:val="32"/>
          <w:szCs w:val="32"/>
          <w:highlight w:val="none"/>
          <w:lang w:val="en-US" w:eastAsia="zh-CN"/>
        </w:rPr>
        <w:t>切实</w:t>
      </w:r>
      <w:r>
        <w:rPr>
          <w:rFonts w:hint="default" w:ascii="Times New Roman" w:hAnsi="Times New Roman" w:eastAsia="仿宋_GB2312" w:cs="Times New Roman"/>
          <w:b w:val="0"/>
          <w:bCs w:val="0"/>
          <w:color w:val="auto"/>
          <w:sz w:val="32"/>
          <w:szCs w:val="32"/>
          <w:highlight w:val="none"/>
        </w:rPr>
        <w:t>的利益。</w:t>
      </w:r>
    </w:p>
    <w:p w14:paraId="700CB6A1">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综上所述，</w:t>
      </w:r>
      <w:r>
        <w:rPr>
          <w:rFonts w:hint="eastAsia" w:ascii="Times New Roman" w:hAnsi="Times New Roman" w:eastAsia="仿宋_GB2312" w:cs="Times New Roman"/>
          <w:b w:val="0"/>
          <w:bCs w:val="0"/>
          <w:color w:val="auto"/>
          <w:kern w:val="0"/>
          <w:sz w:val="32"/>
          <w:szCs w:val="32"/>
          <w:highlight w:val="none"/>
          <w:lang w:val="en-US" w:eastAsia="zh-CN"/>
        </w:rPr>
        <w:t>棚户区改造项目</w:t>
      </w:r>
      <w:r>
        <w:rPr>
          <w:rFonts w:hint="default" w:ascii="Times New Roman" w:hAnsi="Times New Roman" w:eastAsia="仿宋_GB2312" w:cs="Times New Roman"/>
          <w:b w:val="0"/>
          <w:bCs w:val="0"/>
          <w:color w:val="auto"/>
          <w:sz w:val="32"/>
          <w:szCs w:val="32"/>
          <w:highlight w:val="none"/>
        </w:rPr>
        <w:t>在绩效评价中表现出色，达到了项目的预期目标，并在多个方面取得了显著的成效。</w:t>
      </w:r>
    </w:p>
    <w:p w14:paraId="12533779">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评价结论</w:t>
      </w:r>
      <w:bookmarkEnd w:id="15"/>
    </w:p>
    <w:p w14:paraId="320E54BC">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运用绩效评价组制定的评价指标体系以及财政部《项目支出绩效评价管</w:t>
      </w:r>
      <w:r>
        <w:rPr>
          <w:rFonts w:hint="eastAsia" w:ascii="Times New Roman" w:hAnsi="Times New Roman" w:eastAsia="仿宋_GB2312"/>
          <w:b w:val="0"/>
          <w:bCs w:val="0"/>
          <w:color w:val="auto"/>
          <w:sz w:val="32"/>
          <w:szCs w:val="32"/>
          <w:highlight w:val="none"/>
        </w:rPr>
        <w:t>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sz w:val="32"/>
          <w:szCs w:val="32"/>
          <w:highlight w:val="none"/>
        </w:rPr>
        <w:t>总得分为</w:t>
      </w:r>
      <w:r>
        <w:rPr>
          <w:rFonts w:hint="eastAsia"/>
          <w:b w:val="0"/>
          <w:bCs w:val="0"/>
          <w:color w:val="auto"/>
          <w:sz w:val="32"/>
          <w:szCs w:val="32"/>
          <w:highlight w:val="none"/>
          <w:lang w:val="en-US" w:eastAsia="zh-CN"/>
        </w:rPr>
        <w:t>99.98</w:t>
      </w:r>
      <w:r>
        <w:rPr>
          <w:rFonts w:hint="eastAsia" w:ascii="Times New Roman" w:hAnsi="Times New Roman" w:eastAsia="仿宋_GB2312"/>
          <w:b w:val="0"/>
          <w:bCs w:val="0"/>
          <w:color w:val="auto"/>
          <w:sz w:val="32"/>
          <w:szCs w:val="32"/>
          <w:highlight w:val="none"/>
        </w:rPr>
        <w:t>分，属于“</w:t>
      </w:r>
      <w:r>
        <w:rPr>
          <w:rFonts w:hint="eastAsia" w:ascii="Times New Roman" w:hAnsi="Times New Roman" w:eastAsia="仿宋_GB2312"/>
          <w:b w:val="0"/>
          <w:bCs w:val="0"/>
          <w:color w:val="auto"/>
          <w:sz w:val="32"/>
          <w:szCs w:val="32"/>
          <w:highlight w:val="none"/>
        </w:rPr>
        <w:t>优</w:t>
      </w:r>
      <w:r>
        <w:rPr>
          <w:rFonts w:hint="eastAsia" w:ascii="Times New Roman" w:hAnsi="Times New Roman" w:eastAsia="仿宋_GB2312"/>
          <w:b w:val="0"/>
          <w:bCs w:val="0"/>
          <w:color w:val="auto"/>
          <w:sz w:val="32"/>
          <w:szCs w:val="32"/>
          <w:highlight w:val="none"/>
        </w:rPr>
        <w:t>”。其中，</w:t>
      </w:r>
    </w:p>
    <w:p w14:paraId="405D832F">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项目决策类指标权重为20分，得分为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3E825A4F">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项目过程类指标权重为20分，得分为</w:t>
      </w:r>
      <w:r>
        <w:rPr>
          <w:rFonts w:hint="eastAsia"/>
          <w:b w:val="0"/>
          <w:bCs w:val="0"/>
          <w:color w:val="auto"/>
          <w:sz w:val="32"/>
          <w:szCs w:val="32"/>
          <w:highlight w:val="none"/>
          <w:lang w:val="en-US" w:eastAsia="zh-CN"/>
        </w:rPr>
        <w:t>19.99</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99.95</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5E7A24FD">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项目产出类指标权重为40分，得分为</w:t>
      </w:r>
      <w:r>
        <w:rPr>
          <w:rFonts w:hint="eastAsia"/>
          <w:b w:val="0"/>
          <w:bCs w:val="0"/>
          <w:color w:val="auto"/>
          <w:sz w:val="32"/>
          <w:szCs w:val="32"/>
          <w:highlight w:val="none"/>
          <w:lang w:val="en-US" w:eastAsia="zh-CN"/>
        </w:rPr>
        <w:t>39.99</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99.98</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6C98EE5C">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项目效益类指标权重为</w:t>
      </w:r>
      <w:r>
        <w:rPr>
          <w:rFonts w:hint="eastAsia"/>
          <w:b w:val="0"/>
          <w:bCs w:val="0"/>
          <w:color w:val="auto"/>
          <w:sz w:val="32"/>
          <w:szCs w:val="32"/>
          <w:highlight w:val="none"/>
          <w:lang w:val="en-US" w:eastAsia="zh-CN"/>
        </w:rPr>
        <w:t>2</w:t>
      </w:r>
      <w:r>
        <w:rPr>
          <w:rFonts w:hint="eastAsia" w:ascii="Times New Roman" w:hAnsi="Times New Roman" w:eastAsia="仿宋_GB2312"/>
          <w:b w:val="0"/>
          <w:bCs w:val="0"/>
          <w:color w:val="auto"/>
          <w:sz w:val="32"/>
          <w:szCs w:val="32"/>
          <w:highlight w:val="none"/>
        </w:rPr>
        <w:t>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7E72A10E">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具体打分情况详见：</w:t>
      </w:r>
      <w:r>
        <w:rPr>
          <w:rFonts w:hint="default" w:ascii="Times New Roman" w:hAnsi="Times New Roman" w:eastAsia="仿宋_GB2312" w:cs="Times New Roman"/>
          <w:b w:val="0"/>
          <w:bCs w:val="0"/>
          <w:color w:val="auto"/>
          <w:highlight w:val="none"/>
        </w:rPr>
        <w:t>附件1综合评分表</w:t>
      </w:r>
      <w:r>
        <w:rPr>
          <w:rFonts w:hint="eastAsia"/>
          <w:b w:val="0"/>
          <w:bCs w:val="0"/>
          <w:color w:val="auto"/>
          <w:sz w:val="32"/>
          <w:szCs w:val="32"/>
          <w:highlight w:val="none"/>
          <w:lang w:eastAsia="zh-CN"/>
        </w:rPr>
        <w:t>：</w:t>
      </w:r>
    </w:p>
    <w:p w14:paraId="5F1D70A4">
      <w:pPr>
        <w:pageBreakBefore w:val="0"/>
        <w:kinsoku/>
        <w:wordWrap/>
        <w:overflowPunct/>
        <w:topLinePunct w:val="0"/>
        <w:autoSpaceDE/>
        <w:autoSpaceDN/>
        <w:bidi w:val="0"/>
        <w:adjustRightInd/>
        <w:snapToGrid/>
        <w:spacing w:line="560" w:lineRule="exact"/>
        <w:ind w:firstLine="643" w:firstLineChars="200"/>
        <w:jc w:val="center"/>
        <w:textAlignment w:val="auto"/>
        <w:rPr>
          <w:b/>
          <w:bCs/>
          <w:color w:val="auto"/>
          <w:sz w:val="32"/>
          <w:szCs w:val="32"/>
          <w:highlight w:val="none"/>
        </w:rPr>
      </w:pPr>
      <w:r>
        <w:rPr>
          <w:rFonts w:hint="eastAsia"/>
          <w:b/>
          <w:bCs/>
          <w:color w:val="auto"/>
          <w:sz w:val="32"/>
          <w:szCs w:val="32"/>
          <w:highlight w:val="none"/>
          <w:lang w:val="en-US" w:eastAsia="zh-CN"/>
        </w:rPr>
        <w:t>棚户区改造</w:t>
      </w:r>
      <w:r>
        <w:rPr>
          <w:rFonts w:hint="eastAsia"/>
          <w:b/>
          <w:bCs/>
          <w:color w:val="auto"/>
          <w:sz w:val="32"/>
          <w:szCs w:val="32"/>
          <w:highlight w:val="none"/>
        </w:rPr>
        <w:t>项目</w:t>
      </w:r>
      <w:r>
        <w:rPr>
          <w:rFonts w:hint="eastAsia"/>
          <w:b/>
          <w:bCs/>
          <w:color w:val="auto"/>
          <w:sz w:val="32"/>
          <w:szCs w:val="32"/>
          <w:highlight w:val="none"/>
        </w:rPr>
        <w:t>评价得分情况</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14:paraId="5B603AF2">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499C38DF">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6B88F905">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1F45088A">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得分</w:t>
            </w:r>
          </w:p>
        </w:tc>
      </w:tr>
      <w:tr w14:paraId="29FC604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D6B81E">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1DB2475D">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88FBDE2">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14:paraId="03D4410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9DEE166">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0868011C">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9453DE6">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19.99</w:t>
            </w:r>
          </w:p>
        </w:tc>
      </w:tr>
      <w:tr w14:paraId="0495431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440BF38">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64E12410">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7234454">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39.99</w:t>
            </w:r>
          </w:p>
        </w:tc>
      </w:tr>
      <w:tr w14:paraId="410A217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8E8A8F5">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70F60E4D">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82FF47A">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14:paraId="7B76223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0B29368">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hint="eastAsia" w:cs="宋体"/>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1F352591">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27AB4A3">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99.98</w:t>
            </w:r>
          </w:p>
        </w:tc>
      </w:tr>
    </w:tbl>
    <w:p w14:paraId="5077A3D8">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16" w:name="_Toc68703837"/>
      <w:r>
        <w:rPr>
          <w:rFonts w:hint="eastAsia" w:ascii="宋体" w:hAnsi="宋体" w:eastAsia="宋体"/>
          <w:color w:val="auto"/>
          <w:sz w:val="32"/>
          <w:szCs w:val="32"/>
          <w:highlight w:val="none"/>
        </w:rPr>
        <w:t>四、绩效评价指标分析</w:t>
      </w:r>
      <w:bookmarkEnd w:id="16"/>
    </w:p>
    <w:p w14:paraId="6CD0BD4C">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17" w:name="_Toc68703838"/>
      <w:r>
        <w:rPr>
          <w:rFonts w:hint="eastAsia" w:ascii="仿宋_GB2312" w:eastAsia="仿宋_GB2312"/>
          <w:b/>
          <w:bCs/>
          <w:color w:val="auto"/>
          <w:sz w:val="32"/>
          <w:szCs w:val="32"/>
          <w:highlight w:val="none"/>
        </w:rPr>
        <w:t>（一）项目决策情况。</w:t>
      </w:r>
      <w:bookmarkEnd w:id="17"/>
    </w:p>
    <w:p w14:paraId="0F8CAF27">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3E30B28">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立项依据充分性</w:t>
      </w:r>
    </w:p>
    <w:p w14:paraId="34A7AD8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项目</w:t>
      </w:r>
      <w:r>
        <w:rPr>
          <w:rFonts w:hint="eastAsia"/>
          <w:color w:val="auto"/>
          <w:sz w:val="32"/>
          <w:szCs w:val="32"/>
          <w:highlight w:val="none"/>
          <w:lang w:val="en-US" w:eastAsia="zh-CN"/>
        </w:rPr>
        <w:t>依据</w:t>
      </w:r>
      <w:r>
        <w:rPr>
          <w:rFonts w:hint="default" w:ascii="仿宋" w:hAnsi="仿宋" w:eastAsia="仿宋" w:cs="仿宋"/>
          <w:color w:val="auto"/>
          <w:sz w:val="32"/>
          <w:szCs w:val="32"/>
          <w:highlight w:val="none"/>
          <w:lang w:val="en-US" w:eastAsia="zh-CN"/>
        </w:rPr>
        <w:t>《轮台县2022年棚户区改造项目房屋征收决定》(轮政发[2022]30号)文件</w:t>
      </w:r>
      <w:r>
        <w:rPr>
          <w:rFonts w:hint="eastAsia"/>
          <w:color w:val="auto"/>
          <w:sz w:val="32"/>
          <w:szCs w:val="32"/>
          <w:highlight w:val="none"/>
          <w:lang w:val="en-US" w:eastAsia="zh-CN"/>
        </w:rPr>
        <w:t>设立，立项符合国家法律法规、国民经济发展规划和相关政策，符合行业发展规划和政策要求，与部门职责范围相符</w:t>
      </w:r>
      <w:r>
        <w:rPr>
          <w:rFonts w:hint="eastAsia"/>
          <w:color w:val="auto"/>
          <w:sz w:val="32"/>
          <w:szCs w:val="32"/>
          <w:highlight w:val="none"/>
          <w:lang w:val="en-US" w:eastAsia="zh-CN"/>
        </w:rPr>
        <w:t>，属干部门</w:t>
      </w:r>
      <w:r>
        <w:rPr>
          <w:rFonts w:hint="eastAsia"/>
          <w:color w:val="auto"/>
          <w:sz w:val="32"/>
          <w:szCs w:val="32"/>
          <w:highlight w:val="none"/>
          <w:lang w:val="en-US" w:eastAsia="zh-CN"/>
        </w:rPr>
        <w:t>危房改造基层治理职能</w:t>
      </w:r>
      <w:r>
        <w:rPr>
          <w:rFonts w:hint="eastAsia"/>
          <w:color w:val="auto"/>
          <w:sz w:val="32"/>
          <w:szCs w:val="32"/>
          <w:highlight w:val="none"/>
          <w:lang w:val="en-US" w:eastAsia="zh-CN"/>
        </w:rPr>
        <w:t>范围及公共财政支持范围，符合中央、地方事权支出责任划分原则</w:t>
      </w:r>
      <w:r>
        <w:rPr>
          <w:rFonts w:hint="eastAsia"/>
          <w:color w:val="auto"/>
          <w:sz w:val="32"/>
          <w:szCs w:val="32"/>
          <w:highlight w:val="none"/>
          <w:lang w:val="en-US" w:eastAsia="zh-CN"/>
        </w:rPr>
        <w:t>，与部门同类项目或部门内部相关项目未重复，</w:t>
      </w:r>
      <w:r>
        <w:rPr>
          <w:rFonts w:hint="default" w:ascii="Times New Roman" w:hAnsi="Times New Roman" w:eastAsia="仿宋_GB2312" w:cs="Times New Roman"/>
          <w:color w:val="auto"/>
          <w:sz w:val="32"/>
          <w:szCs w:val="32"/>
          <w:highlight w:val="none"/>
          <w:lang w:val="en-US" w:eastAsia="zh-CN"/>
        </w:rPr>
        <w:t>部门发展规划及职能文件等归档完整</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lang w:val="en-US" w:eastAsia="zh-CN"/>
        </w:rPr>
        <w:t>项目立项依据充分</w:t>
      </w:r>
      <w:r>
        <w:rPr>
          <w:rFonts w:hint="eastAsia"/>
          <w:color w:val="auto"/>
          <w:sz w:val="32"/>
          <w:szCs w:val="32"/>
          <w:highlight w:val="none"/>
        </w:rPr>
        <w:t>。</w:t>
      </w:r>
    </w:p>
    <w:p w14:paraId="17FB0863">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52724F17">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立项程序规范性</w:t>
      </w:r>
    </w:p>
    <w:p w14:paraId="0DE193C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2DFCD21">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3E1D31B1">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绩效目标合理性</w:t>
      </w:r>
    </w:p>
    <w:p w14:paraId="402DED79">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DCD42AE">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2F595BCD">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绩效指标明确性</w:t>
      </w:r>
    </w:p>
    <w:p w14:paraId="34D27872">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8" w:name="_Hlk68699917"/>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ascii="Times New Roman" w:hAnsi="Times New Roman" w:cs="Times New Roman"/>
          <w:color w:val="auto"/>
          <w:sz w:val="32"/>
          <w:szCs w:val="32"/>
          <w:highlight w:val="none"/>
          <w:lang w:val="en-US" w:eastAsia="zh-CN"/>
        </w:rPr>
        <w:t>，其中</w:t>
      </w:r>
      <w:r>
        <w:rPr>
          <w:rFonts w:hint="eastAsia"/>
          <w:color w:val="auto"/>
          <w:sz w:val="32"/>
          <w:szCs w:val="32"/>
          <w:highlight w:val="none"/>
          <w:lang w:eastAsia="zh-CN"/>
        </w:rPr>
        <w:t>：</w:t>
      </w:r>
      <w:r>
        <w:rPr>
          <w:rFonts w:hint="eastAsia"/>
          <w:color w:val="auto"/>
          <w:sz w:val="32"/>
          <w:szCs w:val="32"/>
          <w:highlight w:val="none"/>
        </w:rPr>
        <w:t>一级指标</w:t>
      </w:r>
      <w:r>
        <w:rPr>
          <w:rFonts w:hint="eastAsia" w:cs="Times New Roman"/>
          <w:b w:val="0"/>
          <w:bCs w:val="0"/>
          <w:color w:val="auto"/>
          <w:kern w:val="2"/>
          <w:sz w:val="32"/>
          <w:szCs w:val="32"/>
          <w:highlight w:val="none"/>
          <w:lang w:val="en-US" w:eastAsia="zh-CN" w:bidi="ar-SA"/>
        </w:rPr>
        <w:t>4</w:t>
      </w:r>
      <w:r>
        <w:rPr>
          <w:rFonts w:hint="eastAsia"/>
          <w:color w:val="auto"/>
          <w:sz w:val="32"/>
          <w:szCs w:val="32"/>
          <w:highlight w:val="none"/>
        </w:rPr>
        <w:t>条，二级指标</w:t>
      </w:r>
      <w:r>
        <w:rPr>
          <w:rFonts w:hint="eastAsia" w:cs="Times New Roman"/>
          <w:b w:val="0"/>
          <w:bCs w:val="0"/>
          <w:color w:val="auto"/>
          <w:kern w:val="2"/>
          <w:sz w:val="32"/>
          <w:szCs w:val="32"/>
          <w:highlight w:val="none"/>
          <w:lang w:val="en-US" w:eastAsia="zh-CN" w:bidi="ar-SA"/>
        </w:rPr>
        <w:t>6</w:t>
      </w:r>
      <w:r>
        <w:rPr>
          <w:rFonts w:hint="eastAsia"/>
          <w:color w:val="auto"/>
          <w:sz w:val="32"/>
          <w:szCs w:val="32"/>
          <w:highlight w:val="none"/>
        </w:rPr>
        <w:t>条，三级指标</w:t>
      </w:r>
      <w:r>
        <w:rPr>
          <w:rFonts w:hint="eastAsia" w:cs="Times New Roman"/>
          <w:b w:val="0"/>
          <w:bCs w:val="0"/>
          <w:color w:val="auto"/>
          <w:kern w:val="2"/>
          <w:sz w:val="32"/>
          <w:szCs w:val="32"/>
          <w:highlight w:val="none"/>
          <w:lang w:val="en-US" w:eastAsia="zh-CN" w:bidi="ar-SA"/>
        </w:rPr>
        <w:t>10</w:t>
      </w:r>
      <w:r>
        <w:rPr>
          <w:rFonts w:hint="eastAsia"/>
          <w:color w:val="auto"/>
          <w:sz w:val="32"/>
          <w:szCs w:val="32"/>
          <w:highlight w:val="none"/>
        </w:rPr>
        <w:t>条，量化指标</w:t>
      </w:r>
      <w:r>
        <w:rPr>
          <w:rFonts w:hint="eastAsia" w:cs="Times New Roman"/>
          <w:b w:val="0"/>
          <w:bCs w:val="0"/>
          <w:color w:val="auto"/>
          <w:kern w:val="2"/>
          <w:sz w:val="32"/>
          <w:szCs w:val="32"/>
          <w:highlight w:val="none"/>
          <w:lang w:val="en-US" w:eastAsia="zh-CN" w:bidi="ar-SA"/>
        </w:rPr>
        <w:t>9</w:t>
      </w:r>
      <w:r>
        <w:rPr>
          <w:rFonts w:hint="eastAsia"/>
          <w:color w:val="auto"/>
          <w:sz w:val="32"/>
          <w:szCs w:val="32"/>
          <w:highlight w:val="none"/>
        </w:rPr>
        <w:t>条，</w:t>
      </w:r>
      <w:r>
        <w:rPr>
          <w:rFonts w:hint="eastAsia"/>
          <w:color w:val="auto"/>
          <w:sz w:val="32"/>
          <w:szCs w:val="32"/>
          <w:highlight w:val="none"/>
          <w:lang w:val="en-US" w:eastAsia="zh-CN"/>
        </w:rPr>
        <w:t>量化率</w:t>
      </w:r>
      <w:r>
        <w:rPr>
          <w:rFonts w:hint="eastAsia"/>
          <w:color w:val="auto"/>
          <w:sz w:val="32"/>
          <w:szCs w:val="32"/>
          <w:highlight w:val="none"/>
          <w:lang w:val="en-US" w:eastAsia="zh-CN"/>
        </w:rPr>
        <w:t>90%</w:t>
      </w:r>
      <w:r>
        <w:rPr>
          <w:rFonts w:hint="eastAsia"/>
          <w:color w:val="auto"/>
          <w:sz w:val="32"/>
          <w:szCs w:val="32"/>
          <w:highlight w:val="none"/>
        </w:rPr>
        <w:t>。</w:t>
      </w:r>
      <w:bookmarkEnd w:id="18"/>
    </w:p>
    <w:p w14:paraId="777CDDCB">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5E52655D">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预算编制科学性</w:t>
      </w:r>
    </w:p>
    <w:p w14:paraId="03E645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CAC2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2A72649">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7F2F57BD">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6</w:t>
      </w:r>
      <w:r>
        <w:rPr>
          <w:rFonts w:hint="eastAsia"/>
          <w:b/>
          <w:bCs/>
          <w:color w:val="auto"/>
          <w:sz w:val="32"/>
          <w:szCs w:val="32"/>
          <w:highlight w:val="none"/>
          <w:lang w:val="en-US" w:eastAsia="zh-CN"/>
        </w:rPr>
        <w:t>.</w:t>
      </w:r>
      <w:r>
        <w:rPr>
          <w:rFonts w:hint="eastAsia"/>
          <w:b/>
          <w:bCs/>
          <w:color w:val="auto"/>
          <w:sz w:val="32"/>
          <w:szCs w:val="32"/>
          <w:highlight w:val="none"/>
        </w:rPr>
        <w:t>资金分配合理性</w:t>
      </w:r>
    </w:p>
    <w:p w14:paraId="2ED6C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bookmarkStart w:id="19" w:name="_Toc68703839"/>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435DF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416AE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74F47CC">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eastAsia="仿宋_GB2312"/>
          <w:b/>
          <w:bCs/>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37A6D238">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（二）项目</w:t>
      </w:r>
      <w:r>
        <w:rPr>
          <w:rFonts w:hint="eastAsia" w:ascii="仿宋_GB2312" w:eastAsia="仿宋_GB2312"/>
          <w:b/>
          <w:bCs/>
          <w:color w:val="auto"/>
          <w:sz w:val="32"/>
          <w:szCs w:val="32"/>
          <w:highlight w:val="none"/>
        </w:rPr>
        <w:t>过程情况。</w:t>
      </w:r>
      <w:bookmarkEnd w:id="19"/>
    </w:p>
    <w:p w14:paraId="29A8716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cs="Times New Roman"/>
          <w:color w:val="auto"/>
          <w:sz w:val="32"/>
          <w:szCs w:val="32"/>
          <w:highlight w:val="none"/>
          <w:lang w:val="en-US" w:eastAsia="zh-CN"/>
        </w:rPr>
        <w:t>19.99</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99.95</w:t>
      </w:r>
      <w:r>
        <w:rPr>
          <w:rFonts w:hint="default" w:ascii="Times New Roman" w:hAnsi="Times New Roman" w:eastAsia="仿宋_GB2312" w:cs="Times New Roman"/>
          <w:color w:val="auto"/>
          <w:sz w:val="32"/>
          <w:szCs w:val="32"/>
          <w:highlight w:val="none"/>
          <w:lang w:val="en-US" w:eastAsia="zh-CN"/>
        </w:rPr>
        <w:t>%。</w:t>
      </w:r>
    </w:p>
    <w:p w14:paraId="7B0AD4B5">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资金到位率：</w:t>
      </w:r>
    </w:p>
    <w:p w14:paraId="65F5E99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w:t>
      </w:r>
      <w:r>
        <w:rPr>
          <w:rFonts w:hint="default" w:ascii="Times New Roman" w:hAnsi="Times New Roman" w:eastAsia="仿宋_GB2312" w:cs="Times New Roman"/>
          <w:color w:val="auto"/>
          <w:sz w:val="32"/>
          <w:szCs w:val="32"/>
          <w:highlight w:val="none"/>
          <w:lang w:val="en-US" w:eastAsia="zh-CN"/>
        </w:rPr>
        <w:t>总投资</w:t>
      </w:r>
      <w:r>
        <w:rPr>
          <w:rFonts w:hint="eastAsia" w:cs="Times New Roman"/>
          <w:color w:val="auto"/>
          <w:sz w:val="32"/>
          <w:szCs w:val="32"/>
          <w:highlight w:val="none"/>
          <w:lang w:val="en-US" w:eastAsia="zh-CN"/>
        </w:rPr>
        <w:t>6503.21</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预算资金按计划进度执行。</w:t>
      </w:r>
    </w:p>
    <w:p w14:paraId="2A2260F9">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w:t>
      </w:r>
      <w:r>
        <w:rPr>
          <w:rFonts w:hint="eastAsia" w:ascii="Times New Roman" w:hAnsi="Times New Roman" w:eastAsia="仿宋_GB2312" w:cs="Times New Roman"/>
          <w:b w:val="0"/>
          <w:bCs w:val="0"/>
          <w:color w:val="auto"/>
          <w:kern w:val="2"/>
          <w:sz w:val="32"/>
          <w:szCs w:val="32"/>
          <w:highlight w:val="none"/>
          <w:lang w:val="en-US" w:eastAsia="zh-CN" w:bidi="ar-SA"/>
        </w:rPr>
        <w:t>得分</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42D43F0C">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预算执行率</w:t>
      </w:r>
    </w:p>
    <w:p w14:paraId="6DF17706">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cs="Times New Roman"/>
          <w:color w:val="auto"/>
          <w:sz w:val="32"/>
          <w:szCs w:val="32"/>
          <w:highlight w:val="none"/>
          <w:lang w:val="en-US" w:eastAsia="zh-CN"/>
        </w:rPr>
        <w:t>6494.85</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99.87</w:t>
      </w:r>
      <w:r>
        <w:rPr>
          <w:rFonts w:hint="default" w:ascii="Times New Roman" w:hAnsi="Times New Roman" w:eastAsia="仿宋_GB2312" w:cs="Times New Roman"/>
          <w:color w:val="auto"/>
          <w:sz w:val="32"/>
          <w:szCs w:val="32"/>
          <w:highlight w:val="none"/>
          <w:lang w:val="en-US" w:eastAsia="zh-CN"/>
        </w:rPr>
        <w:t>%。</w:t>
      </w:r>
    </w:p>
    <w:p w14:paraId="203D53A9">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w:t>
      </w:r>
      <w:r>
        <w:rPr>
          <w:rFonts w:hint="eastAsia" w:ascii="Times New Roman" w:hAnsi="Times New Roman" w:eastAsia="仿宋_GB2312" w:cs="Times New Roman"/>
          <w:b w:val="0"/>
          <w:bCs w:val="0"/>
          <w:color w:val="auto"/>
          <w:kern w:val="2"/>
          <w:sz w:val="32"/>
          <w:szCs w:val="32"/>
          <w:highlight w:val="none"/>
          <w:lang w:val="en-US" w:eastAsia="zh-CN" w:bidi="ar-SA"/>
        </w:rPr>
        <w:t>3.99</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0728C365">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资金使用合规性</w:t>
      </w:r>
    </w:p>
    <w:p w14:paraId="1F803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8F39F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220E20E">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7F5DBA7">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3BF0CC7E">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管理制度健全性</w:t>
      </w:r>
    </w:p>
    <w:p w14:paraId="08F1C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E2D4B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3DBCBF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3EA23D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B29430D">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5A921BCD">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制度执行有效性</w:t>
      </w:r>
    </w:p>
    <w:p w14:paraId="1D53F4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6ABF4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BF6C2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1E1BD20C">
      <w:pPr>
        <w:pStyle w:val="23"/>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highlight w:val="none"/>
        </w:rPr>
      </w:pPr>
      <w:r>
        <w:rPr>
          <w:rFonts w:hint="eastAsia"/>
          <w:color w:val="auto"/>
          <w:sz w:val="32"/>
          <w:szCs w:val="32"/>
          <w:highlight w:val="none"/>
          <w:lang w:val="en-US" w:eastAsia="zh-CN"/>
        </w:rPr>
        <w:t>本项指标满分4分，得</w:t>
      </w:r>
      <w:r>
        <w:rPr>
          <w:rFonts w:hint="eastAsia"/>
          <w:color w:val="auto"/>
          <w:sz w:val="32"/>
          <w:szCs w:val="32"/>
          <w:highlight w:val="none"/>
          <w:lang w:val="en-US" w:eastAsia="zh-CN"/>
        </w:rPr>
        <w:t>4</w:t>
      </w:r>
      <w:r>
        <w:rPr>
          <w:rFonts w:hint="eastAsia"/>
          <w:color w:val="auto"/>
          <w:sz w:val="32"/>
          <w:szCs w:val="32"/>
          <w:highlight w:val="none"/>
          <w:lang w:val="en-US" w:eastAsia="zh-CN"/>
        </w:rPr>
        <w:t>分。</w:t>
      </w:r>
    </w:p>
    <w:p w14:paraId="55F8CAD4">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color w:val="auto"/>
          <w:sz w:val="32"/>
          <w:szCs w:val="32"/>
          <w:highlight w:val="none"/>
        </w:rPr>
      </w:pPr>
      <w:bookmarkStart w:id="20" w:name="_Toc68703840"/>
      <w:r>
        <w:rPr>
          <w:rFonts w:hint="eastAsia"/>
          <w:b/>
          <w:bCs/>
          <w:color w:val="auto"/>
          <w:sz w:val="32"/>
          <w:szCs w:val="32"/>
          <w:highlight w:val="none"/>
          <w:lang w:val="en-US" w:eastAsia="zh-CN"/>
        </w:rPr>
        <w:t>（三）</w:t>
      </w:r>
      <w:r>
        <w:rPr>
          <w:rFonts w:hint="eastAsia" w:ascii="仿宋_GB2312" w:eastAsia="仿宋_GB2312"/>
          <w:b/>
          <w:bCs/>
          <w:color w:val="auto"/>
          <w:sz w:val="32"/>
          <w:szCs w:val="32"/>
          <w:highlight w:val="none"/>
        </w:rPr>
        <w:t>项目产出情况。</w:t>
      </w:r>
      <w:bookmarkEnd w:id="20"/>
    </w:p>
    <w:p w14:paraId="785A8191">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w:t>
      </w:r>
      <w:r>
        <w:rPr>
          <w:rFonts w:hint="default" w:ascii="Times New Roman" w:hAnsi="Times New Roman" w:eastAsia="仿宋_GB2312" w:cs="Times New Roman"/>
          <w:color w:val="auto"/>
          <w:sz w:val="32"/>
          <w:szCs w:val="32"/>
          <w:highlight w:val="none"/>
          <w:lang w:val="en-US" w:eastAsia="zh-CN"/>
        </w:rPr>
        <w:t>内容，由</w:t>
      </w:r>
      <w:r>
        <w:rPr>
          <w:rFonts w:hint="eastAsia"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个三级指标构成，权重分为40分，实际得</w:t>
      </w:r>
      <w:r>
        <w:rPr>
          <w:rFonts w:hint="default" w:ascii="Times New Roman" w:hAnsi="Times New Roman" w:eastAsia="仿宋_GB2312" w:cs="Times New Roman"/>
          <w:color w:val="auto"/>
          <w:sz w:val="32"/>
          <w:szCs w:val="32"/>
          <w:highlight w:val="none"/>
          <w:lang w:val="en-US" w:eastAsia="zh-CN"/>
        </w:rPr>
        <w:t>分</w:t>
      </w:r>
      <w:r>
        <w:rPr>
          <w:rFonts w:hint="eastAsia" w:cs="Times New Roman"/>
          <w:color w:val="auto"/>
          <w:sz w:val="32"/>
          <w:szCs w:val="32"/>
          <w:highlight w:val="none"/>
          <w:lang w:val="en-US" w:eastAsia="zh-CN"/>
        </w:rPr>
        <w:t>39.98</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99.95</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。具体产出指</w:t>
      </w:r>
      <w:r>
        <w:rPr>
          <w:rFonts w:hint="default" w:ascii="Times New Roman" w:hAnsi="Times New Roman" w:eastAsia="仿宋_GB2312" w:cs="Times New Roman"/>
          <w:color w:val="auto"/>
          <w:sz w:val="32"/>
          <w:szCs w:val="32"/>
          <w:highlight w:val="none"/>
          <w:lang w:val="en-US" w:eastAsia="zh-CN"/>
        </w:rPr>
        <w:t>标完成情况如下：</w:t>
      </w:r>
    </w:p>
    <w:p w14:paraId="02F9A989">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w:t>
      </w:r>
      <w:r>
        <w:rPr>
          <w:rFonts w:hint="eastAsia"/>
          <w:b/>
          <w:bCs/>
          <w:color w:val="auto"/>
          <w:sz w:val="32"/>
          <w:szCs w:val="32"/>
          <w:highlight w:val="none"/>
        </w:rPr>
        <w:t>数量指标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2960B262">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拆迁补偿款、安置过渡费补偿户数</w:t>
      </w:r>
      <w:bookmarkStart w:id="21" w:name="OLE_LINK6"/>
      <w:r>
        <w:rPr>
          <w:rFonts w:hint="eastAsia"/>
          <w:color w:val="auto"/>
          <w:sz w:val="32"/>
          <w:szCs w:val="32"/>
          <w:highlight w:val="none"/>
          <w:lang w:val="en-US" w:eastAsia="zh-CN"/>
        </w:rPr>
        <w:t>，</w:t>
      </w:r>
      <w:r>
        <w:rPr>
          <w:rFonts w:hint="eastAsia"/>
          <w:color w:val="auto"/>
          <w:sz w:val="32"/>
          <w:szCs w:val="32"/>
          <w:highlight w:val="none"/>
        </w:rPr>
        <w:t>指标值：</w:t>
      </w:r>
      <w:bookmarkEnd w:id="21"/>
      <w:r>
        <w:rPr>
          <w:rFonts w:hint="eastAsia"/>
          <w:color w:val="auto"/>
          <w:sz w:val="32"/>
          <w:szCs w:val="32"/>
          <w:highlight w:val="none"/>
        </w:rPr>
        <w:t>&gt;=</w:t>
      </w:r>
      <w:r>
        <w:rPr>
          <w:rFonts w:hint="eastAsia"/>
          <w:color w:val="auto"/>
          <w:sz w:val="32"/>
          <w:szCs w:val="32"/>
          <w:highlight w:val="none"/>
          <w:lang w:val="en-US" w:eastAsia="zh-CN"/>
        </w:rPr>
        <w:t>980</w:t>
      </w:r>
      <w:bookmarkStart w:id="22" w:name="OLE_LINK7"/>
      <w:r>
        <w:rPr>
          <w:rFonts w:hint="eastAsia"/>
          <w:color w:val="auto"/>
          <w:sz w:val="32"/>
          <w:szCs w:val="32"/>
          <w:highlight w:val="none"/>
          <w:lang w:val="en-US" w:eastAsia="zh-CN"/>
        </w:rPr>
        <w:t>人次，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980人次，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bookmarkEnd w:id="22"/>
      <w:r>
        <w:rPr>
          <w:rFonts w:hint="eastAsia"/>
          <w:color w:val="auto"/>
          <w:sz w:val="32"/>
          <w:szCs w:val="32"/>
          <w:highlight w:val="none"/>
          <w:lang w:eastAsia="zh-CN"/>
        </w:rPr>
        <w:t>。</w:t>
      </w:r>
    </w:p>
    <w:p w14:paraId="1C2BE648">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val="en-US" w:eastAsia="zh-CN"/>
        </w:rPr>
      </w:pPr>
      <w:r>
        <w:rPr>
          <w:rFonts w:hint="eastAsia"/>
          <w:color w:val="auto"/>
          <w:sz w:val="32"/>
          <w:szCs w:val="32"/>
          <w:highlight w:val="none"/>
        </w:rPr>
        <w:t>指标2：聘用评估测绘、拆迁清运公司数</w:t>
      </w:r>
      <w:r>
        <w:rPr>
          <w:rFonts w:hint="eastAsia"/>
          <w:color w:val="auto"/>
          <w:sz w:val="32"/>
          <w:szCs w:val="32"/>
          <w:highlight w:val="none"/>
          <w:lang w:val="en-US" w:eastAsia="zh-CN"/>
        </w:rPr>
        <w:t>，</w:t>
      </w:r>
      <w:r>
        <w:rPr>
          <w:rFonts w:hint="eastAsia"/>
          <w:color w:val="auto"/>
          <w:sz w:val="32"/>
          <w:szCs w:val="32"/>
          <w:highlight w:val="none"/>
        </w:rPr>
        <w:t>指标值：&gt;=</w:t>
      </w:r>
      <w:r>
        <w:rPr>
          <w:rFonts w:hint="eastAsia"/>
          <w:color w:val="auto"/>
          <w:sz w:val="32"/>
          <w:szCs w:val="32"/>
          <w:highlight w:val="none"/>
          <w:lang w:val="en-US" w:eastAsia="zh-CN"/>
        </w:rPr>
        <w:t>5家，</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5家,</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14:paraId="7E92CD9D">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ascii="Times New Roman" w:hAnsi="Times New Roman" w:eastAsia="仿宋_GB2312"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33C36F03">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w:t>
      </w:r>
      <w:r>
        <w:rPr>
          <w:rFonts w:hint="eastAsia"/>
          <w:b/>
          <w:bCs/>
          <w:color w:val="auto"/>
          <w:sz w:val="32"/>
          <w:szCs w:val="32"/>
          <w:highlight w:val="none"/>
        </w:rPr>
        <w:t>质量指标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436A3DE0">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指标1：补贴发放准确率</w:t>
      </w:r>
      <w:r>
        <w:rPr>
          <w:rFonts w:hint="eastAsia"/>
          <w:color w:val="auto"/>
          <w:sz w:val="32"/>
          <w:szCs w:val="32"/>
          <w:highlight w:val="none"/>
        </w:rPr>
        <w:t>，</w:t>
      </w:r>
      <w:bookmarkStart w:id="23" w:name="OLE_LINK8"/>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bookmarkEnd w:id="23"/>
    </w:p>
    <w:p w14:paraId="583B8725">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指标2：拆迁清运验收合格率,</w:t>
      </w:r>
      <w:bookmarkStart w:id="24" w:name="OLE_LINK9"/>
      <w:r>
        <w:rPr>
          <w:rFonts w:hint="eastAsia" w:ascii="Times New Roman" w:hAnsi="Times New Roman" w:eastAsia="仿宋_GB2312" w:cs="Times New Roman"/>
          <w:b w:val="0"/>
          <w:bCs w:val="0"/>
          <w:color w:val="auto"/>
          <w:kern w:val="2"/>
          <w:sz w:val="32"/>
          <w:szCs w:val="32"/>
          <w:highlight w:val="none"/>
          <w:lang w:val="en-US" w:eastAsia="zh-CN" w:bidi="ar-SA"/>
        </w:rPr>
        <w:t>指标值：100%，实际完成值：100%，指标完成率100%。</w:t>
      </w:r>
      <w:bookmarkEnd w:id="24"/>
    </w:p>
    <w:p w14:paraId="6268951E">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ascii="Times New Roman" w:hAnsi="Times New Roman" w:eastAsia="仿宋_GB2312"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6827C99E">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3.时效</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2698E5ED">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指标1：补贴发放及时率，</w:t>
      </w:r>
      <w:bookmarkStart w:id="25" w:name="OLE_LINK10"/>
      <w:r>
        <w:rPr>
          <w:rFonts w:hint="eastAsia" w:ascii="Times New Roman" w:hAnsi="Times New Roman" w:eastAsia="仿宋_GB2312" w:cs="Times New Roman"/>
          <w:b w:val="0"/>
          <w:bCs w:val="0"/>
          <w:color w:val="auto"/>
          <w:kern w:val="2"/>
          <w:sz w:val="32"/>
          <w:szCs w:val="32"/>
          <w:highlight w:val="none"/>
          <w:lang w:val="en-US" w:eastAsia="zh-CN" w:bidi="ar-SA"/>
        </w:rPr>
        <w:t>指标值：100%，实际完成值：100%，指标完成率100%。</w:t>
      </w:r>
      <w:bookmarkEnd w:id="25"/>
    </w:p>
    <w:p w14:paraId="104C6A91">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指标2：评估测绘、拆迁清运公司完成及时率,</w:t>
      </w:r>
      <w:r>
        <w:rPr>
          <w:rFonts w:hint="eastAsia" w:ascii="Times New Roman" w:hAnsi="Times New Roman" w:eastAsia="仿宋_GB2312" w:cs="Times New Roman"/>
          <w:b w:val="0"/>
          <w:bCs w:val="0"/>
          <w:color w:val="auto"/>
          <w:kern w:val="2"/>
          <w:sz w:val="32"/>
          <w:szCs w:val="32"/>
          <w:highlight w:val="none"/>
          <w:lang w:val="en-US" w:eastAsia="zh-CN" w:bidi="ar-SA"/>
        </w:rPr>
        <w:t>指标值：100%，实际完成值：100%，指标完成率100%。</w:t>
      </w:r>
    </w:p>
    <w:p w14:paraId="638FC4B4">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bookmarkStart w:id="26" w:name="OLE_LINK13"/>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ascii="Times New Roman" w:hAnsi="Times New Roman" w:eastAsia="仿宋_GB2312"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bookmarkEnd w:id="26"/>
    </w:p>
    <w:p w14:paraId="09307C2D">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4.成本</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37DC566C">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s="Times New Roman"/>
          <w:color w:val="auto"/>
          <w:kern w:val="2"/>
          <w:sz w:val="32"/>
          <w:szCs w:val="32"/>
          <w:highlight w:val="none"/>
          <w:lang w:val="en-US" w:eastAsia="zh-CN" w:bidi="ar-SA"/>
        </w:rPr>
      </w:pPr>
      <w:r>
        <w:rPr>
          <w:rFonts w:hint="eastAsia"/>
          <w:color w:val="auto"/>
          <w:sz w:val="32"/>
          <w:szCs w:val="32"/>
          <w:highlight w:val="none"/>
        </w:rPr>
        <w:t>指标1：每人次拆迁补偿款、安置过渡费</w:t>
      </w:r>
      <w:r>
        <w:rPr>
          <w:rFonts w:hint="eastAsia"/>
          <w:color w:val="auto"/>
          <w:sz w:val="32"/>
          <w:szCs w:val="32"/>
          <w:highlight w:val="none"/>
          <w:lang w:val="en-US" w:eastAsia="zh-CN"/>
        </w:rPr>
        <w:t>补偿金额</w:t>
      </w:r>
      <w:r>
        <w:rPr>
          <w:rFonts w:hint="eastAsia"/>
          <w:color w:val="auto"/>
          <w:sz w:val="32"/>
          <w:szCs w:val="32"/>
          <w:highlight w:val="none"/>
        </w:rPr>
        <w:t>，</w:t>
      </w:r>
      <w:bookmarkStart w:id="27" w:name="OLE_LINK11"/>
      <w:r>
        <w:rPr>
          <w:rFonts w:hint="eastAsia"/>
          <w:color w:val="auto"/>
          <w:sz w:val="32"/>
          <w:szCs w:val="32"/>
          <w:highlight w:val="none"/>
        </w:rPr>
        <w:t>指标值：&lt;=</w:t>
      </w:r>
      <w:r>
        <w:rPr>
          <w:rFonts w:hint="eastAsia"/>
          <w:color w:val="auto"/>
          <w:sz w:val="32"/>
          <w:szCs w:val="32"/>
          <w:highlight w:val="none"/>
          <w:lang w:val="en-US" w:eastAsia="zh-CN"/>
        </w:rPr>
        <w:t>5.54万每户</w:t>
      </w:r>
      <w:r>
        <w:rPr>
          <w:rFonts w:hint="eastAsia"/>
          <w:color w:val="auto"/>
          <w:sz w:val="32"/>
          <w:szCs w:val="32"/>
          <w:highlight w:val="none"/>
        </w:rPr>
        <w:t>，</w:t>
      </w:r>
      <w:r>
        <w:rPr>
          <w:rFonts w:hint="eastAsia"/>
          <w:color w:val="auto"/>
          <w:sz w:val="32"/>
          <w:szCs w:val="32"/>
          <w:highlight w:val="none"/>
        </w:rPr>
        <w:t>实际完成值</w:t>
      </w:r>
      <w:r>
        <w:rPr>
          <w:rFonts w:hint="eastAsia"/>
          <w:color w:val="auto"/>
          <w:sz w:val="32"/>
          <w:szCs w:val="32"/>
          <w:highlight w:val="none"/>
          <w:lang w:eastAsia="zh-CN"/>
        </w:rPr>
        <w:t>：&lt;=</w:t>
      </w:r>
      <w:r>
        <w:rPr>
          <w:rFonts w:hint="eastAsia"/>
          <w:color w:val="auto"/>
          <w:sz w:val="32"/>
          <w:szCs w:val="32"/>
          <w:highlight w:val="none"/>
          <w:lang w:val="en-US" w:eastAsia="zh-CN"/>
        </w:rPr>
        <w:t>5.53万每户</w:t>
      </w:r>
      <w:r>
        <w:rPr>
          <w:rFonts w:hint="eastAsia"/>
          <w:color w:val="auto"/>
          <w:sz w:val="32"/>
          <w:szCs w:val="32"/>
          <w:highlight w:val="none"/>
        </w:rPr>
        <w:t>，</w:t>
      </w:r>
      <w:r>
        <w:rPr>
          <w:rFonts w:hint="eastAsia"/>
          <w:color w:val="auto"/>
          <w:sz w:val="32"/>
          <w:szCs w:val="32"/>
          <w:highlight w:val="none"/>
        </w:rPr>
        <w:t>指标完成率</w:t>
      </w:r>
      <w:r>
        <w:rPr>
          <w:rFonts w:hint="eastAsia"/>
          <w:color w:val="auto"/>
          <w:sz w:val="32"/>
          <w:szCs w:val="32"/>
          <w:highlight w:val="none"/>
          <w:lang w:val="en-US" w:eastAsia="zh-CN"/>
        </w:rPr>
        <w:t>99.82</w:t>
      </w:r>
      <w:r>
        <w:rPr>
          <w:rFonts w:hint="eastAsia"/>
          <w:color w:val="auto"/>
          <w:sz w:val="32"/>
          <w:szCs w:val="32"/>
          <w:highlight w:val="none"/>
        </w:rPr>
        <w:t>%</w:t>
      </w:r>
      <w:bookmarkEnd w:id="27"/>
      <w:r>
        <w:rPr>
          <w:rFonts w:hint="eastAsia"/>
          <w:color w:val="auto"/>
          <w:sz w:val="32"/>
          <w:szCs w:val="32"/>
          <w:highlight w:val="none"/>
        </w:rPr>
        <w:t>，</w:t>
      </w:r>
      <w:r>
        <w:rPr>
          <w:rFonts w:hint="eastAsia"/>
          <w:color w:val="auto"/>
          <w:sz w:val="32"/>
          <w:szCs w:val="32"/>
          <w:highlight w:val="none"/>
        </w:rPr>
        <w:t>偏差原因：</w:t>
      </w:r>
      <w:r>
        <w:rPr>
          <w:rFonts w:hint="eastAsia" w:cs="Times New Roman"/>
          <w:color w:val="auto"/>
          <w:kern w:val="2"/>
          <w:sz w:val="32"/>
          <w:szCs w:val="32"/>
          <w:highlight w:val="none"/>
          <w:lang w:val="en-US" w:eastAsia="zh-CN" w:bidi="ar-SA"/>
        </w:rPr>
        <w:t>部分被支付人无法提供相关支票、凭证，未达到支付条件。</w:t>
      </w:r>
    </w:p>
    <w:p w14:paraId="491369DC">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ascii="Times New Roman" w:hAnsi="Times New Roman" w:eastAsia="仿宋_GB2312" w:cs="Times New Roman"/>
          <w:b w:val="0"/>
          <w:bCs w:val="0"/>
          <w:color w:val="auto"/>
          <w:kern w:val="2"/>
          <w:sz w:val="32"/>
          <w:szCs w:val="32"/>
          <w:highlight w:val="none"/>
          <w:lang w:val="en-US" w:eastAsia="zh-CN" w:bidi="ar-SA"/>
        </w:rPr>
        <w:t>9.98</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00CFF7EE">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s="Times New Roman"/>
          <w:color w:val="auto"/>
          <w:kern w:val="2"/>
          <w:sz w:val="32"/>
          <w:szCs w:val="32"/>
          <w:highlight w:val="none"/>
          <w:lang w:val="en-US" w:eastAsia="zh-CN" w:bidi="ar-SA"/>
        </w:rPr>
      </w:pPr>
    </w:p>
    <w:p w14:paraId="6D77CA89">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指标2：评估测绘费、拆迁清运费金额。指标值：&lt;=1069.62万元，实际完成值：&lt;=1069.62万元，指标完成率100%</w:t>
      </w:r>
    </w:p>
    <w:p w14:paraId="59EEB1D8">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ascii="Times New Roman" w:hAnsi="Times New Roman" w:eastAsia="仿宋_GB2312"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17897369">
      <w:pPr>
        <w:rPr>
          <w:rFonts w:hint="default"/>
          <w:color w:val="auto"/>
          <w:highlight w:val="none"/>
          <w:lang w:val="en-US" w:eastAsia="zh-CN"/>
        </w:rPr>
      </w:pPr>
    </w:p>
    <w:p w14:paraId="0940CD3A">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28" w:name="_Toc68703841"/>
      <w:r>
        <w:rPr>
          <w:rFonts w:hint="eastAsia" w:ascii="仿宋_GB2312" w:eastAsia="仿宋_GB2312"/>
          <w:b/>
          <w:bCs/>
          <w:color w:val="auto"/>
          <w:sz w:val="32"/>
          <w:szCs w:val="32"/>
          <w:highlight w:val="none"/>
        </w:rPr>
        <w:t>（</w:t>
      </w:r>
      <w:r>
        <w:rPr>
          <w:rFonts w:hint="eastAsia" w:ascii="仿宋_GB2312" w:eastAsia="仿宋_GB2312"/>
          <w:b/>
          <w:bCs/>
          <w:color w:val="auto"/>
          <w:sz w:val="32"/>
          <w:szCs w:val="32"/>
          <w:highlight w:val="none"/>
          <w:lang w:eastAsia="zh-CN"/>
        </w:rPr>
        <w:t>四</w:t>
      </w:r>
      <w:r>
        <w:rPr>
          <w:rFonts w:hint="eastAsia" w:ascii="仿宋_GB2312" w:eastAsia="仿宋_GB2312"/>
          <w:b/>
          <w:bCs/>
          <w:color w:val="auto"/>
          <w:sz w:val="32"/>
          <w:szCs w:val="32"/>
          <w:highlight w:val="none"/>
        </w:rPr>
        <w:t>）项目效益情况。</w:t>
      </w:r>
      <w:bookmarkEnd w:id="28"/>
    </w:p>
    <w:p w14:paraId="033686B7">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1.社会效益</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37F529C3">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指标1：改善居住环境</w:t>
      </w:r>
      <w:r>
        <w:rPr>
          <w:rFonts w:hint="eastAsia"/>
          <w:color w:val="auto"/>
          <w:sz w:val="32"/>
          <w:szCs w:val="32"/>
          <w:highlight w:val="none"/>
        </w:rPr>
        <w:t>，</w:t>
      </w:r>
      <w:r>
        <w:rPr>
          <w:rFonts w:hint="eastAsia"/>
          <w:color w:val="auto"/>
          <w:sz w:val="32"/>
          <w:szCs w:val="32"/>
          <w:highlight w:val="none"/>
        </w:rPr>
        <w:t>指标值：</w:t>
      </w:r>
      <w:r>
        <w:rPr>
          <w:rFonts w:hint="eastAsia"/>
          <w:color w:val="auto"/>
          <w:sz w:val="32"/>
          <w:szCs w:val="32"/>
          <w:highlight w:val="none"/>
          <w:lang w:val="en-US" w:eastAsia="zh-CN"/>
        </w:rPr>
        <w:t>有效改善</w:t>
      </w:r>
      <w:r>
        <w:rPr>
          <w:rFonts w:hint="eastAsia"/>
          <w:color w:val="auto"/>
          <w:sz w:val="32"/>
          <w:szCs w:val="32"/>
          <w:highlight w:val="none"/>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达到目标</w:t>
      </w:r>
      <w:r>
        <w:rPr>
          <w:rFonts w:hint="eastAsia"/>
          <w:color w:val="auto"/>
          <w:sz w:val="32"/>
          <w:szCs w:val="32"/>
          <w:highlight w:val="none"/>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05C46DA2">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7E573586">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2.满意度</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20FBE2A9">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指标1：棚户区改造拆迁群众满意度，指标值：95%，实际完成值：95%，指标完成率100%。</w:t>
      </w:r>
    </w:p>
    <w:p w14:paraId="4EE1D90D">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1A380F21">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ajorHAnsi" w:cstheme="majorBidi"/>
          <w:b/>
          <w:bCs/>
          <w:color w:val="auto"/>
          <w:kern w:val="2"/>
          <w:sz w:val="32"/>
          <w:szCs w:val="32"/>
          <w:highlight w:val="none"/>
          <w:lang w:val="en-US" w:bidi="ar-SA"/>
        </w:rPr>
      </w:pPr>
      <w:bookmarkStart w:id="29" w:name="_Toc68703842"/>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五</w:t>
      </w:r>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、预算执行进度与绩效指标总体完成率偏差</w:t>
      </w:r>
    </w:p>
    <w:p w14:paraId="151CAB3F">
      <w:pPr>
        <w:pStyle w:val="22"/>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cs="Times New Roman"/>
          <w:color w:val="auto"/>
          <w:kern w:val="2"/>
          <w:sz w:val="32"/>
          <w:szCs w:val="32"/>
          <w:highlight w:val="none"/>
          <w:lang w:val="en-US" w:eastAsia="zh-CN" w:bidi="ar-SA"/>
        </w:rPr>
        <w:t>棚户区改造</w:t>
      </w:r>
      <w:r>
        <w:rPr>
          <w:rFonts w:hint="eastAsia" w:ascii="Times New Roman" w:hAnsi="Times New Roman" w:eastAsia="仿宋_GB2312" w:cs="Times New Roman"/>
          <w:color w:val="auto"/>
          <w:kern w:val="2"/>
          <w:sz w:val="32"/>
          <w:szCs w:val="32"/>
          <w:highlight w:val="none"/>
          <w:lang w:val="en-US" w:eastAsia="zh-CN" w:bidi="ar-SA"/>
        </w:rPr>
        <w:t>项目年初预算</w:t>
      </w:r>
      <w:r>
        <w:rPr>
          <w:rFonts w:hint="eastAsia" w:cs="Times New Roman"/>
          <w:color w:val="auto"/>
          <w:kern w:val="2"/>
          <w:sz w:val="32"/>
          <w:szCs w:val="32"/>
          <w:highlight w:val="none"/>
          <w:lang w:val="en-US" w:eastAsia="zh-CN" w:bidi="ar-SA"/>
        </w:rPr>
        <w:t>6503.21</w:t>
      </w:r>
      <w:r>
        <w:rPr>
          <w:rFonts w:hint="eastAsia" w:ascii="Times New Roman" w:hAnsi="Times New Roman" w:eastAsia="仿宋_GB2312" w:cs="Times New Roman"/>
          <w:color w:val="auto"/>
          <w:kern w:val="2"/>
          <w:sz w:val="32"/>
          <w:szCs w:val="32"/>
          <w:highlight w:val="none"/>
          <w:lang w:val="en-US" w:eastAsia="zh-CN" w:bidi="ar-SA"/>
        </w:rPr>
        <w:t>万元，全年预算</w:t>
      </w:r>
      <w:r>
        <w:rPr>
          <w:rFonts w:hint="eastAsia" w:cs="Times New Roman"/>
          <w:color w:val="auto"/>
          <w:kern w:val="2"/>
          <w:sz w:val="32"/>
          <w:szCs w:val="32"/>
          <w:highlight w:val="none"/>
          <w:lang w:val="en-US" w:eastAsia="zh-CN" w:bidi="ar-SA"/>
        </w:rPr>
        <w:t>6503.21</w:t>
      </w:r>
      <w:r>
        <w:rPr>
          <w:rFonts w:hint="eastAsia" w:ascii="Times New Roman" w:hAnsi="Times New Roman" w:eastAsia="仿宋_GB2312" w:cs="Times New Roman"/>
          <w:color w:val="auto"/>
          <w:kern w:val="2"/>
          <w:sz w:val="32"/>
          <w:szCs w:val="32"/>
          <w:highlight w:val="none"/>
          <w:lang w:val="en-US" w:eastAsia="zh-CN" w:bidi="ar-SA"/>
        </w:rPr>
        <w:t>万元，实际支出</w:t>
      </w:r>
      <w:r>
        <w:rPr>
          <w:rFonts w:hint="eastAsia" w:cs="Times New Roman"/>
          <w:color w:val="auto"/>
          <w:kern w:val="2"/>
          <w:sz w:val="32"/>
          <w:szCs w:val="32"/>
          <w:highlight w:val="none"/>
          <w:lang w:val="en-US" w:eastAsia="zh-CN" w:bidi="ar-SA"/>
        </w:rPr>
        <w:t>6494.48</w:t>
      </w:r>
      <w:r>
        <w:rPr>
          <w:rFonts w:hint="eastAsia" w:ascii="Times New Roman" w:hAnsi="Times New Roman" w:eastAsia="仿宋_GB2312" w:cs="Times New Roman"/>
          <w:color w:val="auto"/>
          <w:kern w:val="2"/>
          <w:sz w:val="32"/>
          <w:szCs w:val="32"/>
          <w:highlight w:val="none"/>
          <w:lang w:val="en-US" w:eastAsia="zh-CN" w:bidi="ar-SA"/>
        </w:rPr>
        <w:t>万元，预算执行率为</w:t>
      </w:r>
      <w:r>
        <w:rPr>
          <w:rFonts w:hint="eastAsia" w:cs="Times New Roman"/>
          <w:color w:val="auto"/>
          <w:kern w:val="2"/>
          <w:sz w:val="32"/>
          <w:szCs w:val="32"/>
          <w:highlight w:val="none"/>
          <w:lang w:val="en-US" w:eastAsia="zh-CN" w:bidi="ar-SA"/>
        </w:rPr>
        <w:t>99.82</w:t>
      </w:r>
      <w:r>
        <w:rPr>
          <w:rFonts w:hint="eastAsia" w:ascii="Times New Roman" w:hAnsi="Times New Roman" w:eastAsia="仿宋_GB2312" w:cs="Times New Roman"/>
          <w:color w:val="auto"/>
          <w:kern w:val="2"/>
          <w:sz w:val="32"/>
          <w:szCs w:val="32"/>
          <w:highlight w:val="none"/>
          <w:lang w:val="en-US" w:eastAsia="zh-CN" w:bidi="ar-SA"/>
        </w:rPr>
        <w:t>%，项目绩效指标总体完成</w:t>
      </w:r>
      <w:r>
        <w:rPr>
          <w:rFonts w:hint="eastAsia" w:ascii="Times New Roman" w:hAnsi="Times New Roman" w:eastAsia="仿宋_GB2312" w:cs="Times New Roman"/>
          <w:color w:val="auto"/>
          <w:kern w:val="2"/>
          <w:sz w:val="32"/>
          <w:szCs w:val="32"/>
          <w:highlight w:val="none"/>
          <w:lang w:val="en-US" w:eastAsia="zh-CN" w:bidi="ar-SA"/>
        </w:rPr>
        <w:t>率为</w:t>
      </w:r>
      <w:r>
        <w:rPr>
          <w:rFonts w:hint="eastAsia" w:cs="Times New Roman"/>
          <w:color w:val="auto"/>
          <w:kern w:val="2"/>
          <w:sz w:val="32"/>
          <w:szCs w:val="32"/>
          <w:highlight w:val="none"/>
          <w:lang w:val="en-US" w:eastAsia="zh-CN" w:bidi="ar-SA"/>
        </w:rPr>
        <w:t>99.98</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总体</w:t>
      </w:r>
      <w:r>
        <w:rPr>
          <w:rFonts w:hint="eastAsia" w:ascii="Times New Roman" w:hAnsi="Times New Roman" w:eastAsia="仿宋_GB2312" w:cs="Times New Roman"/>
          <w:color w:val="auto"/>
          <w:kern w:val="2"/>
          <w:sz w:val="32"/>
          <w:szCs w:val="32"/>
          <w:highlight w:val="none"/>
          <w:lang w:val="en-US" w:eastAsia="zh-CN" w:bidi="ar-SA"/>
        </w:rPr>
        <w:t>偏</w:t>
      </w:r>
      <w:r>
        <w:rPr>
          <w:rFonts w:hint="eastAsia" w:ascii="Times New Roman" w:hAnsi="Times New Roman" w:eastAsia="仿宋_GB2312" w:cs="Times New Roman"/>
          <w:color w:val="auto"/>
          <w:kern w:val="2"/>
          <w:sz w:val="32"/>
          <w:szCs w:val="32"/>
          <w:highlight w:val="none"/>
          <w:lang w:val="en-US" w:eastAsia="zh-CN" w:bidi="ar-SA"/>
        </w:rPr>
        <w:t>差率为</w:t>
      </w:r>
      <w:r>
        <w:rPr>
          <w:rFonts w:hint="eastAsia" w:cs="Times New Roman"/>
          <w:color w:val="auto"/>
          <w:kern w:val="2"/>
          <w:sz w:val="32"/>
          <w:szCs w:val="32"/>
          <w:highlight w:val="none"/>
          <w:lang w:val="en-US" w:eastAsia="zh-CN" w:bidi="ar-SA"/>
        </w:rPr>
        <w:t>-0.16</w:t>
      </w:r>
      <w:r>
        <w:rPr>
          <w:rFonts w:hint="eastAsia" w:ascii="Times New Roman" w:hAnsi="Times New Roman" w:eastAsia="仿宋_GB2312" w:cs="Times New Roman"/>
          <w:color w:val="auto"/>
          <w:kern w:val="2"/>
          <w:sz w:val="32"/>
          <w:szCs w:val="32"/>
          <w:highlight w:val="none"/>
          <w:lang w:val="en-US" w:eastAsia="zh-CN" w:bidi="ar-SA"/>
        </w:rPr>
        <w:t>%,</w:t>
      </w:r>
      <w:r>
        <w:rPr>
          <w:rFonts w:hint="eastAsia"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偏差</w:t>
      </w:r>
      <w:r>
        <w:rPr>
          <w:rFonts w:hint="eastAsia" w:ascii="Times New Roman" w:hAnsi="Times New Roman" w:eastAsia="仿宋_GB2312" w:cs="Times New Roman"/>
          <w:color w:val="auto"/>
          <w:kern w:val="2"/>
          <w:sz w:val="32"/>
          <w:szCs w:val="32"/>
          <w:highlight w:val="none"/>
          <w:lang w:val="en-US" w:eastAsia="zh-CN" w:bidi="ar-SA"/>
        </w:rPr>
        <w:t>原因</w:t>
      </w:r>
      <w:r>
        <w:rPr>
          <w:rFonts w:hint="eastAsia" w:cs="Times New Roman"/>
          <w:color w:val="auto"/>
          <w:kern w:val="2"/>
          <w:sz w:val="32"/>
          <w:szCs w:val="32"/>
          <w:highlight w:val="none"/>
          <w:lang w:val="en-US" w:eastAsia="zh-CN" w:bidi="ar-SA"/>
        </w:rPr>
        <w:t>：</w:t>
      </w:r>
      <w:bookmarkStart w:id="30" w:name="OLE_LINK12"/>
      <w:r>
        <w:rPr>
          <w:rFonts w:hint="eastAsia" w:cs="Times New Roman"/>
          <w:color w:val="auto"/>
          <w:kern w:val="2"/>
          <w:sz w:val="32"/>
          <w:szCs w:val="32"/>
          <w:highlight w:val="none"/>
          <w:lang w:val="en-US" w:eastAsia="zh-CN" w:bidi="ar-SA"/>
        </w:rPr>
        <w:t>部分被支付人无法提供相关支票、凭证，未达到支付条件。</w:t>
      </w:r>
      <w:bookmarkEnd w:id="30"/>
      <w:r>
        <w:rPr>
          <w:rFonts w:hint="eastAsia" w:ascii="Times New Roman" w:hAnsi="Times New Roman" w:eastAsia="仿宋_GB2312" w:cs="Times New Roman"/>
          <w:color w:val="auto"/>
          <w:kern w:val="2"/>
          <w:sz w:val="32"/>
          <w:szCs w:val="32"/>
          <w:highlight w:val="none"/>
          <w:lang w:val="en-US" w:bidi="ar-SA"/>
        </w:rPr>
        <w:t>改进</w:t>
      </w:r>
      <w:r>
        <w:rPr>
          <w:rFonts w:hint="eastAsia" w:ascii="Times New Roman" w:hAnsi="Times New Roman" w:eastAsia="仿宋_GB2312" w:cs="Times New Roman"/>
          <w:color w:val="auto"/>
          <w:kern w:val="2"/>
          <w:sz w:val="32"/>
          <w:szCs w:val="32"/>
          <w:highlight w:val="none"/>
          <w:lang w:val="en-US" w:eastAsia="zh-CN" w:bidi="ar-SA"/>
        </w:rPr>
        <w:t>措施</w:t>
      </w:r>
      <w:r>
        <w:rPr>
          <w:rFonts w:hint="eastAsia" w:cs="Times New Roman"/>
          <w:color w:val="auto"/>
          <w:kern w:val="2"/>
          <w:sz w:val="32"/>
          <w:szCs w:val="32"/>
          <w:highlight w:val="none"/>
          <w:lang w:val="en-US" w:eastAsia="zh-CN" w:bidi="ar-SA"/>
        </w:rPr>
        <w:t>：</w:t>
      </w:r>
      <w:r>
        <w:rPr>
          <w:rFonts w:hint="eastAsia" w:cs="Times New Roman"/>
          <w:color w:val="auto"/>
          <w:kern w:val="2"/>
          <w:sz w:val="32"/>
          <w:szCs w:val="32"/>
          <w:highlight w:val="none"/>
          <w:lang w:val="en-US" w:eastAsia="zh-CN" w:bidi="ar-SA"/>
        </w:rPr>
        <w:t>督促被支付人将相关证据提供齐，将未支付费用，尽快支付</w:t>
      </w:r>
      <w:r>
        <w:rPr>
          <w:rFonts w:hint="eastAsia" w:ascii="Times New Roman" w:hAnsi="Times New Roman" w:eastAsia="仿宋_GB2312" w:cs="Times New Roman"/>
          <w:color w:val="auto"/>
          <w:kern w:val="2"/>
          <w:sz w:val="32"/>
          <w:szCs w:val="32"/>
          <w:highlight w:val="none"/>
          <w:lang w:val="en-US" w:eastAsia="zh-CN" w:bidi="ar-SA"/>
        </w:rPr>
        <w:t>。</w:t>
      </w:r>
    </w:p>
    <w:p w14:paraId="13F33B0A">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lang w:val="en-US" w:eastAsia="zh-CN"/>
        </w:rPr>
        <w:t>五</w:t>
      </w:r>
      <w:r>
        <w:rPr>
          <w:rFonts w:hint="eastAsia" w:ascii="宋体" w:hAnsi="宋体" w:eastAsia="宋体"/>
          <w:color w:val="auto"/>
          <w:sz w:val="32"/>
          <w:szCs w:val="32"/>
          <w:highlight w:val="none"/>
        </w:rPr>
        <w:t>、主要经验及做法、存在的问题及原因分析</w:t>
      </w:r>
      <w:bookmarkEnd w:id="29"/>
    </w:p>
    <w:p w14:paraId="1E87DE29">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val="0"/>
          <w:bCs w:val="0"/>
          <w:color w:val="auto"/>
          <w:sz w:val="32"/>
          <w:szCs w:val="32"/>
          <w:highlight w:val="none"/>
        </w:rPr>
      </w:pPr>
      <w:bookmarkStart w:id="31" w:name="_Toc68703843"/>
      <w:r>
        <w:rPr>
          <w:rFonts w:hint="eastAsia" w:ascii="仿宋_GB2312" w:eastAsia="仿宋_GB2312"/>
          <w:b/>
          <w:bCs/>
          <w:color w:val="auto"/>
          <w:sz w:val="32"/>
          <w:szCs w:val="32"/>
          <w:highlight w:val="none"/>
        </w:rPr>
        <w:t>（一）主要经验及做法</w:t>
      </w:r>
      <w:bookmarkEnd w:id="31"/>
    </w:p>
    <w:p w14:paraId="26CEF7C6">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color w:val="auto"/>
          <w:kern w:val="2"/>
          <w:sz w:val="32"/>
          <w:szCs w:val="32"/>
          <w:highlight w:val="none"/>
          <w:lang w:val="en-US" w:eastAsia="zh-CN" w:bidi="ar-SA"/>
        </w:rPr>
      </w:pPr>
      <w:r>
        <w:rPr>
          <w:rFonts w:hint="eastAsia"/>
          <w:color w:val="auto"/>
          <w:sz w:val="32"/>
          <w:szCs w:val="32"/>
          <w:highlight w:val="none"/>
          <w:lang w:val="en-US" w:eastAsia="zh-CN"/>
        </w:rPr>
        <w:t>1.</w:t>
      </w:r>
      <w:r>
        <w:rPr>
          <w:rFonts w:hint="eastAsia"/>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32" w:name="_Toc68703844"/>
    </w:p>
    <w:p w14:paraId="4E16F4C1">
      <w:pPr>
        <w:pStyle w:val="11"/>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eastAsia" w:ascii="仿宋_GB2312"/>
          <w:b w:val="0"/>
          <w:bCs w:val="0"/>
          <w:color w:val="auto"/>
          <w:sz w:val="32"/>
          <w:szCs w:val="32"/>
          <w:highlight w:val="none"/>
          <w:lang w:val="en-US" w:eastAsia="zh-CN"/>
        </w:rPr>
        <w:t>2.</w:t>
      </w: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F946A22">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仿宋_GB2312"/>
          <w:b w:val="0"/>
          <w:bCs w:val="0"/>
          <w:color w:val="auto"/>
          <w:sz w:val="32"/>
          <w:szCs w:val="32"/>
          <w:highlight w:val="none"/>
          <w:lang w:val="en-US" w:eastAsia="zh-CN"/>
        </w:rPr>
        <w:t>3</w:t>
      </w:r>
      <w:r>
        <w:rPr>
          <w:rFonts w:hint="eastAsia" w:ascii="仿宋_GB2312" w:eastAsia="仿宋_GB2312"/>
          <w:b w:val="0"/>
          <w:bCs w:val="0"/>
          <w:color w:val="auto"/>
          <w:sz w:val="32"/>
          <w:szCs w:val="32"/>
          <w:highlight w:val="none"/>
          <w:lang w:val="en-US" w:eastAsia="zh-CN"/>
        </w:rPr>
        <w:t>.</w:t>
      </w:r>
      <w:r>
        <w:rPr>
          <w:rFonts w:hint="eastAsia"/>
          <w:color w:val="auto"/>
          <w:sz w:val="32"/>
          <w:szCs w:val="32"/>
          <w:highlight w:val="none"/>
        </w:rPr>
        <w:t>在监督环节上，实行关口前移，从事后监督管理转向事前审核，事中监督和事后检查稽核相结合的监督制度上来，形成多环节全过程的监督管理格局，尽量早发现问题，早解决问题。</w:t>
      </w:r>
    </w:p>
    <w:p w14:paraId="38AC7003">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bCs/>
          <w:color w:val="auto"/>
          <w:sz w:val="32"/>
          <w:szCs w:val="32"/>
          <w:highlight w:val="none"/>
        </w:rPr>
        <w:t>（二）存在的问题及原因分析</w:t>
      </w:r>
      <w:bookmarkEnd w:id="32"/>
    </w:p>
    <w:p w14:paraId="5B9103B4">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A4D2510">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2.</w:t>
      </w:r>
      <w:r>
        <w:rPr>
          <w:rFonts w:hint="eastAsia"/>
          <w:color w:val="auto"/>
          <w:sz w:val="32"/>
          <w:szCs w:val="32"/>
          <w:highlight w:val="none"/>
        </w:rPr>
        <w:t>因轮岗、调动、等因素使我单位绩效工作人员流动频繁，造成了工作衔接不到位的情况。</w:t>
      </w:r>
    </w:p>
    <w:p w14:paraId="6E464515">
      <w:pPr>
        <w:pageBreakBefore w:val="0"/>
        <w:kinsoku/>
        <w:wordWrap/>
        <w:overflowPunct/>
        <w:topLinePunct w:val="0"/>
        <w:autoSpaceDE/>
        <w:autoSpaceDN/>
        <w:bidi w:val="0"/>
        <w:adjustRightInd/>
        <w:snapToGrid/>
        <w:spacing w:line="560" w:lineRule="exact"/>
        <w:ind w:firstLine="643" w:firstLineChars="200"/>
        <w:textAlignment w:val="auto"/>
        <w:rPr>
          <w:rFonts w:eastAsia="黑体"/>
          <w:color w:val="auto"/>
          <w:sz w:val="32"/>
          <w:szCs w:val="32"/>
          <w:highlight w:val="none"/>
        </w:rPr>
      </w:pPr>
      <w:bookmarkStart w:id="33" w:name="_Toc68703845"/>
      <w:r>
        <w:rPr>
          <w:rFonts w:hint="eastAsia" w:ascii="宋体" w:hAnsi="宋体" w:eastAsia="宋体"/>
          <w:b/>
          <w:bCs/>
          <w:color w:val="auto"/>
          <w:sz w:val="32"/>
          <w:szCs w:val="32"/>
          <w:highlight w:val="none"/>
          <w:lang w:val="en-US" w:eastAsia="zh-CN"/>
        </w:rPr>
        <w:t>六</w:t>
      </w:r>
      <w:r>
        <w:rPr>
          <w:rFonts w:hint="eastAsia" w:ascii="宋体" w:hAnsi="宋体" w:eastAsia="宋体"/>
          <w:b/>
          <w:bCs/>
          <w:color w:val="auto"/>
          <w:sz w:val="32"/>
          <w:szCs w:val="32"/>
          <w:highlight w:val="none"/>
        </w:rPr>
        <w:t>、有关建议</w:t>
      </w:r>
      <w:bookmarkEnd w:id="33"/>
    </w:p>
    <w:p w14:paraId="6C619E7B">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14:paraId="26517875">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14:paraId="34F9C2E8">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5FD8D81">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34" w:name="_Toc68703846"/>
      <w:r>
        <w:rPr>
          <w:rFonts w:hint="eastAsia" w:ascii="宋体" w:hAnsi="宋体" w:eastAsia="宋体"/>
          <w:color w:val="auto"/>
          <w:sz w:val="32"/>
          <w:szCs w:val="32"/>
          <w:highlight w:val="none"/>
          <w:lang w:val="en-US" w:eastAsia="zh-CN"/>
        </w:rPr>
        <w:t>七</w:t>
      </w:r>
      <w:r>
        <w:rPr>
          <w:rFonts w:hint="eastAsia" w:ascii="宋体" w:hAnsi="宋体" w:eastAsia="宋体"/>
          <w:color w:val="auto"/>
          <w:sz w:val="32"/>
          <w:szCs w:val="32"/>
          <w:highlight w:val="none"/>
        </w:rPr>
        <w:t>、其他需要说明的问题</w:t>
      </w:r>
      <w:bookmarkEnd w:id="34"/>
    </w:p>
    <w:p w14:paraId="18F215EE">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eastAsia="仿宋_GB2312" w:cs="Times New Roman"/>
          <w:color w:val="auto"/>
          <w:sz w:val="32"/>
          <w:szCs w:val="32"/>
          <w:highlight w:val="none"/>
        </w:rPr>
        <w:t>本项目无其他需说明的问题</w:t>
      </w:r>
      <w:r>
        <w:rPr>
          <w:rFonts w:hint="eastAsia" w:ascii="Times New Roman" w:hAnsi="Times New Roman" w:cs="Times New Roman"/>
          <w:color w:val="auto"/>
          <w:sz w:val="32"/>
          <w:szCs w:val="32"/>
          <w:highlight w:val="none"/>
          <w:lang w:eastAsia="zh-CN"/>
        </w:rPr>
        <w:t>。</w:t>
      </w:r>
    </w:p>
    <w:p w14:paraId="7D170C6F">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062B247F">
      <w:pPr>
        <w:pStyle w:val="22"/>
        <w:ind w:firstLine="562"/>
        <w:jc w:val="center"/>
        <w:rPr>
          <w:rFonts w:hint="eastAsia" w:ascii="仿宋_GB2312" w:hAnsi="仿宋_GB2312" w:eastAsia="仿宋_GB2312" w:cs="仿宋_GB2312"/>
          <w:color w:val="auto"/>
          <w:sz w:val="28"/>
          <w:szCs w:val="40"/>
          <w:highlight w:val="none"/>
        </w:rPr>
      </w:pPr>
      <w:bookmarkStart w:id="35" w:name="_Toc30064_WPSOffice_Level1"/>
      <w:bookmarkStart w:id="36" w:name="_Toc26499_WPSOffice_Level2"/>
      <w:r>
        <w:rPr>
          <w:rFonts w:hint="eastAsia" w:ascii="仿宋_GB2312" w:hAnsi="仿宋_GB2312" w:cs="仿宋_GB2312"/>
          <w:b/>
          <w:bCs/>
          <w:color w:val="auto"/>
          <w:sz w:val="28"/>
          <w:szCs w:val="40"/>
          <w:highlight w:val="none"/>
          <w:lang w:val="en-US" w:eastAsia="zh-CN"/>
        </w:rPr>
        <w:t>棚户区改造项目</w:t>
      </w:r>
      <w:r>
        <w:rPr>
          <w:rFonts w:hint="eastAsia" w:ascii="仿宋_GB2312" w:hAnsi="仿宋_GB2312" w:eastAsia="仿宋_GB2312" w:cs="仿宋_GB2312"/>
          <w:b/>
          <w:bCs/>
          <w:color w:val="auto"/>
          <w:sz w:val="28"/>
          <w:szCs w:val="40"/>
          <w:highlight w:val="none"/>
        </w:rPr>
        <w:t>项目</w:t>
      </w:r>
      <w:r>
        <w:rPr>
          <w:rFonts w:hint="eastAsia" w:ascii="仿宋_GB2312" w:hAnsi="仿宋_GB2312" w:eastAsia="仿宋_GB2312" w:cs="仿宋_GB2312"/>
          <w:b/>
          <w:bCs/>
          <w:color w:val="auto"/>
          <w:sz w:val="28"/>
          <w:szCs w:val="40"/>
          <w:highlight w:val="none"/>
        </w:rPr>
        <w:t>绩效评价指标体系及综合评分表</w:t>
      </w:r>
      <w:bookmarkEnd w:id="35"/>
      <w:bookmarkEnd w:id="36"/>
    </w:p>
    <w:tbl>
      <w:tblPr>
        <w:tblStyle w:val="12"/>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2"/>
        <w:gridCol w:w="947"/>
        <w:gridCol w:w="1014"/>
        <w:gridCol w:w="1635"/>
        <w:gridCol w:w="4940"/>
        <w:gridCol w:w="1231"/>
        <w:gridCol w:w="1294"/>
      </w:tblGrid>
      <w:tr w14:paraId="24E2D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104852E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7A9BCCA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3EC1A5F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16D8A86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14:paraId="584087C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67CB9F2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3873E36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25968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112567ED">
            <w:pPr>
              <w:widowControl/>
              <w:spacing w:line="0" w:lineRule="atLeast"/>
              <w:jc w:val="center"/>
              <w:rPr>
                <w:rFonts w:hint="default" w:ascii="Times New Roman" w:hAnsi="Times New Roman" w:eastAsia="仿宋_GB2312" w:cs="Times New Roman"/>
                <w:color w:val="auto"/>
                <w:kern w:val="0"/>
                <w:sz w:val="18"/>
                <w:szCs w:val="18"/>
                <w:highlight w:val="none"/>
              </w:rPr>
            </w:pPr>
          </w:p>
          <w:p w14:paraId="6E5F569D">
            <w:pPr>
              <w:widowControl/>
              <w:spacing w:line="0" w:lineRule="atLeast"/>
              <w:jc w:val="center"/>
              <w:rPr>
                <w:rFonts w:hint="default" w:ascii="Times New Roman" w:hAnsi="Times New Roman" w:eastAsia="仿宋_GB2312" w:cs="Times New Roman"/>
                <w:color w:val="auto"/>
                <w:kern w:val="0"/>
                <w:sz w:val="18"/>
                <w:szCs w:val="18"/>
                <w:highlight w:val="none"/>
              </w:rPr>
            </w:pPr>
          </w:p>
          <w:p w14:paraId="117BED73">
            <w:pPr>
              <w:widowControl/>
              <w:spacing w:line="0" w:lineRule="atLeast"/>
              <w:jc w:val="center"/>
              <w:rPr>
                <w:rFonts w:hint="default" w:ascii="Times New Roman" w:hAnsi="Times New Roman" w:eastAsia="仿宋_GB2312" w:cs="Times New Roman"/>
                <w:color w:val="auto"/>
                <w:kern w:val="0"/>
                <w:sz w:val="18"/>
                <w:szCs w:val="18"/>
                <w:highlight w:val="none"/>
              </w:rPr>
            </w:pPr>
          </w:p>
          <w:p w14:paraId="191D5277">
            <w:pPr>
              <w:widowControl/>
              <w:spacing w:line="0" w:lineRule="atLeast"/>
              <w:jc w:val="center"/>
              <w:rPr>
                <w:rFonts w:hint="default" w:ascii="Times New Roman" w:hAnsi="Times New Roman" w:eastAsia="仿宋_GB2312" w:cs="Times New Roman"/>
                <w:color w:val="auto"/>
                <w:kern w:val="0"/>
                <w:sz w:val="18"/>
                <w:szCs w:val="18"/>
                <w:highlight w:val="none"/>
              </w:rPr>
            </w:pPr>
          </w:p>
          <w:p w14:paraId="1A5A3DA2">
            <w:pPr>
              <w:widowControl/>
              <w:spacing w:line="0" w:lineRule="atLeast"/>
              <w:jc w:val="center"/>
              <w:rPr>
                <w:rFonts w:hint="default" w:ascii="Times New Roman" w:hAnsi="Times New Roman" w:eastAsia="仿宋_GB2312" w:cs="Times New Roman"/>
                <w:color w:val="auto"/>
                <w:kern w:val="0"/>
                <w:sz w:val="18"/>
                <w:szCs w:val="18"/>
                <w:highlight w:val="none"/>
              </w:rPr>
            </w:pPr>
          </w:p>
          <w:p w14:paraId="5CEC26DA">
            <w:pPr>
              <w:widowControl/>
              <w:spacing w:line="0" w:lineRule="atLeast"/>
              <w:jc w:val="center"/>
              <w:rPr>
                <w:rFonts w:hint="default" w:ascii="Times New Roman" w:hAnsi="Times New Roman" w:eastAsia="仿宋_GB2312" w:cs="Times New Roman"/>
                <w:color w:val="auto"/>
                <w:kern w:val="0"/>
                <w:sz w:val="18"/>
                <w:szCs w:val="18"/>
                <w:highlight w:val="none"/>
              </w:rPr>
            </w:pPr>
          </w:p>
          <w:p w14:paraId="5AF4A74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235C9E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1C46892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422CCE3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14:paraId="638BDE1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33176F0D">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17D37A4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33082D5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7825F0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6183053">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67FC124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68094B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54628BF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48DE14C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14:paraId="6B294924">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37F513A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35544C7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6E316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03A947C2">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3FFE9B4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520F75B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64F52EB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1B2F915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3A52E683">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7A83841F">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00AE05B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712EA0B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2D70F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7204992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304416A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7CAA0E4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7166FA9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4D3DB02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668D959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41F2474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6E8E8A0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6D4A9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57B90A67">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0DDFC63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610C853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49893CB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155FEFB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1CA6886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280C158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58A9822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38306F2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7115A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16C5EC3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0CB2C4F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E7220F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529679C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29E822E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092BE0C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3F8ABCE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51101F1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0521C3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5F99E652">
            <w:pPr>
              <w:spacing w:line="0" w:lineRule="atLeast"/>
              <w:jc w:val="center"/>
              <w:rPr>
                <w:rFonts w:hint="default" w:ascii="Times New Roman" w:hAnsi="Times New Roman" w:eastAsia="仿宋_GB2312" w:cs="Times New Roman"/>
                <w:color w:val="auto"/>
                <w:kern w:val="0"/>
                <w:sz w:val="18"/>
                <w:szCs w:val="18"/>
                <w:highlight w:val="none"/>
              </w:rPr>
            </w:pPr>
          </w:p>
          <w:p w14:paraId="3CD0BD1D">
            <w:pPr>
              <w:spacing w:line="0" w:lineRule="atLeast"/>
              <w:jc w:val="center"/>
              <w:rPr>
                <w:rFonts w:hint="default" w:ascii="Times New Roman" w:hAnsi="Times New Roman" w:eastAsia="仿宋_GB2312" w:cs="Times New Roman"/>
                <w:color w:val="auto"/>
                <w:kern w:val="0"/>
                <w:sz w:val="18"/>
                <w:szCs w:val="18"/>
                <w:highlight w:val="none"/>
              </w:rPr>
            </w:pPr>
          </w:p>
          <w:p w14:paraId="605E6C2A">
            <w:pPr>
              <w:spacing w:line="0" w:lineRule="atLeast"/>
              <w:jc w:val="center"/>
              <w:rPr>
                <w:rFonts w:hint="default" w:ascii="Times New Roman" w:hAnsi="Times New Roman" w:eastAsia="仿宋_GB2312" w:cs="Times New Roman"/>
                <w:color w:val="auto"/>
                <w:kern w:val="0"/>
                <w:sz w:val="18"/>
                <w:szCs w:val="18"/>
                <w:highlight w:val="none"/>
              </w:rPr>
            </w:pPr>
          </w:p>
          <w:p w14:paraId="523E4D3E">
            <w:pPr>
              <w:spacing w:line="0" w:lineRule="atLeast"/>
              <w:jc w:val="center"/>
              <w:rPr>
                <w:rFonts w:hint="default" w:ascii="Times New Roman" w:hAnsi="Times New Roman" w:eastAsia="仿宋_GB2312" w:cs="Times New Roman"/>
                <w:color w:val="auto"/>
                <w:kern w:val="0"/>
                <w:sz w:val="18"/>
                <w:szCs w:val="18"/>
                <w:highlight w:val="none"/>
              </w:rPr>
            </w:pPr>
          </w:p>
          <w:p w14:paraId="02B300B2">
            <w:pPr>
              <w:spacing w:line="0" w:lineRule="atLeast"/>
              <w:jc w:val="center"/>
              <w:rPr>
                <w:rFonts w:hint="default" w:ascii="Times New Roman" w:hAnsi="Times New Roman" w:eastAsia="仿宋_GB2312" w:cs="Times New Roman"/>
                <w:color w:val="auto"/>
                <w:kern w:val="0"/>
                <w:sz w:val="18"/>
                <w:szCs w:val="18"/>
                <w:highlight w:val="none"/>
              </w:rPr>
            </w:pPr>
          </w:p>
          <w:p w14:paraId="2D872441">
            <w:pPr>
              <w:spacing w:line="0" w:lineRule="atLeast"/>
              <w:jc w:val="center"/>
              <w:rPr>
                <w:rFonts w:hint="default" w:ascii="Times New Roman" w:hAnsi="Times New Roman" w:eastAsia="仿宋_GB2312" w:cs="Times New Roman"/>
                <w:color w:val="auto"/>
                <w:kern w:val="0"/>
                <w:sz w:val="18"/>
                <w:szCs w:val="18"/>
                <w:highlight w:val="none"/>
              </w:rPr>
            </w:pPr>
          </w:p>
          <w:p w14:paraId="6E0CCE4E">
            <w:pPr>
              <w:spacing w:line="0" w:lineRule="atLeast"/>
              <w:jc w:val="center"/>
              <w:rPr>
                <w:rFonts w:hint="default" w:ascii="Times New Roman" w:hAnsi="Times New Roman" w:eastAsia="仿宋_GB2312" w:cs="Times New Roman"/>
                <w:color w:val="auto"/>
                <w:kern w:val="0"/>
                <w:sz w:val="18"/>
                <w:szCs w:val="18"/>
                <w:highlight w:val="none"/>
              </w:rPr>
            </w:pPr>
          </w:p>
          <w:p w14:paraId="78567259">
            <w:pPr>
              <w:spacing w:line="0" w:lineRule="atLeast"/>
              <w:jc w:val="center"/>
              <w:rPr>
                <w:rFonts w:hint="default" w:ascii="Times New Roman" w:hAnsi="Times New Roman" w:eastAsia="仿宋_GB2312" w:cs="Times New Roman"/>
                <w:color w:val="auto"/>
                <w:kern w:val="0"/>
                <w:sz w:val="18"/>
                <w:szCs w:val="18"/>
                <w:highlight w:val="none"/>
              </w:rPr>
            </w:pPr>
          </w:p>
          <w:p w14:paraId="1BE153F4">
            <w:pPr>
              <w:spacing w:line="0" w:lineRule="atLeast"/>
              <w:jc w:val="center"/>
              <w:rPr>
                <w:rFonts w:hint="default" w:ascii="Times New Roman" w:hAnsi="Times New Roman" w:eastAsia="仿宋_GB2312" w:cs="Times New Roman"/>
                <w:color w:val="auto"/>
                <w:kern w:val="0"/>
                <w:sz w:val="18"/>
                <w:szCs w:val="18"/>
                <w:highlight w:val="none"/>
              </w:rPr>
            </w:pPr>
          </w:p>
          <w:p w14:paraId="3A9D9CAA">
            <w:pPr>
              <w:spacing w:line="0" w:lineRule="atLeast"/>
              <w:jc w:val="center"/>
              <w:rPr>
                <w:rFonts w:hint="default" w:ascii="Times New Roman" w:hAnsi="Times New Roman" w:eastAsia="仿宋_GB2312" w:cs="Times New Roman"/>
                <w:color w:val="auto"/>
                <w:kern w:val="0"/>
                <w:sz w:val="18"/>
                <w:szCs w:val="18"/>
                <w:highlight w:val="none"/>
              </w:rPr>
            </w:pPr>
          </w:p>
          <w:p w14:paraId="381742C4">
            <w:pPr>
              <w:spacing w:line="0" w:lineRule="atLeast"/>
              <w:jc w:val="center"/>
              <w:rPr>
                <w:rFonts w:hint="default" w:ascii="Times New Roman" w:hAnsi="Times New Roman" w:eastAsia="仿宋_GB2312" w:cs="Times New Roman"/>
                <w:color w:val="auto"/>
                <w:kern w:val="0"/>
                <w:sz w:val="18"/>
                <w:szCs w:val="18"/>
                <w:highlight w:val="none"/>
              </w:rPr>
            </w:pPr>
          </w:p>
          <w:p w14:paraId="4DE93417">
            <w:pPr>
              <w:spacing w:line="0" w:lineRule="atLeast"/>
              <w:jc w:val="center"/>
              <w:rPr>
                <w:rFonts w:hint="default" w:ascii="Times New Roman" w:hAnsi="Times New Roman" w:eastAsia="仿宋_GB2312" w:cs="Times New Roman"/>
                <w:color w:val="auto"/>
                <w:kern w:val="0"/>
                <w:sz w:val="18"/>
                <w:szCs w:val="18"/>
                <w:highlight w:val="none"/>
              </w:rPr>
            </w:pPr>
          </w:p>
          <w:p w14:paraId="44190F8B">
            <w:pPr>
              <w:spacing w:line="0" w:lineRule="atLeast"/>
              <w:jc w:val="center"/>
              <w:rPr>
                <w:rFonts w:hint="default" w:ascii="Times New Roman" w:hAnsi="Times New Roman" w:eastAsia="仿宋_GB2312" w:cs="Times New Roman"/>
                <w:color w:val="auto"/>
                <w:kern w:val="0"/>
                <w:sz w:val="18"/>
                <w:szCs w:val="18"/>
                <w:highlight w:val="none"/>
              </w:rPr>
            </w:pPr>
          </w:p>
          <w:p w14:paraId="34C54047">
            <w:pPr>
              <w:spacing w:line="0" w:lineRule="atLeast"/>
              <w:jc w:val="center"/>
              <w:rPr>
                <w:rFonts w:hint="default" w:ascii="Times New Roman" w:hAnsi="Times New Roman" w:eastAsia="仿宋_GB2312" w:cs="Times New Roman"/>
                <w:color w:val="auto"/>
                <w:kern w:val="0"/>
                <w:sz w:val="18"/>
                <w:szCs w:val="18"/>
                <w:highlight w:val="none"/>
              </w:rPr>
            </w:pPr>
          </w:p>
          <w:p w14:paraId="17A7AD30">
            <w:pPr>
              <w:spacing w:line="0" w:lineRule="atLeast"/>
              <w:jc w:val="center"/>
              <w:rPr>
                <w:rFonts w:hint="default" w:ascii="Times New Roman" w:hAnsi="Times New Roman" w:eastAsia="仿宋_GB2312" w:cs="Times New Roman"/>
                <w:color w:val="auto"/>
                <w:kern w:val="0"/>
                <w:sz w:val="18"/>
                <w:szCs w:val="18"/>
                <w:highlight w:val="none"/>
              </w:rPr>
            </w:pPr>
          </w:p>
          <w:p w14:paraId="324A90BC">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45176CA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57DCA1D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39A04F8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4D7AEFF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0E62444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73971B5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7C6E613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40308D6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C80C1C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4808A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2D75ADB9">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F55B139">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5B1CCDF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75427B8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14:paraId="12EBB97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50DE082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20849A7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3.99</w:t>
            </w:r>
          </w:p>
        </w:tc>
      </w:tr>
      <w:tr w14:paraId="2E7A8C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2D0A986">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36D13D3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739A340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0BA5C15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311DDC8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3D21CD3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4595525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1A029C2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4BEF65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5AD9DB4F">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6A20714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62153E1E">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2ED3BD7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02F9F6B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5A2D859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75F6E27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4178439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452AF17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72BFB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011B0BC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16DD067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20320E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1027D08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36BDA33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7374495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7EB93CB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283B37F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77DDD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1FC8A87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1827B6F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7E9340B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6C0C113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70DD371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7FCCD40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87DDE8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11F26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0086572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7137C59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44978DC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6128291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22A8E8D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26524E3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6C017F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6529615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28D7F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2F3F0BBA">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1AEDB91B">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6D08BEF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700D78C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330B443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4F1AF72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28EA649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068D7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2AE0358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4BE524C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78C4F0B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14:paraId="59A4DEE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53CBBF0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187ED47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782E20A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9.99</w:t>
            </w:r>
          </w:p>
        </w:tc>
      </w:tr>
      <w:tr w14:paraId="35FA9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41B7557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14:paraId="4E17D66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752B746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3172533D">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14:paraId="1FF4A93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772DA69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14:paraId="7037AAC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54D314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A7BDA6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56C7F2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DB7906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14:paraId="4B6573D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14:paraId="24154FA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0EF7477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2988401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bl>
    <w:p w14:paraId="4E61C6CD">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val="en-US" w:eastAsia="zh-CN"/>
        </w:rPr>
      </w:pPr>
    </w:p>
    <w:p w14:paraId="4BD4203E">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14:paraId="1999C79D">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cols w:space="720" w:num="1"/>
          <w:docGrid w:type="lines" w:linePitch="408" w:charSpace="0"/>
        </w:sectPr>
      </w:pPr>
    </w:p>
    <w:p w14:paraId="6A923FB2">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14:paraId="2E4EDEA2">
      <w:pPr>
        <w:rPr>
          <w:rFonts w:hint="default" w:ascii="Times New Roman" w:hAnsi="Times New Roman" w:cs="Times New Roman"/>
          <w:color w:val="auto"/>
          <w:highlight w:val="none"/>
        </w:rPr>
      </w:pPr>
    </w:p>
    <w:tbl>
      <w:tblPr>
        <w:tblStyle w:val="12"/>
        <w:tblW w:w="16502" w:type="dxa"/>
        <w:tblInd w:w="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6"/>
        <w:gridCol w:w="968"/>
        <w:gridCol w:w="968"/>
        <w:gridCol w:w="2631"/>
        <w:gridCol w:w="2127"/>
        <w:gridCol w:w="969"/>
        <w:gridCol w:w="969"/>
        <w:gridCol w:w="969"/>
        <w:gridCol w:w="969"/>
        <w:gridCol w:w="969"/>
        <w:gridCol w:w="973"/>
        <w:gridCol w:w="972"/>
        <w:gridCol w:w="971"/>
        <w:gridCol w:w="971"/>
      </w:tblGrid>
      <w:tr w14:paraId="0B3B7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50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A0F9060">
            <w:pPr>
              <w:keepNext w:val="0"/>
              <w:keepLines w:val="0"/>
              <w:widowControl/>
              <w:suppressLineNumbers w:val="0"/>
              <w:jc w:val="center"/>
              <w:textAlignment w:val="center"/>
              <w:rPr>
                <w:rFonts w:ascii="华文中宋" w:hAnsi="华文中宋" w:eastAsia="华文中宋" w:cs="华文中宋"/>
                <w:b/>
                <w:bCs/>
                <w:i w:val="0"/>
                <w:iCs w:val="0"/>
                <w:color w:val="auto"/>
                <w:sz w:val="40"/>
                <w:szCs w:val="40"/>
                <w:highlight w:val="none"/>
                <w:u w:val="none"/>
              </w:rPr>
            </w:pPr>
            <w:r>
              <w:rPr>
                <w:rFonts w:hint="eastAsia" w:ascii="华文中宋" w:hAnsi="华文中宋" w:eastAsia="华文中宋" w:cs="华文中宋"/>
                <w:b/>
                <w:bCs/>
                <w:i w:val="0"/>
                <w:iCs w:val="0"/>
                <w:color w:val="auto"/>
                <w:kern w:val="0"/>
                <w:sz w:val="40"/>
                <w:szCs w:val="40"/>
                <w:highlight w:val="none"/>
                <w:u w:val="none"/>
                <w:lang w:val="en-US" w:eastAsia="zh-CN"/>
              </w:rPr>
              <w:t>项目支出绩效自评表</w:t>
            </w:r>
          </w:p>
        </w:tc>
      </w:tr>
      <w:tr w14:paraId="3B2D8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650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11158C">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rPr>
              <w:t>(2024年度)</w:t>
            </w:r>
          </w:p>
        </w:tc>
      </w:tr>
      <w:tr w14:paraId="7C477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B05C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项目名称</w:t>
            </w:r>
          </w:p>
        </w:tc>
        <w:tc>
          <w:tcPr>
            <w:tcW w:w="1445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2F3FF6E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住建局：2024年棚户区改造项目支出补偿款费用</w:t>
            </w:r>
          </w:p>
        </w:tc>
      </w:tr>
      <w:tr w14:paraId="30DB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0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21B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主管部门</w:t>
            </w:r>
          </w:p>
        </w:tc>
        <w:tc>
          <w:tcPr>
            <w:tcW w:w="766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D91BA1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轮台县住房和城乡建设局</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E04D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实施单位</w:t>
            </w:r>
          </w:p>
        </w:tc>
        <w:tc>
          <w:tcPr>
            <w:tcW w:w="485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B66EAF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轮台县住房和城乡建设局</w:t>
            </w:r>
          </w:p>
        </w:tc>
      </w:tr>
      <w:tr w14:paraId="3B02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24705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项目资金</w:t>
            </w:r>
            <w:r>
              <w:rPr>
                <w:rFonts w:hint="eastAsia" w:ascii="宋体" w:hAnsi="宋体" w:eastAsia="宋体" w:cs="宋体"/>
                <w:i w:val="0"/>
                <w:iCs w:val="0"/>
                <w:color w:val="auto"/>
                <w:kern w:val="0"/>
                <w:sz w:val="18"/>
                <w:szCs w:val="18"/>
                <w:highlight w:val="none"/>
                <w:u w:val="none"/>
                <w:lang w:val="en-US" w:eastAsia="zh-CN"/>
              </w:rPr>
              <w:br w:type="textWrapping"/>
            </w:r>
            <w:r>
              <w:rPr>
                <w:rFonts w:hint="eastAsia" w:ascii="宋体" w:hAnsi="宋体" w:eastAsia="宋体" w:cs="宋体"/>
                <w:i w:val="0"/>
                <w:iCs w:val="0"/>
                <w:color w:val="auto"/>
                <w:kern w:val="0"/>
                <w:sz w:val="18"/>
                <w:szCs w:val="18"/>
                <w:highlight w:val="none"/>
                <w:u w:val="none"/>
                <w:lang w:val="en-US" w:eastAsia="zh-CN"/>
              </w:rPr>
              <w:t>（万元）</w:t>
            </w:r>
          </w:p>
        </w:tc>
        <w:tc>
          <w:tcPr>
            <w:tcW w:w="3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4463F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资金来源</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50D446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年初预算数</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E08E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全年预算数</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FA4A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全年执行数</w:t>
            </w:r>
          </w:p>
        </w:tc>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616A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分值权重</w:t>
            </w:r>
          </w:p>
        </w:tc>
        <w:tc>
          <w:tcPr>
            <w:tcW w:w="19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9B1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执行率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5A1271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得分</w:t>
            </w:r>
          </w:p>
        </w:tc>
      </w:tr>
      <w:tr w14:paraId="4AC97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4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A9B528">
            <w:pPr>
              <w:jc w:val="center"/>
              <w:rPr>
                <w:rFonts w:hint="eastAsia" w:ascii="宋体" w:hAnsi="宋体" w:eastAsia="宋体" w:cs="宋体"/>
                <w:i w:val="0"/>
                <w:iCs w:val="0"/>
                <w:color w:val="auto"/>
                <w:sz w:val="18"/>
                <w:szCs w:val="18"/>
                <w:highlight w:val="none"/>
                <w:u w:val="none"/>
              </w:rPr>
            </w:pPr>
          </w:p>
        </w:tc>
        <w:tc>
          <w:tcPr>
            <w:tcW w:w="3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9EC88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年度资金总额</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786154A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6503.21</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9445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6503.21</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A9F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6494.85</w:t>
            </w:r>
          </w:p>
        </w:tc>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BA0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19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F5AAF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99.87%</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5F9E8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9.97</w:t>
            </w:r>
          </w:p>
        </w:tc>
      </w:tr>
      <w:tr w14:paraId="05204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4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87F486">
            <w:pPr>
              <w:jc w:val="center"/>
              <w:rPr>
                <w:rFonts w:hint="eastAsia" w:ascii="宋体" w:hAnsi="宋体" w:eastAsia="宋体" w:cs="宋体"/>
                <w:i w:val="0"/>
                <w:iCs w:val="0"/>
                <w:color w:val="auto"/>
                <w:sz w:val="18"/>
                <w:szCs w:val="18"/>
                <w:highlight w:val="none"/>
                <w:u w:val="none"/>
              </w:rPr>
            </w:pPr>
          </w:p>
        </w:tc>
        <w:tc>
          <w:tcPr>
            <w:tcW w:w="3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DF2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其中：当年财政拨款</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069388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6503.21</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FCAC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6503.21</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08B0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6494.85</w:t>
            </w:r>
          </w:p>
        </w:tc>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495D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c>
          <w:tcPr>
            <w:tcW w:w="19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9B73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4FD67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r>
      <w:tr w14:paraId="6F41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4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8F8FC8">
            <w:pPr>
              <w:jc w:val="center"/>
              <w:rPr>
                <w:rFonts w:hint="eastAsia" w:ascii="宋体" w:hAnsi="宋体" w:eastAsia="宋体" w:cs="宋体"/>
                <w:i w:val="0"/>
                <w:iCs w:val="0"/>
                <w:color w:val="auto"/>
                <w:sz w:val="18"/>
                <w:szCs w:val="18"/>
                <w:highlight w:val="none"/>
                <w:u w:val="none"/>
              </w:rPr>
            </w:pPr>
          </w:p>
        </w:tc>
        <w:tc>
          <w:tcPr>
            <w:tcW w:w="3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F0E0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其他资金</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7AE389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0</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BF477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0</w:t>
            </w:r>
          </w:p>
        </w:tc>
        <w:tc>
          <w:tcPr>
            <w:tcW w:w="1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2A4772">
            <w:pPr>
              <w:jc w:val="center"/>
              <w:rPr>
                <w:rFonts w:hint="eastAsia" w:ascii="宋体" w:hAnsi="宋体" w:eastAsia="宋体" w:cs="宋体"/>
                <w:i w:val="0"/>
                <w:iCs w:val="0"/>
                <w:color w:val="auto"/>
                <w:sz w:val="18"/>
                <w:szCs w:val="18"/>
                <w:highlight w:val="none"/>
                <w:u w:val="none"/>
              </w:rPr>
            </w:pPr>
          </w:p>
        </w:tc>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A652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c>
          <w:tcPr>
            <w:tcW w:w="19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9D5C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D3FC5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w:t>
            </w:r>
          </w:p>
        </w:tc>
      </w:tr>
      <w:tr w14:paraId="6FBE9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5260D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年度总体目标</w:t>
            </w:r>
          </w:p>
        </w:tc>
        <w:tc>
          <w:tcPr>
            <w:tcW w:w="105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F23CB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总体目标</w:t>
            </w:r>
          </w:p>
        </w:tc>
        <w:tc>
          <w:tcPr>
            <w:tcW w:w="485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60BBD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总体目标完成情况</w:t>
            </w:r>
          </w:p>
        </w:tc>
      </w:tr>
      <w:tr w14:paraId="7EA9B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B6DED0">
            <w:pPr>
              <w:jc w:val="center"/>
              <w:rPr>
                <w:rFonts w:hint="eastAsia" w:ascii="宋体" w:hAnsi="宋体" w:eastAsia="宋体" w:cs="宋体"/>
                <w:i w:val="0"/>
                <w:iCs w:val="0"/>
                <w:color w:val="auto"/>
                <w:sz w:val="18"/>
                <w:szCs w:val="18"/>
                <w:highlight w:val="none"/>
                <w:u w:val="none"/>
              </w:rPr>
            </w:pPr>
          </w:p>
        </w:tc>
        <w:tc>
          <w:tcPr>
            <w:tcW w:w="105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9441F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为加快推进轮台县城镇棚户区改造工作，提升棚户区改造工作质量，达到预期改造工作效果，决定实施以下项目：</w:t>
            </w:r>
            <w:r>
              <w:rPr>
                <w:rFonts w:hint="eastAsia" w:ascii="宋体" w:hAnsi="宋体" w:eastAsia="宋体" w:cs="宋体"/>
                <w:i w:val="0"/>
                <w:iCs w:val="0"/>
                <w:color w:val="auto"/>
                <w:kern w:val="0"/>
                <w:sz w:val="18"/>
                <w:szCs w:val="18"/>
                <w:highlight w:val="none"/>
                <w:u w:val="none"/>
                <w:lang w:val="en-US" w:eastAsia="zh-CN"/>
              </w:rPr>
              <w:br w:type="textWrapping"/>
            </w:r>
            <w:r>
              <w:rPr>
                <w:rFonts w:hint="eastAsia" w:ascii="宋体" w:hAnsi="宋体" w:eastAsia="宋体" w:cs="宋体"/>
                <w:i w:val="0"/>
                <w:iCs w:val="0"/>
                <w:color w:val="auto"/>
                <w:kern w:val="0"/>
                <w:sz w:val="18"/>
                <w:szCs w:val="18"/>
                <w:highlight w:val="none"/>
                <w:u w:val="none"/>
                <w:lang w:val="en-US" w:eastAsia="zh-CN"/>
              </w:rPr>
              <w:t>目标1：980户拆迁补偿款、安置过渡费补偿款发放，提高:棚户区改造工作进度，改善居住环境。</w:t>
            </w:r>
            <w:r>
              <w:rPr>
                <w:rFonts w:hint="eastAsia" w:ascii="宋体" w:hAnsi="宋体" w:eastAsia="宋体" w:cs="宋体"/>
                <w:i w:val="0"/>
                <w:iCs w:val="0"/>
                <w:color w:val="auto"/>
                <w:kern w:val="0"/>
                <w:sz w:val="18"/>
                <w:szCs w:val="18"/>
                <w:highlight w:val="none"/>
                <w:u w:val="none"/>
                <w:lang w:val="en-US" w:eastAsia="zh-CN"/>
              </w:rPr>
              <w:br w:type="textWrapping"/>
            </w:r>
            <w:r>
              <w:rPr>
                <w:rFonts w:hint="eastAsia" w:ascii="宋体" w:hAnsi="宋体" w:eastAsia="宋体" w:cs="宋体"/>
                <w:i w:val="0"/>
                <w:iCs w:val="0"/>
                <w:color w:val="auto"/>
                <w:kern w:val="0"/>
                <w:sz w:val="18"/>
                <w:szCs w:val="18"/>
                <w:highlight w:val="none"/>
                <w:u w:val="none"/>
                <w:lang w:val="en-US" w:eastAsia="zh-CN"/>
              </w:rPr>
              <w:t>目标2：4家公司评估测绘费、1家公司拆迁清运费的结算，提高棚户区改造工作进度，改善居住环境。</w:t>
            </w:r>
          </w:p>
        </w:tc>
        <w:tc>
          <w:tcPr>
            <w:tcW w:w="485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F3A95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我单位本年度加快推进了轮台县城镇棚户区改造工作，达到了预期改造工作效果，已完成980户拆迁补偿款、安置过渡费补偿款发放，完成了4家公司评估测绘费、1家公司拆迁清运费的结算，提高了棚户区改造工作进度，改善了被征收户居住环境。</w:t>
            </w:r>
          </w:p>
        </w:tc>
      </w:tr>
      <w:tr w14:paraId="5C7C1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14:paraId="73D5B90D">
            <w:pPr>
              <w:jc w:val="center"/>
              <w:rPr>
                <w:rFonts w:hint="eastAsia" w:ascii="宋体" w:hAnsi="宋体" w:eastAsia="宋体" w:cs="宋体"/>
                <w:i w:val="0"/>
                <w:iCs w:val="0"/>
                <w:color w:val="auto"/>
                <w:sz w:val="18"/>
                <w:szCs w:val="18"/>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6A7FB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一级指标</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FF0CFC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二级指标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6E57FE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三级指标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3F89EE1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指标值</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845099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指标值设置依据</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56857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上年完成值</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712A6D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指标分值权重</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513949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指标赋分规则</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145A90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佐证资料</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510008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指标实际完成值</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52A8FD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完成率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261BC5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指标得分</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EA09BD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偏差原因分析及改进措施</w:t>
            </w:r>
          </w:p>
        </w:tc>
      </w:tr>
      <w:tr w14:paraId="6DD27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D83F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年度绩效指标完成情况</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844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产出指标</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B7A89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数量指标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1F4255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拆迁补偿款、安置过渡费补偿户数人次</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5DC845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&gt;=980人次</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0F788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0FC540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DC54D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70483D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CA459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6FEC5D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=980人次</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3EC7F1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C2E7A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07D998A">
            <w:pPr>
              <w:jc w:val="center"/>
              <w:rPr>
                <w:rFonts w:hint="eastAsia" w:ascii="宋体" w:hAnsi="宋体" w:eastAsia="宋体" w:cs="宋体"/>
                <w:i w:val="0"/>
                <w:iCs w:val="0"/>
                <w:color w:val="auto"/>
                <w:sz w:val="18"/>
                <w:szCs w:val="18"/>
                <w:highlight w:val="none"/>
                <w:u w:val="none"/>
              </w:rPr>
            </w:pPr>
          </w:p>
        </w:tc>
      </w:tr>
      <w:tr w14:paraId="3E89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22202D">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70DA7F">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3B00E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数量指标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49F094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聘用评估测绘、拆迁清运公司数</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1B63AA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&gt;=5家</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D9F1B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B1F1E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E1DE2B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5FEEBE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D865D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6FEC49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=5家</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4875593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D20157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AE32D2F">
            <w:pPr>
              <w:jc w:val="center"/>
              <w:rPr>
                <w:rFonts w:hint="eastAsia" w:ascii="宋体" w:hAnsi="宋体" w:eastAsia="宋体" w:cs="宋体"/>
                <w:i w:val="0"/>
                <w:iCs w:val="0"/>
                <w:color w:val="auto"/>
                <w:sz w:val="18"/>
                <w:szCs w:val="18"/>
                <w:highlight w:val="none"/>
                <w:u w:val="none"/>
              </w:rPr>
            </w:pPr>
          </w:p>
        </w:tc>
      </w:tr>
      <w:tr w14:paraId="45D02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20094D">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E8136F">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AE50F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质量指标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6A92DC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补贴发放准确率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C50CB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823AE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A2E9FB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E62A3F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280DC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5FCD72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F7ACE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=100%</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7E77226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8BE5A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4EA4E1A">
            <w:pPr>
              <w:jc w:val="center"/>
              <w:rPr>
                <w:rFonts w:hint="eastAsia" w:ascii="宋体" w:hAnsi="宋体" w:eastAsia="宋体" w:cs="宋体"/>
                <w:i w:val="0"/>
                <w:iCs w:val="0"/>
                <w:color w:val="auto"/>
                <w:sz w:val="18"/>
                <w:szCs w:val="18"/>
                <w:highlight w:val="none"/>
                <w:u w:val="none"/>
              </w:rPr>
            </w:pPr>
          </w:p>
        </w:tc>
      </w:tr>
      <w:tr w14:paraId="31C3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96ACD3">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6EA170">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252C0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质量指标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4A64DF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拆迁清运验收合格率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76FF90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D5E30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F3BD60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6FE90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304428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98586F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61F54B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=100%</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07C492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4C5AFE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F06CFDE">
            <w:pPr>
              <w:jc w:val="center"/>
              <w:rPr>
                <w:rFonts w:hint="eastAsia" w:ascii="宋体" w:hAnsi="宋体" w:eastAsia="宋体" w:cs="宋体"/>
                <w:i w:val="0"/>
                <w:iCs w:val="0"/>
                <w:color w:val="auto"/>
                <w:sz w:val="18"/>
                <w:szCs w:val="18"/>
                <w:highlight w:val="none"/>
                <w:u w:val="none"/>
              </w:rPr>
            </w:pPr>
          </w:p>
        </w:tc>
      </w:tr>
      <w:tr w14:paraId="68008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43FECF">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E3BC4F">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06BC3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时效指标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59EFB5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补贴发放及时率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5CE9A48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D270F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6780AB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0B6ABD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0691A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73716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D8944E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=100%</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5A63F7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8ACBAA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A5A140E">
            <w:pPr>
              <w:jc w:val="center"/>
              <w:rPr>
                <w:rFonts w:hint="eastAsia" w:ascii="宋体" w:hAnsi="宋体" w:eastAsia="宋体" w:cs="宋体"/>
                <w:i w:val="0"/>
                <w:iCs w:val="0"/>
                <w:color w:val="auto"/>
                <w:sz w:val="18"/>
                <w:szCs w:val="18"/>
                <w:highlight w:val="none"/>
                <w:u w:val="none"/>
              </w:rPr>
            </w:pPr>
          </w:p>
        </w:tc>
      </w:tr>
      <w:tr w14:paraId="2442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07D3A7">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94CB5E">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F1E9F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时效指标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252A12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评估测绘、拆迁清运公司完成及时率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7C219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96857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0A2EE4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124398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B294F6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0F0AC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1EB24B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=100%</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2E94D9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2D4F0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6</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A5FCCEC">
            <w:pPr>
              <w:jc w:val="center"/>
              <w:rPr>
                <w:rFonts w:hint="eastAsia" w:ascii="宋体" w:hAnsi="宋体" w:eastAsia="宋体" w:cs="宋体"/>
                <w:i w:val="0"/>
                <w:iCs w:val="0"/>
                <w:color w:val="auto"/>
                <w:sz w:val="18"/>
                <w:szCs w:val="18"/>
                <w:highlight w:val="none"/>
                <w:u w:val="none"/>
              </w:rPr>
            </w:pPr>
          </w:p>
        </w:tc>
      </w:tr>
      <w:tr w14:paraId="601E5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CE786B">
            <w:pPr>
              <w:jc w:val="center"/>
              <w:rPr>
                <w:rFonts w:hint="eastAsia" w:ascii="宋体" w:hAnsi="宋体" w:eastAsia="宋体" w:cs="宋体"/>
                <w:i w:val="0"/>
                <w:iCs w:val="0"/>
                <w:color w:val="auto"/>
                <w:sz w:val="20"/>
                <w:szCs w:val="20"/>
                <w:highlight w:val="none"/>
                <w:u w:val="none"/>
              </w:rPr>
            </w:pPr>
          </w:p>
        </w:tc>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8CEE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成本指标</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2557C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经济成本指标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0C45DC6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每人次拆迁补偿款、安置过渡费补偿金额</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063ACA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&lt;=5.54万元</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D20C8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预算支出标准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63752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C9A803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52C8C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247B3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8262E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=5.53万元</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4FFD5F3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99.82%</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D30E5C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9.95</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DFEE0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有一项费用，发票，验收单等证据不足，没有达到发放条件，导致部分金额未发放。</w:t>
            </w:r>
          </w:p>
        </w:tc>
      </w:tr>
      <w:tr w14:paraId="1ED89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D39993">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9637B0">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B1FD0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经济成本指标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0EC858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评估测绘费、拆迁清运费金额</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451D6E3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&lt;=1069.62万元</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350FB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预算支出标准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534BB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FBD53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66629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按照正常比例赋分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F1E7C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原始凭证</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0113E75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=1069.62万元</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63E368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D7A6F4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6C60396">
            <w:pPr>
              <w:jc w:val="center"/>
              <w:rPr>
                <w:rFonts w:hint="eastAsia" w:ascii="宋体" w:hAnsi="宋体" w:eastAsia="宋体" w:cs="宋体"/>
                <w:i w:val="0"/>
                <w:iCs w:val="0"/>
                <w:color w:val="auto"/>
                <w:sz w:val="18"/>
                <w:szCs w:val="18"/>
                <w:highlight w:val="none"/>
                <w:u w:val="none"/>
              </w:rPr>
            </w:pPr>
          </w:p>
        </w:tc>
      </w:tr>
      <w:tr w14:paraId="1816A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041719">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8E6522">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16E51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社会成本指标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06F22BF9">
            <w:pPr>
              <w:rPr>
                <w:rFonts w:hint="eastAsia" w:ascii="宋体" w:hAnsi="宋体" w:eastAsia="宋体" w:cs="宋体"/>
                <w:i w:val="0"/>
                <w:iCs w:val="0"/>
                <w:color w:val="auto"/>
                <w:sz w:val="20"/>
                <w:szCs w:val="20"/>
                <w:highlight w:val="none"/>
                <w:u w:val="none"/>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3EF3BBF0">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7839F3C">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072661E">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1E3EDE9">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F6FD14A">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65AB08D">
            <w:pPr>
              <w:rPr>
                <w:rFonts w:hint="eastAsia" w:ascii="宋体" w:hAnsi="宋体" w:eastAsia="宋体" w:cs="宋体"/>
                <w:i w:val="0"/>
                <w:iCs w:val="0"/>
                <w:color w:val="auto"/>
                <w:sz w:val="20"/>
                <w:szCs w:val="20"/>
                <w:highlight w:val="none"/>
                <w:u w:val="none"/>
              </w:rPr>
            </w:pP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692D1C1E">
            <w:pPr>
              <w:jc w:val="center"/>
              <w:rPr>
                <w:rFonts w:hint="eastAsia" w:ascii="宋体" w:hAnsi="宋体" w:eastAsia="宋体" w:cs="宋体"/>
                <w:i w:val="0"/>
                <w:iCs w:val="0"/>
                <w:color w:val="auto"/>
                <w:sz w:val="18"/>
                <w:szCs w:val="18"/>
                <w:highlight w:val="none"/>
                <w:u w:val="none"/>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6F65DC0C">
            <w:pPr>
              <w:rPr>
                <w:rFonts w:hint="eastAsia" w:ascii="宋体" w:hAnsi="宋体" w:eastAsia="宋体" w:cs="宋体"/>
                <w:i w:val="0"/>
                <w:iCs w:val="0"/>
                <w:color w:val="auto"/>
                <w:sz w:val="20"/>
                <w:szCs w:val="20"/>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23F8E29">
            <w:pPr>
              <w:jc w:val="center"/>
              <w:rPr>
                <w:rFonts w:hint="eastAsia" w:ascii="宋体" w:hAnsi="宋体" w:eastAsia="宋体" w:cs="宋体"/>
                <w:i w:val="0"/>
                <w:iCs w:val="0"/>
                <w:color w:val="auto"/>
                <w:sz w:val="18"/>
                <w:szCs w:val="18"/>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7C0307E">
            <w:pPr>
              <w:jc w:val="center"/>
              <w:rPr>
                <w:rFonts w:hint="eastAsia" w:ascii="宋体" w:hAnsi="宋体" w:eastAsia="宋体" w:cs="宋体"/>
                <w:i w:val="0"/>
                <w:iCs w:val="0"/>
                <w:color w:val="auto"/>
                <w:sz w:val="18"/>
                <w:szCs w:val="18"/>
                <w:highlight w:val="none"/>
                <w:u w:val="none"/>
              </w:rPr>
            </w:pPr>
          </w:p>
        </w:tc>
      </w:tr>
      <w:tr w14:paraId="7785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990C49">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8169A4">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5329E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生态环境成本指标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3E124519">
            <w:pPr>
              <w:rPr>
                <w:rFonts w:hint="eastAsia" w:ascii="宋体" w:hAnsi="宋体" w:eastAsia="宋体" w:cs="宋体"/>
                <w:i w:val="0"/>
                <w:iCs w:val="0"/>
                <w:color w:val="auto"/>
                <w:sz w:val="20"/>
                <w:szCs w:val="20"/>
                <w:highlight w:val="none"/>
                <w:u w:val="none"/>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34AF5F66">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9403CB2">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79B3622">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4C2360A">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94790ED">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0DB7F85">
            <w:pPr>
              <w:rPr>
                <w:rFonts w:hint="eastAsia" w:ascii="宋体" w:hAnsi="宋体" w:eastAsia="宋体" w:cs="宋体"/>
                <w:i w:val="0"/>
                <w:iCs w:val="0"/>
                <w:color w:val="auto"/>
                <w:sz w:val="20"/>
                <w:szCs w:val="20"/>
                <w:highlight w:val="none"/>
                <w:u w:val="none"/>
              </w:rPr>
            </w:pP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03ACF89E">
            <w:pPr>
              <w:jc w:val="center"/>
              <w:rPr>
                <w:rFonts w:hint="eastAsia" w:ascii="宋体" w:hAnsi="宋体" w:eastAsia="宋体" w:cs="宋体"/>
                <w:i w:val="0"/>
                <w:iCs w:val="0"/>
                <w:color w:val="auto"/>
                <w:sz w:val="18"/>
                <w:szCs w:val="18"/>
                <w:highlight w:val="none"/>
                <w:u w:val="none"/>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2C9999B6">
            <w:pPr>
              <w:rPr>
                <w:rFonts w:hint="eastAsia" w:ascii="宋体" w:hAnsi="宋体" w:eastAsia="宋体" w:cs="宋体"/>
                <w:i w:val="0"/>
                <w:iCs w:val="0"/>
                <w:color w:val="auto"/>
                <w:sz w:val="20"/>
                <w:szCs w:val="20"/>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0A56CEB">
            <w:pPr>
              <w:jc w:val="center"/>
              <w:rPr>
                <w:rFonts w:hint="eastAsia" w:ascii="宋体" w:hAnsi="宋体" w:eastAsia="宋体" w:cs="宋体"/>
                <w:i w:val="0"/>
                <w:iCs w:val="0"/>
                <w:color w:val="auto"/>
                <w:sz w:val="18"/>
                <w:szCs w:val="18"/>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8E690A9">
            <w:pPr>
              <w:jc w:val="center"/>
              <w:rPr>
                <w:rFonts w:hint="eastAsia" w:ascii="宋体" w:hAnsi="宋体" w:eastAsia="宋体" w:cs="宋体"/>
                <w:i w:val="0"/>
                <w:iCs w:val="0"/>
                <w:color w:val="auto"/>
                <w:sz w:val="18"/>
                <w:szCs w:val="18"/>
                <w:highlight w:val="none"/>
                <w:u w:val="none"/>
              </w:rPr>
            </w:pPr>
          </w:p>
        </w:tc>
      </w:tr>
      <w:tr w14:paraId="3851F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EF42E5">
            <w:pPr>
              <w:jc w:val="center"/>
              <w:rPr>
                <w:rFonts w:hint="eastAsia" w:ascii="宋体" w:hAnsi="宋体" w:eastAsia="宋体" w:cs="宋体"/>
                <w:i w:val="0"/>
                <w:iCs w:val="0"/>
                <w:color w:val="auto"/>
                <w:sz w:val="20"/>
                <w:szCs w:val="20"/>
                <w:highlight w:val="none"/>
                <w:u w:val="none"/>
              </w:rPr>
            </w:pPr>
          </w:p>
        </w:tc>
        <w:tc>
          <w:tcPr>
            <w:tcW w:w="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8E02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效益指标</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ACBCB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经济效益指标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486F4B9C">
            <w:pPr>
              <w:rPr>
                <w:rFonts w:hint="eastAsia" w:ascii="宋体" w:hAnsi="宋体" w:eastAsia="宋体" w:cs="宋体"/>
                <w:i w:val="0"/>
                <w:iCs w:val="0"/>
                <w:color w:val="auto"/>
                <w:sz w:val="20"/>
                <w:szCs w:val="20"/>
                <w:highlight w:val="none"/>
                <w:u w:val="none"/>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F9E9E83">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A83706B">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B8EEC42">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73ED6529">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AFB8CE0">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8C4FF27">
            <w:pPr>
              <w:rPr>
                <w:rFonts w:hint="eastAsia" w:ascii="宋体" w:hAnsi="宋体" w:eastAsia="宋体" w:cs="宋体"/>
                <w:i w:val="0"/>
                <w:iCs w:val="0"/>
                <w:color w:val="auto"/>
                <w:sz w:val="20"/>
                <w:szCs w:val="20"/>
                <w:highlight w:val="none"/>
                <w:u w:val="none"/>
              </w:rPr>
            </w:pP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0C7E628B">
            <w:pPr>
              <w:jc w:val="center"/>
              <w:rPr>
                <w:rFonts w:hint="eastAsia" w:ascii="宋体" w:hAnsi="宋体" w:eastAsia="宋体" w:cs="宋体"/>
                <w:i w:val="0"/>
                <w:iCs w:val="0"/>
                <w:color w:val="auto"/>
                <w:sz w:val="18"/>
                <w:szCs w:val="18"/>
                <w:highlight w:val="none"/>
                <w:u w:val="none"/>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13A56361">
            <w:pPr>
              <w:rPr>
                <w:rFonts w:hint="eastAsia" w:ascii="宋体" w:hAnsi="宋体" w:eastAsia="宋体" w:cs="宋体"/>
                <w:i w:val="0"/>
                <w:iCs w:val="0"/>
                <w:color w:val="auto"/>
                <w:sz w:val="20"/>
                <w:szCs w:val="20"/>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16634CA">
            <w:pPr>
              <w:jc w:val="center"/>
              <w:rPr>
                <w:rFonts w:hint="eastAsia" w:ascii="宋体" w:hAnsi="宋体" w:eastAsia="宋体" w:cs="宋体"/>
                <w:i w:val="0"/>
                <w:iCs w:val="0"/>
                <w:color w:val="auto"/>
                <w:sz w:val="18"/>
                <w:szCs w:val="18"/>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0D9A377">
            <w:pPr>
              <w:jc w:val="center"/>
              <w:rPr>
                <w:rFonts w:hint="eastAsia" w:ascii="宋体" w:hAnsi="宋体" w:eastAsia="宋体" w:cs="宋体"/>
                <w:i w:val="0"/>
                <w:iCs w:val="0"/>
                <w:color w:val="auto"/>
                <w:sz w:val="18"/>
                <w:szCs w:val="18"/>
                <w:highlight w:val="none"/>
                <w:u w:val="none"/>
              </w:rPr>
            </w:pPr>
          </w:p>
        </w:tc>
      </w:tr>
      <w:tr w14:paraId="506B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A2EB80">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387416">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69F2F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社会效益指标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26B12E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改善居住环境</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CBD8F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有效改善</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E1305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101C4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E7F645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20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3D24D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按评判等级赋分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57D54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说明材料</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606057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达成目标</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5B4BAD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7389F7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20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6EF68C9">
            <w:pPr>
              <w:jc w:val="center"/>
              <w:rPr>
                <w:rFonts w:hint="eastAsia" w:ascii="宋体" w:hAnsi="宋体" w:eastAsia="宋体" w:cs="宋体"/>
                <w:i w:val="0"/>
                <w:iCs w:val="0"/>
                <w:color w:val="auto"/>
                <w:sz w:val="18"/>
                <w:szCs w:val="18"/>
                <w:highlight w:val="none"/>
                <w:u w:val="none"/>
              </w:rPr>
            </w:pPr>
          </w:p>
        </w:tc>
      </w:tr>
      <w:tr w14:paraId="0304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C1DFAA">
            <w:pPr>
              <w:jc w:val="center"/>
              <w:rPr>
                <w:rFonts w:hint="eastAsia" w:ascii="宋体" w:hAnsi="宋体" w:eastAsia="宋体" w:cs="宋体"/>
                <w:i w:val="0"/>
                <w:iCs w:val="0"/>
                <w:color w:val="auto"/>
                <w:sz w:val="20"/>
                <w:szCs w:val="20"/>
                <w:highlight w:val="none"/>
                <w:u w:val="none"/>
              </w:rPr>
            </w:pPr>
          </w:p>
        </w:tc>
        <w:tc>
          <w:tcPr>
            <w:tcW w:w="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89330F">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E6EAF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生态效益指标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2D6B7D67">
            <w:pPr>
              <w:rPr>
                <w:rFonts w:hint="eastAsia" w:ascii="宋体" w:hAnsi="宋体" w:eastAsia="宋体" w:cs="宋体"/>
                <w:i w:val="0"/>
                <w:iCs w:val="0"/>
                <w:color w:val="auto"/>
                <w:sz w:val="20"/>
                <w:szCs w:val="20"/>
                <w:highlight w:val="none"/>
                <w:u w:val="none"/>
              </w:rPr>
            </w:pP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5B080F1D">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5718ED9">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2A44B02">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679D96B">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E94C72F">
            <w:pPr>
              <w:rPr>
                <w:rFonts w:hint="eastAsia" w:ascii="宋体" w:hAnsi="宋体" w:eastAsia="宋体" w:cs="宋体"/>
                <w:i w:val="0"/>
                <w:iCs w:val="0"/>
                <w:color w:val="auto"/>
                <w:sz w:val="20"/>
                <w:szCs w:val="20"/>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C6D3D7A">
            <w:pPr>
              <w:rPr>
                <w:rFonts w:hint="eastAsia" w:ascii="宋体" w:hAnsi="宋体" w:eastAsia="宋体" w:cs="宋体"/>
                <w:i w:val="0"/>
                <w:iCs w:val="0"/>
                <w:color w:val="auto"/>
                <w:sz w:val="20"/>
                <w:szCs w:val="20"/>
                <w:highlight w:val="none"/>
                <w:u w:val="none"/>
              </w:rPr>
            </w:pP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01F0C8C">
            <w:pPr>
              <w:jc w:val="center"/>
              <w:rPr>
                <w:rFonts w:hint="eastAsia" w:ascii="宋体" w:hAnsi="宋体" w:eastAsia="宋体" w:cs="宋体"/>
                <w:i w:val="0"/>
                <w:iCs w:val="0"/>
                <w:color w:val="auto"/>
                <w:sz w:val="18"/>
                <w:szCs w:val="18"/>
                <w:highlight w:val="none"/>
                <w:u w:val="none"/>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48614E31">
            <w:pPr>
              <w:rPr>
                <w:rFonts w:hint="eastAsia" w:ascii="宋体" w:hAnsi="宋体" w:eastAsia="宋体" w:cs="宋体"/>
                <w:i w:val="0"/>
                <w:iCs w:val="0"/>
                <w:color w:val="auto"/>
                <w:sz w:val="20"/>
                <w:szCs w:val="20"/>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226D1D8">
            <w:pPr>
              <w:jc w:val="center"/>
              <w:rPr>
                <w:rFonts w:hint="eastAsia" w:ascii="宋体" w:hAnsi="宋体" w:eastAsia="宋体" w:cs="宋体"/>
                <w:i w:val="0"/>
                <w:iCs w:val="0"/>
                <w:color w:val="auto"/>
                <w:sz w:val="18"/>
                <w:szCs w:val="18"/>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3A62BF2">
            <w:pPr>
              <w:jc w:val="center"/>
              <w:rPr>
                <w:rFonts w:hint="eastAsia" w:ascii="宋体" w:hAnsi="宋体" w:eastAsia="宋体" w:cs="宋体"/>
                <w:i w:val="0"/>
                <w:iCs w:val="0"/>
                <w:color w:val="auto"/>
                <w:sz w:val="18"/>
                <w:szCs w:val="18"/>
                <w:highlight w:val="none"/>
                <w:u w:val="none"/>
              </w:rPr>
            </w:pPr>
          </w:p>
        </w:tc>
      </w:tr>
      <w:tr w14:paraId="1A043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4862CE">
            <w:pPr>
              <w:jc w:val="center"/>
              <w:rPr>
                <w:rFonts w:hint="eastAsia" w:ascii="宋体" w:hAnsi="宋体" w:eastAsia="宋体" w:cs="宋体"/>
                <w:i w:val="0"/>
                <w:iCs w:val="0"/>
                <w:color w:val="auto"/>
                <w:sz w:val="20"/>
                <w:szCs w:val="20"/>
                <w:highlight w:val="none"/>
                <w:u w:val="none"/>
              </w:rPr>
            </w:pP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59A6A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满意度指标</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F8C9B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满意度指标</w:t>
            </w:r>
          </w:p>
        </w:tc>
        <w:tc>
          <w:tcPr>
            <w:tcW w:w="2631" w:type="dxa"/>
            <w:tcBorders>
              <w:top w:val="single" w:color="auto" w:sz="4" w:space="0"/>
              <w:left w:val="single" w:color="auto" w:sz="4" w:space="0"/>
              <w:bottom w:val="single" w:color="auto" w:sz="4" w:space="0"/>
              <w:right w:val="single" w:color="auto" w:sz="4" w:space="0"/>
            </w:tcBorders>
            <w:shd w:val="clear" w:color="auto" w:fill="auto"/>
            <w:vAlign w:val="center"/>
          </w:tcPr>
          <w:p w14:paraId="132CC1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棚户区改造拆迁群众满意度</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594F2A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&gt;=95%</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31944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计划标准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3C2D1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无</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24164A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0F8D4F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满意度赋分</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D6690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说明材料</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132B7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=95%</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3DABB2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709182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10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A39C292">
            <w:pPr>
              <w:jc w:val="center"/>
              <w:rPr>
                <w:rFonts w:hint="eastAsia" w:ascii="宋体" w:hAnsi="宋体" w:eastAsia="宋体" w:cs="宋体"/>
                <w:i w:val="0"/>
                <w:iCs w:val="0"/>
                <w:color w:val="auto"/>
                <w:sz w:val="18"/>
                <w:szCs w:val="18"/>
                <w:highlight w:val="none"/>
                <w:u w:val="none"/>
              </w:rPr>
            </w:pPr>
          </w:p>
        </w:tc>
      </w:tr>
      <w:tr w14:paraId="7B8AD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4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A4D3AB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总分</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5CB17FD3">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3696D58C">
            <w:pPr>
              <w:rPr>
                <w:rFonts w:hint="eastAsia" w:ascii="宋体" w:hAnsi="宋体" w:eastAsia="宋体" w:cs="宋体"/>
                <w:b/>
                <w:bCs/>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51CCA037">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731C7BA7">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4A61F7B8">
            <w:pPr>
              <w:jc w:val="center"/>
              <w:rPr>
                <w:rFonts w:hint="eastAsia" w:ascii="宋体" w:hAnsi="宋体" w:eastAsia="宋体" w:cs="宋体"/>
                <w:i w:val="0"/>
                <w:iCs w:val="0"/>
                <w:color w:val="auto"/>
                <w:sz w:val="18"/>
                <w:szCs w:val="18"/>
                <w:highlight w:val="none"/>
                <w:u w:val="none"/>
              </w:rPr>
            </w:pP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4DF057A">
            <w:pPr>
              <w:rPr>
                <w:rFonts w:hint="eastAsia" w:ascii="宋体" w:hAnsi="宋体" w:eastAsia="宋体" w:cs="宋体"/>
                <w:i w:val="0"/>
                <w:iCs w:val="0"/>
                <w:color w:val="auto"/>
                <w:sz w:val="18"/>
                <w:szCs w:val="18"/>
                <w:highlight w:val="none"/>
                <w:u w:val="none"/>
              </w:rPr>
            </w:pP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50A4D8B1">
            <w:pPr>
              <w:rPr>
                <w:rFonts w:hint="eastAsia" w:ascii="宋体" w:hAnsi="宋体" w:eastAsia="宋体" w:cs="宋体"/>
                <w:i w:val="0"/>
                <w:iCs w:val="0"/>
                <w:color w:val="auto"/>
                <w:sz w:val="18"/>
                <w:szCs w:val="18"/>
                <w:highlight w:val="none"/>
                <w:u w:val="none"/>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060C4095">
            <w:pPr>
              <w:rPr>
                <w:rFonts w:hint="eastAsia" w:ascii="宋体" w:hAnsi="宋体" w:eastAsia="宋体" w:cs="宋体"/>
                <w:i w:val="0"/>
                <w:iCs w:val="0"/>
                <w:color w:val="auto"/>
                <w:sz w:val="18"/>
                <w:szCs w:val="18"/>
                <w:highlight w:val="none"/>
                <w:u w:val="none"/>
              </w:rPr>
            </w:pP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F5249D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rPr>
              <w:t>99.92分</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79EC057">
            <w:pPr>
              <w:rPr>
                <w:rFonts w:hint="eastAsia" w:ascii="宋体" w:hAnsi="宋体" w:eastAsia="宋体" w:cs="宋体"/>
                <w:i w:val="0"/>
                <w:iCs w:val="0"/>
                <w:color w:val="auto"/>
                <w:sz w:val="18"/>
                <w:szCs w:val="18"/>
                <w:highlight w:val="none"/>
                <w:u w:val="none"/>
              </w:rPr>
            </w:pPr>
          </w:p>
        </w:tc>
      </w:tr>
    </w:tbl>
    <w:p w14:paraId="589DE61E">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bookmarkEnd w:id="37"/>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EzNmE1ZDI4ZjVjMmIxYzgzODY0OTBmY2RjYmQ0N2UifQ=="/>
    <w:docVar w:name="KSO_WPS_MARK_KEY" w:val="b3fc2acd-51a9-45ce-8d80-18e6d2738da8"/>
  </w:docVars>
  <w:rsids>
    <w:rsidRoot w:val="00000000"/>
    <w:rsid w:val="54725082"/>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semiHidden/>
    <w:unhideWhenUsed/>
    <w:qFormat/>
    <w:uiPriority w:val="0"/>
    <w:pPr>
      <w:keepNext/>
      <w:keepLines/>
      <w:spacing w:beforeLines="0" w:beforeAutospacing="0" w:afterLines="0" w:afterAutospacing="0" w:line="500" w:lineRule="exact"/>
      <w:outlineLvl w:val="2"/>
    </w:pPr>
    <w:rPr>
      <w:b/>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21"/>
    <w:semiHidden/>
    <w:unhideWhenUsed/>
    <w:qFormat/>
    <w:uiPriority w:val="99"/>
    <w:pPr>
      <w:tabs>
        <w:tab w:val="center" w:pos="4153"/>
        <w:tab w:val="right" w:pos="8306"/>
      </w:tabs>
      <w:snapToGrid w:val="0"/>
      <w:jc w:val="left"/>
    </w:pPr>
    <w:rPr>
      <w:sz w:val="18"/>
      <w:szCs w:val="18"/>
    </w:rPr>
  </w:style>
  <w:style w:type="paragraph" w:styleId="7">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Normal (Web)"/>
    <w:basedOn w:val="1"/>
    <w:qFormat/>
    <w:uiPriority w:val="0"/>
    <w:pPr>
      <w:spacing w:before="0" w:beforeAutospacing="1" w:after="0" w:afterAutospacing="1"/>
      <w:ind w:left="0" w:right="0"/>
      <w:jc w:val="left"/>
    </w:pPr>
    <w:rPr>
      <w:kern w:val="0"/>
      <w:sz w:val="24"/>
      <w:lang w:val="en-US" w:eastAsia="zh-CN"/>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basedOn w:val="14"/>
    <w:unhideWhenUsed/>
    <w:qFormat/>
    <w:uiPriority w:val="99"/>
    <w:rPr>
      <w:color w:val="0563C1" w:themeColor="hyperlink"/>
      <w:u w:val="single"/>
    </w:rPr>
  </w:style>
  <w:style w:type="paragraph" w:customStyle="1" w:styleId="16">
    <w:name w:val="Comment Text"/>
    <w:basedOn w:val="1"/>
    <w:qFormat/>
    <w:uiPriority w:val="0"/>
    <w:pPr>
      <w:jc w:val="left"/>
    </w:pPr>
  </w:style>
  <w:style w:type="character" w:customStyle="1" w:styleId="17">
    <w:name w:val="标题 1 Char"/>
    <w:basedOn w:val="14"/>
    <w:link w:val="2"/>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3"/>
    <w:autoRedefine/>
    <w:qFormat/>
    <w:uiPriority w:val="9"/>
    <w:rPr>
      <w:rFonts w:asciiTheme="majorHAnsi" w:hAnsiTheme="majorHAnsi" w:eastAsiaTheme="majorEastAsia" w:cstheme="majorBidi"/>
      <w:b/>
      <w:bCs/>
      <w:sz w:val="32"/>
      <w:szCs w:val="32"/>
    </w:rPr>
  </w:style>
  <w:style w:type="paragraph" w:customStyle="1" w:styleId="1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0">
    <w:name w:val="页眉 Char"/>
    <w:basedOn w:val="14"/>
    <w:link w:val="7"/>
    <w:semiHidden/>
    <w:qFormat/>
    <w:uiPriority w:val="99"/>
    <w:rPr>
      <w:rFonts w:ascii="Times New Roman" w:hAnsi="Times New Roman" w:eastAsia="仿宋_GB2312" w:cs="Times New Roman"/>
      <w:sz w:val="18"/>
      <w:szCs w:val="18"/>
    </w:rPr>
  </w:style>
  <w:style w:type="character" w:customStyle="1" w:styleId="21">
    <w:name w:val="页脚 Char"/>
    <w:basedOn w:val="14"/>
    <w:link w:val="6"/>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 w:type="paragraph" w:customStyle="1" w:styleId="23">
    <w:name w:val="云拓正文2"/>
    <w:basedOn w:val="1"/>
    <w:qFormat/>
    <w:uiPriority w:val="0"/>
    <w:pPr>
      <w:spacing w:line="500" w:lineRule="exact"/>
      <w:ind w:firstLine="560" w:firstLineChars="200"/>
    </w:pPr>
    <w:rPr>
      <w:rFonts w:ascii="Times New Roman" w:hAnsi="Times New Roman" w:eastAsia="仿宋_GB2312" w:cs="Calibri"/>
      <w:kern w:val="0"/>
      <w:sz w:val="28"/>
      <w:szCs w:val="28"/>
    </w:rPr>
  </w:style>
  <w:style w:type="paragraph" w:customStyle="1" w:styleId="2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c14c6159-d967-41c3-81a5-7f77f770fc88}">
  <ds:schemaRefs/>
</ds:datastoreItem>
</file>

<file path=docProps/app.xml><?xml version="1.0" encoding="utf-8"?>
<Properties xmlns="http://schemas.openxmlformats.org/officeDocument/2006/extended-properties" xmlns:vt="http://schemas.openxmlformats.org/officeDocument/2006/docPropsVTypes">
  <Template>Normal</Template>
  <Pages>32</Pages>
  <Words>10435</Words>
  <Characters>10884</Characters>
  <Lines>37</Lines>
  <Paragraphs>10</Paragraphs>
  <TotalTime>49</TotalTime>
  <ScaleCrop>false</ScaleCrop>
  <LinksUpToDate>false</LinksUpToDate>
  <CharactersWithSpaces>10897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忆</cp:lastModifiedBy>
  <dcterms:modified xsi:type="dcterms:W3CDTF">2025-09-16T03:56:03Z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DFF0787588C34603A74FA104BC3FC087</vt:lpwstr>
  </property>
  <property fmtid="{D5CDD505-2E9C-101B-9397-08002B2CF9AE}" pid="4" name="KSOTemplateDocerSaveRecord">
    <vt:lpwstr>eyJoZGlkIjoiZWE5M2E4OTRkNmEwYTUyNjM2Mzg3NThiMTA5NmIzZWUiLCJ1c2VySWQiOiI0OTMxMTE3MjUifQ==</vt:lpwstr>
  </property>
</Properties>
</file>