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6F68D4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轮台县农村合作经济管理局2024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FE77DF4">
      <w:r>
        <w:br w:type="page"/>
      </w:r>
    </w:p>
    <w:p w14:paraId="1F4853BE">
      <w:pPr>
        <w:spacing w:line="640" w:lineRule="exact"/>
        <w:jc w:val="center"/>
        <w:outlineLvl w:val="1"/>
      </w:pPr>
      <w:r>
        <w:rPr>
          <w:rFonts w:ascii="黑体" w:hAnsi="黑体" w:eastAsia="黑体"/>
          <w:sz w:val="32"/>
        </w:rPr>
        <w:t>第一部分 单位概况</w:t>
      </w:r>
    </w:p>
    <w:p w14:paraId="6CF89EB0">
      <w:pPr>
        <w:spacing w:line="640" w:lineRule="exact"/>
        <w:ind w:firstLine="640"/>
        <w:jc w:val="both"/>
        <w:outlineLvl w:val="2"/>
      </w:pPr>
      <w:r>
        <w:rPr>
          <w:rFonts w:ascii="黑体" w:hAnsi="黑体" w:eastAsia="黑体"/>
          <w:sz w:val="32"/>
        </w:rPr>
        <w:t>一、主要职能</w:t>
      </w:r>
    </w:p>
    <w:p w14:paraId="48B07472">
      <w:pPr>
        <w:spacing w:line="580" w:lineRule="exact"/>
        <w:ind w:firstLine="640"/>
        <w:jc w:val="both"/>
      </w:pPr>
      <w:r>
        <w:rPr>
          <w:rFonts w:ascii="仿宋_GB2312" w:hAnsi="仿宋_GB2312" w:eastAsia="仿宋_GB2312"/>
          <w:sz w:val="32"/>
        </w:rPr>
        <w:t>（一）宣传和贯彻国家和自治区的有关涉农法规、法律、条例及各项政策；拟订轮台县农村经济方面有关政策、法规的具体实施办法。</w:t>
      </w:r>
    </w:p>
    <w:p w14:paraId="19327C1D">
      <w:pPr>
        <w:spacing w:line="580" w:lineRule="exact"/>
        <w:ind w:firstLine="640"/>
        <w:jc w:val="both"/>
      </w:pPr>
      <w:r>
        <w:rPr>
          <w:rFonts w:ascii="仿宋_GB2312" w:hAnsi="仿宋_GB2312" w:eastAsia="仿宋_GB2312"/>
          <w:sz w:val="32"/>
        </w:rPr>
        <w:t>（二）宣传、贯彻执行减轻农民负担的政策，监督管理农民负担情况，做好农民负担项目审核备案、农民负担试点检测、农民负担执法检查及农村土地纠纷的调解、处理、仲裁工作。</w:t>
      </w:r>
    </w:p>
    <w:p w14:paraId="6A4B6C43">
      <w:pPr>
        <w:spacing w:line="580" w:lineRule="exact"/>
        <w:ind w:firstLine="640"/>
        <w:jc w:val="both"/>
      </w:pPr>
      <w:r>
        <w:rPr>
          <w:rFonts w:ascii="仿宋_GB2312" w:hAnsi="仿宋_GB2312" w:eastAsia="仿宋_GB2312"/>
          <w:sz w:val="32"/>
        </w:rPr>
        <w:t>（三）农村二轮土地承包的监督和管理工作；负责农村集体经济所有承包合同的签订、鉴定及管理工作。</w:t>
      </w:r>
    </w:p>
    <w:p w14:paraId="160A986D">
      <w:pPr>
        <w:spacing w:line="580" w:lineRule="exact"/>
        <w:ind w:firstLine="640"/>
        <w:jc w:val="both"/>
      </w:pPr>
      <w:r>
        <w:rPr>
          <w:rFonts w:ascii="仿宋_GB2312" w:hAnsi="仿宋_GB2312" w:eastAsia="仿宋_GB2312"/>
          <w:sz w:val="32"/>
        </w:rPr>
        <w:t>（四）农村集体经济财务管理工作，指导全县乡村集体经济组织的建设、财务会计、资产管理和农村审计工作，负责农村集体财务及集体资产管理制度的研究制定和财务人员的监督管理。</w:t>
      </w:r>
    </w:p>
    <w:p w14:paraId="6682E80E">
      <w:pPr>
        <w:spacing w:line="580" w:lineRule="exact"/>
        <w:ind w:firstLine="640"/>
        <w:jc w:val="both"/>
      </w:pPr>
      <w:r>
        <w:rPr>
          <w:rFonts w:ascii="仿宋_GB2312" w:hAnsi="仿宋_GB2312" w:eastAsia="仿宋_GB2312"/>
          <w:sz w:val="32"/>
        </w:rPr>
        <w:t>（五）负责全县农村有关经济和社会发展的指标体系的统计工作，组织对农经收支监测，农民收入与负担监测，做好农村集体经济收益分配统计。</w:t>
      </w:r>
    </w:p>
    <w:p w14:paraId="09F10854">
      <w:pPr>
        <w:spacing w:line="580" w:lineRule="exact"/>
        <w:ind w:firstLine="640"/>
        <w:jc w:val="both"/>
      </w:pPr>
      <w:r>
        <w:rPr>
          <w:rFonts w:ascii="仿宋_GB2312" w:hAnsi="仿宋_GB2312" w:eastAsia="仿宋_GB2312"/>
          <w:sz w:val="32"/>
        </w:rPr>
        <w:t>（六）农村剩余劳动力情况统计调查，指导和管理农民专业合作社建设。</w:t>
      </w:r>
    </w:p>
    <w:p w14:paraId="38D7B8B2">
      <w:pPr>
        <w:spacing w:line="640" w:lineRule="exact"/>
        <w:ind w:firstLine="640"/>
        <w:jc w:val="both"/>
        <w:outlineLvl w:val="2"/>
      </w:pPr>
      <w:r>
        <w:rPr>
          <w:rFonts w:ascii="黑体" w:hAnsi="黑体" w:eastAsia="黑体"/>
          <w:sz w:val="32"/>
        </w:rPr>
        <w:t>二、机构设置及人员情况</w:t>
      </w:r>
    </w:p>
    <w:p w14:paraId="4765DA94">
      <w:pPr>
        <w:spacing w:line="580" w:lineRule="exact"/>
        <w:ind w:firstLine="640"/>
        <w:jc w:val="both"/>
      </w:pPr>
      <w:r>
        <w:rPr>
          <w:rFonts w:ascii="仿宋_GB2312" w:hAnsi="仿宋_GB2312" w:eastAsia="仿宋_GB2312"/>
          <w:sz w:val="32"/>
        </w:rPr>
        <w:t>轮台县农村合作经济管理局2024年度，实有人数6人，其中：在职人员2人，减少1人；离休人员0人，增加0人；退休人员4人,减少1人。</w:t>
      </w:r>
    </w:p>
    <w:p w14:paraId="0064D206">
      <w:pPr>
        <w:spacing w:line="580" w:lineRule="exact"/>
        <w:ind w:firstLine="640"/>
        <w:jc w:val="both"/>
      </w:pPr>
      <w:r>
        <w:rPr>
          <w:rFonts w:ascii="仿宋_GB2312" w:hAnsi="仿宋_GB2312" w:eastAsia="仿宋_GB2312"/>
          <w:sz w:val="32"/>
        </w:rPr>
        <w:t>轮台县农村合作经济管理局无下属预算单位，下设3个科室，分别是：财务科、办公室、农监股。</w:t>
      </w:r>
    </w:p>
    <w:p w14:paraId="5E44011E">
      <w:r>
        <w:br w:type="page"/>
      </w:r>
    </w:p>
    <w:p w14:paraId="3BFA48BD">
      <w:pPr>
        <w:spacing w:line="240" w:lineRule="auto"/>
        <w:jc w:val="center"/>
        <w:outlineLvl w:val="1"/>
      </w:pPr>
      <w:r>
        <w:rPr>
          <w:rFonts w:ascii="黑体" w:hAnsi="黑体" w:eastAsia="黑体"/>
          <w:sz w:val="32"/>
        </w:rPr>
        <w:t>第二部分 部门决算情况说明</w:t>
      </w:r>
    </w:p>
    <w:p w14:paraId="29C4B147">
      <w:pPr>
        <w:spacing w:line="640" w:lineRule="exact"/>
        <w:ind w:firstLine="640"/>
        <w:jc w:val="both"/>
        <w:outlineLvl w:val="2"/>
      </w:pPr>
      <w:r>
        <w:rPr>
          <w:rFonts w:ascii="黑体" w:hAnsi="黑体" w:eastAsia="黑体"/>
          <w:sz w:val="32"/>
        </w:rPr>
        <w:t>一、收入支出决算总体情况说明</w:t>
      </w:r>
    </w:p>
    <w:p w14:paraId="45876D8D">
      <w:pPr>
        <w:spacing w:line="580" w:lineRule="exact"/>
        <w:ind w:firstLine="640"/>
        <w:jc w:val="both"/>
      </w:pPr>
      <w:r>
        <w:rPr>
          <w:rFonts w:ascii="仿宋_GB2312" w:hAnsi="仿宋_GB2312" w:eastAsia="仿宋_GB2312"/>
          <w:b/>
          <w:sz w:val="32"/>
        </w:rPr>
        <w:t>2024年度收入总计533.17万元，</w:t>
      </w:r>
      <w:r>
        <w:rPr>
          <w:rFonts w:ascii="仿宋_GB2312" w:hAnsi="仿宋_GB2312" w:eastAsia="仿宋_GB2312"/>
          <w:b w:val="0"/>
          <w:sz w:val="32"/>
        </w:rPr>
        <w:t>其中：本年收入合计533.08万元，使用非财政拨款结余（含专用结余）0.00万元，年初结转和结余0.09万元。</w:t>
      </w:r>
    </w:p>
    <w:p w14:paraId="5B37CC4E">
      <w:pPr>
        <w:spacing w:line="580" w:lineRule="exact"/>
        <w:ind w:firstLine="640"/>
        <w:jc w:val="both"/>
      </w:pPr>
      <w:r>
        <w:rPr>
          <w:rFonts w:ascii="仿宋_GB2312" w:hAnsi="仿宋_GB2312" w:eastAsia="仿宋_GB2312"/>
          <w:b/>
          <w:sz w:val="32"/>
        </w:rPr>
        <w:t>2024年度支出总计533.17万元，</w:t>
      </w:r>
      <w:r>
        <w:rPr>
          <w:rFonts w:ascii="仿宋_GB2312" w:hAnsi="仿宋_GB2312" w:eastAsia="仿宋_GB2312"/>
          <w:b w:val="0"/>
          <w:sz w:val="32"/>
        </w:rPr>
        <w:t>其中：本年支出合计533.08万元，结余分配0.00万元，年末结转和结余0.08万元。</w:t>
      </w:r>
    </w:p>
    <w:p w14:paraId="407DD5BC">
      <w:pPr>
        <w:spacing w:line="580" w:lineRule="exact"/>
        <w:ind w:firstLine="640"/>
        <w:jc w:val="both"/>
      </w:pPr>
      <w:r>
        <w:rPr>
          <w:rFonts w:ascii="仿宋_GB2312" w:hAnsi="仿宋_GB2312" w:eastAsia="仿宋_GB2312"/>
          <w:b w:val="0"/>
          <w:sz w:val="32"/>
        </w:rPr>
        <w:t>收入支出总体与上年相比，增加287.89万元，增长117.37%，主要原因是：本年度增加小麦玉米补贴，农业经营主体提升项目补助，农民专业合作联社社会化服务项目补助。</w:t>
      </w:r>
    </w:p>
    <w:p w14:paraId="6F3405C8">
      <w:pPr>
        <w:spacing w:line="640" w:lineRule="exact"/>
        <w:ind w:firstLine="640"/>
        <w:jc w:val="both"/>
        <w:outlineLvl w:val="2"/>
      </w:pPr>
      <w:r>
        <w:rPr>
          <w:rFonts w:ascii="黑体" w:hAnsi="黑体" w:eastAsia="黑体"/>
          <w:sz w:val="32"/>
        </w:rPr>
        <w:t>二、收入决算情况说明</w:t>
      </w:r>
    </w:p>
    <w:p w14:paraId="43310960">
      <w:pPr>
        <w:spacing w:line="580" w:lineRule="exact"/>
        <w:ind w:firstLine="640"/>
        <w:jc w:val="both"/>
      </w:pPr>
      <w:r>
        <w:rPr>
          <w:rFonts w:ascii="仿宋_GB2312" w:hAnsi="仿宋_GB2312" w:eastAsia="仿宋_GB2312"/>
          <w:b/>
          <w:sz w:val="32"/>
        </w:rPr>
        <w:t>本年收入533.08万元，</w:t>
      </w:r>
      <w:r>
        <w:rPr>
          <w:rFonts w:ascii="仿宋_GB2312" w:hAnsi="仿宋_GB2312" w:eastAsia="仿宋_GB2312"/>
          <w:b w:val="0"/>
          <w:sz w:val="32"/>
        </w:rPr>
        <w:t>其中：财政拨款收入533.08万元，占100.00%；上级补助收入0.00万元，占0.00%；事业收入0.00万元，占0.00%；经营收入0.00万元，占0.00%；附属单位上缴收入0.00万元，占0.00%；其他收入0.00万元，占0.00%。</w:t>
      </w:r>
    </w:p>
    <w:p w14:paraId="7249092E">
      <w:pPr>
        <w:spacing w:line="640" w:lineRule="exact"/>
        <w:ind w:firstLine="640"/>
        <w:jc w:val="both"/>
        <w:outlineLvl w:val="2"/>
      </w:pPr>
      <w:r>
        <w:rPr>
          <w:rFonts w:ascii="黑体" w:hAnsi="黑体" w:eastAsia="黑体"/>
          <w:sz w:val="32"/>
        </w:rPr>
        <w:t>三、支出决算情况说明</w:t>
      </w:r>
    </w:p>
    <w:p w14:paraId="1C92C2A6">
      <w:pPr>
        <w:spacing w:line="580" w:lineRule="exact"/>
        <w:ind w:firstLine="640"/>
        <w:jc w:val="both"/>
      </w:pPr>
      <w:r>
        <w:rPr>
          <w:rFonts w:ascii="仿宋_GB2312" w:hAnsi="仿宋_GB2312" w:eastAsia="仿宋_GB2312"/>
          <w:b/>
          <w:sz w:val="32"/>
        </w:rPr>
        <w:t>本年支出533.08万元，</w:t>
      </w:r>
      <w:r>
        <w:rPr>
          <w:rFonts w:ascii="仿宋_GB2312" w:hAnsi="仿宋_GB2312" w:eastAsia="仿宋_GB2312"/>
          <w:b w:val="0"/>
          <w:sz w:val="32"/>
        </w:rPr>
        <w:t>其中：基本支出533.08万元，占100.00%；项目支出0.00万元，占0.00%；上缴上级支出0.00万元，占0.00%；经营支出0.00万元，占0.00%；对附属单位补助支出0.00万元，占0.00%。</w:t>
      </w:r>
    </w:p>
    <w:p w14:paraId="0A6464F1">
      <w:pPr>
        <w:spacing w:line="640" w:lineRule="exact"/>
        <w:ind w:firstLine="640"/>
        <w:jc w:val="both"/>
        <w:outlineLvl w:val="2"/>
      </w:pPr>
      <w:r>
        <w:rPr>
          <w:rFonts w:ascii="黑体" w:hAnsi="黑体" w:eastAsia="黑体"/>
          <w:sz w:val="32"/>
        </w:rPr>
        <w:t>四、财政拨款收入支出决算总体情况说明</w:t>
      </w:r>
    </w:p>
    <w:p w14:paraId="259AF368">
      <w:pPr>
        <w:spacing w:line="580" w:lineRule="exact"/>
        <w:ind w:firstLine="640"/>
        <w:jc w:val="both"/>
      </w:pPr>
      <w:r>
        <w:rPr>
          <w:rFonts w:ascii="仿宋_GB2312" w:hAnsi="仿宋_GB2312" w:eastAsia="仿宋_GB2312"/>
          <w:b/>
          <w:sz w:val="32"/>
        </w:rPr>
        <w:t>2024年度财政拨款收入总计533.08万元，</w:t>
      </w:r>
      <w:r>
        <w:rPr>
          <w:rFonts w:ascii="仿宋_GB2312" w:hAnsi="仿宋_GB2312" w:eastAsia="仿宋_GB2312"/>
          <w:b w:val="0"/>
          <w:sz w:val="32"/>
        </w:rPr>
        <w:t>其中：年初财政拨款结转和结余0.00万元，本年财政拨款收入533.08万元。</w:t>
      </w:r>
      <w:r>
        <w:rPr>
          <w:rFonts w:ascii="仿宋_GB2312" w:hAnsi="仿宋_GB2312" w:eastAsia="仿宋_GB2312"/>
          <w:b/>
          <w:sz w:val="32"/>
        </w:rPr>
        <w:t>财政拨款支出总计533.08万元，</w:t>
      </w:r>
      <w:r>
        <w:rPr>
          <w:rFonts w:ascii="仿宋_GB2312" w:hAnsi="仿宋_GB2312" w:eastAsia="仿宋_GB2312"/>
          <w:b w:val="0"/>
          <w:sz w:val="32"/>
        </w:rPr>
        <w:t>其中：年末财政拨款结转和结余0.00万元，本年财政拨款支出533.08万元。</w:t>
      </w:r>
    </w:p>
    <w:p w14:paraId="7749BB8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增加287.98万元，增长117.49%，主要原因是：本年度增加小麦玉米补贴，农业经营主体提升项目补助，农民专业合作联社社会化服务项目补助。</w:t>
      </w:r>
      <w:r>
        <w:rPr>
          <w:rFonts w:ascii="仿宋_GB2312" w:hAnsi="仿宋_GB2312" w:eastAsia="仿宋_GB2312"/>
          <w:b/>
          <w:sz w:val="32"/>
        </w:rPr>
        <w:t>与年初预算相比，</w:t>
      </w:r>
      <w:r>
        <w:rPr>
          <w:rFonts w:ascii="仿宋_GB2312" w:hAnsi="仿宋_GB2312" w:eastAsia="仿宋_GB2312"/>
          <w:b w:val="0"/>
          <w:sz w:val="32"/>
        </w:rPr>
        <w:t>年初预算数653.38万元，决算数533.08万元，预决算差异率-18.41%，主要原因是：年中调减农业经营主体提升项目补助项目资金，导致预决算存在差异。</w:t>
      </w:r>
    </w:p>
    <w:p w14:paraId="2250D139">
      <w:pPr>
        <w:spacing w:line="640" w:lineRule="exact"/>
        <w:ind w:firstLine="640"/>
        <w:jc w:val="both"/>
        <w:outlineLvl w:val="2"/>
      </w:pPr>
      <w:r>
        <w:rPr>
          <w:rFonts w:ascii="黑体" w:hAnsi="黑体" w:eastAsia="黑体"/>
          <w:sz w:val="32"/>
        </w:rPr>
        <w:t>五、一般公共预算财政拨款支出决算情况说明</w:t>
      </w:r>
    </w:p>
    <w:p w14:paraId="0419F7A1">
      <w:pPr>
        <w:spacing w:line="640" w:lineRule="exact"/>
        <w:ind w:firstLine="640"/>
        <w:jc w:val="both"/>
        <w:outlineLvl w:val="3"/>
      </w:pPr>
      <w:r>
        <w:rPr>
          <w:rFonts w:ascii="楷体_GB2312" w:hAnsi="楷体_GB2312" w:eastAsia="楷体_GB2312"/>
          <w:b/>
          <w:sz w:val="32"/>
        </w:rPr>
        <w:t>（一）一般公共预算财政拨款支出决算总体情况</w:t>
      </w:r>
    </w:p>
    <w:p w14:paraId="6E271FE6">
      <w:pPr>
        <w:spacing w:line="580" w:lineRule="exact"/>
        <w:ind w:firstLine="640"/>
        <w:jc w:val="both"/>
      </w:pPr>
      <w:r>
        <w:rPr>
          <w:rFonts w:ascii="仿宋_GB2312" w:hAnsi="仿宋_GB2312" w:eastAsia="仿宋_GB2312"/>
          <w:b/>
          <w:sz w:val="32"/>
        </w:rPr>
        <w:t>2024年度一般公共预算财政拨款支出533.08万元，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增加287.98万元，增长117.49%，主要原因是：本年度增加小麦玉米补贴，农业经营主体提升项目补助，农民专业合作联社社会化服务项目补助。</w:t>
      </w:r>
      <w:r>
        <w:rPr>
          <w:rFonts w:ascii="仿宋_GB2312" w:hAnsi="仿宋_GB2312" w:eastAsia="仿宋_GB2312"/>
          <w:b/>
          <w:sz w:val="32"/>
        </w:rPr>
        <w:t>与年初预算相比,</w:t>
      </w:r>
      <w:r>
        <w:rPr>
          <w:rFonts w:ascii="仿宋_GB2312" w:hAnsi="仿宋_GB2312" w:eastAsia="仿宋_GB2312"/>
          <w:b w:val="0"/>
          <w:sz w:val="32"/>
        </w:rPr>
        <w:t>年初预算数651.38万元，决算数533.08万元，预决算差异率-18.16%，主要原因是：年中调减农业经营主体提升项目补助项目资金，导致预决算存在差异。</w:t>
      </w:r>
    </w:p>
    <w:p w14:paraId="3FF0F7C5">
      <w:pPr>
        <w:spacing w:line="640" w:lineRule="exact"/>
        <w:ind w:firstLine="640"/>
        <w:jc w:val="both"/>
        <w:outlineLvl w:val="3"/>
      </w:pPr>
      <w:r>
        <w:rPr>
          <w:rFonts w:ascii="楷体_GB2312" w:hAnsi="楷体_GB2312" w:eastAsia="楷体_GB2312"/>
          <w:b/>
          <w:sz w:val="32"/>
        </w:rPr>
        <w:t>（二）一般公共预算财政拨款支出决算结构情况</w:t>
      </w:r>
    </w:p>
    <w:p w14:paraId="0C39AA65">
      <w:pPr>
        <w:spacing w:line="580" w:lineRule="exact"/>
        <w:ind w:firstLine="640"/>
        <w:jc w:val="both"/>
      </w:pPr>
      <w:r>
        <w:rPr>
          <w:rFonts w:ascii="仿宋_GB2312" w:hAnsi="仿宋_GB2312" w:eastAsia="仿宋_GB2312"/>
          <w:b w:val="0"/>
          <w:sz w:val="32"/>
        </w:rPr>
        <w:t>1.社会保障和就业支出(类)17.78万元,占3.34%。</w:t>
      </w:r>
    </w:p>
    <w:p w14:paraId="6FA9FFB3">
      <w:pPr>
        <w:spacing w:line="580" w:lineRule="exact"/>
        <w:ind w:firstLine="640"/>
        <w:jc w:val="both"/>
      </w:pPr>
      <w:r>
        <w:rPr>
          <w:rFonts w:ascii="仿宋_GB2312" w:hAnsi="仿宋_GB2312" w:eastAsia="仿宋_GB2312"/>
          <w:b w:val="0"/>
          <w:sz w:val="32"/>
        </w:rPr>
        <w:t>2.卫生健康支出(类)1.78万元,占0.33%。</w:t>
      </w:r>
    </w:p>
    <w:p w14:paraId="4CB74E59">
      <w:pPr>
        <w:spacing w:line="580" w:lineRule="exact"/>
        <w:ind w:firstLine="640"/>
        <w:jc w:val="both"/>
      </w:pPr>
      <w:r>
        <w:rPr>
          <w:rFonts w:ascii="仿宋_GB2312" w:hAnsi="仿宋_GB2312" w:eastAsia="仿宋_GB2312"/>
          <w:b w:val="0"/>
          <w:sz w:val="32"/>
        </w:rPr>
        <w:t>3.农林水支出(类)510.48万元,占95.76%。</w:t>
      </w:r>
    </w:p>
    <w:p w14:paraId="7BA190AA">
      <w:pPr>
        <w:spacing w:line="580" w:lineRule="exact"/>
        <w:ind w:firstLine="640"/>
        <w:jc w:val="both"/>
      </w:pPr>
      <w:r>
        <w:rPr>
          <w:rFonts w:ascii="仿宋_GB2312" w:hAnsi="仿宋_GB2312" w:eastAsia="仿宋_GB2312"/>
          <w:b w:val="0"/>
          <w:sz w:val="32"/>
        </w:rPr>
        <w:t>4.住房保障支出(类)3.04万元,占0.57%。</w:t>
      </w:r>
    </w:p>
    <w:p w14:paraId="6E907DC7">
      <w:pPr>
        <w:spacing w:line="640" w:lineRule="exact"/>
        <w:ind w:firstLine="640"/>
        <w:jc w:val="both"/>
        <w:outlineLvl w:val="3"/>
      </w:pPr>
      <w:r>
        <w:rPr>
          <w:rFonts w:ascii="楷体_GB2312" w:hAnsi="楷体_GB2312" w:eastAsia="楷体_GB2312"/>
          <w:b/>
          <w:sz w:val="32"/>
        </w:rPr>
        <w:t>（三）一般公共预算财政拨款支出决算具体情况</w:t>
      </w:r>
    </w:p>
    <w:p w14:paraId="2C541F12">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1.社会保障和就业支出(类)行政事业单位养老支出(款)行政单位离退休(项):支出决算数为1.44万元，比上年决算减少0.54万元，下降27.27%,主要原因是：本年退休人员自然减员，行政单位离退休经费较上年减少。</w:t>
      </w:r>
    </w:p>
    <w:p w14:paraId="438F786E">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2.社会保障和就业支出(类)行政事业单位养老支出(款)事业单位离退休(项):支出决算数为12.58万元，比上年决算增加2.77万元，增长28.24%,主要原因是：本年增加退休人员基础绩效奖，退休费支出增加。</w:t>
      </w:r>
    </w:p>
    <w:p w14:paraId="2A2CA034">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3.76万元，比上年决算减少0.97万元，下降20.51%,主要原因是：本年在职人员减少，导致养老保险缴费较上年减少。</w:t>
      </w:r>
    </w:p>
    <w:p w14:paraId="31FBA77B">
      <w:pPr>
        <w:spacing w:line="580" w:lineRule="exact"/>
        <w:ind w:firstLine="640"/>
        <w:jc w:val="both"/>
      </w:pPr>
      <w:r>
        <w:rPr>
          <w:rFonts w:ascii="仿宋_GB2312" w:hAnsi="仿宋_GB2312" w:eastAsia="仿宋_GB2312"/>
          <w:b w:val="0"/>
          <w:sz w:val="32"/>
        </w:rPr>
        <w:t>4.卫生健康支出(类)行政事业单位医疗(款)行政单位医疗(项):支出决算数为0.19万元，比上年决算减少0.75万元，下降79.79%,主要原因是：本年在职人员减少，导致行政单位医疗较上年减少。</w:t>
      </w:r>
    </w:p>
    <w:p w14:paraId="15098A2C">
      <w:pPr>
        <w:spacing w:line="580" w:lineRule="exact"/>
        <w:ind w:firstLine="640"/>
        <w:jc w:val="both"/>
      </w:pPr>
      <w:r>
        <w:rPr>
          <w:rFonts w:ascii="仿宋_GB2312" w:hAnsi="仿宋_GB2312" w:eastAsia="仿宋_GB2312"/>
          <w:b w:val="0"/>
          <w:sz w:val="32"/>
        </w:rPr>
        <w:t>5.卫生健康支出(类)行政事业单位医疗(款)事业单位医疗(项):支出决算数为1.52万元，比上年决算增加0.25万元，增长19.69%,主要原因是：本年在职人员工资基数调增，医疗缴费基数上涨，相应支出增加。</w:t>
      </w:r>
    </w:p>
    <w:p w14:paraId="5F3669BC">
      <w:pPr>
        <w:spacing w:line="580" w:lineRule="exact"/>
        <w:ind w:firstLine="640"/>
        <w:jc w:val="both"/>
      </w:pPr>
      <w:r>
        <w:rPr>
          <w:rFonts w:ascii="仿宋_GB2312" w:hAnsi="仿宋_GB2312" w:eastAsia="仿宋_GB2312"/>
          <w:b w:val="0"/>
          <w:sz w:val="32"/>
        </w:rPr>
        <w:t>6.卫生健康支出(类)行政事业单位医疗(款)公务员医疗补助(项):支出决算数为0.08万元，比上年决算减少0.25万元，下降75.76%,主要原因是：本年在职人员减少，导致公务员医疗补助较上年减少。</w:t>
      </w:r>
    </w:p>
    <w:p w14:paraId="6B7342B9">
      <w:pPr>
        <w:spacing w:line="580" w:lineRule="exact"/>
        <w:ind w:firstLine="640"/>
        <w:jc w:val="both"/>
      </w:pPr>
      <w:r>
        <w:rPr>
          <w:rFonts w:ascii="仿宋_GB2312" w:hAnsi="仿宋_GB2312" w:eastAsia="仿宋_GB2312"/>
          <w:b w:val="0"/>
          <w:sz w:val="32"/>
        </w:rPr>
        <w:t>7.农林水支出(类)农业农村(款)行政运行(项):支出决算数为7.18万元，比上年决算减少7.84万元，下降52.20%,主要原因是：本年在职人员</w:t>
      </w:r>
      <w:r>
        <w:rPr>
          <w:rFonts w:hint="eastAsia" w:ascii="仿宋_GB2312" w:hAnsi="仿宋_GB2312" w:eastAsia="仿宋_GB2312"/>
          <w:b w:val="0"/>
          <w:sz w:val="32"/>
          <w:lang w:val="en-US" w:eastAsia="zh-CN"/>
        </w:rPr>
        <w:t>减少</w:t>
      </w:r>
      <w:r>
        <w:rPr>
          <w:rFonts w:ascii="仿宋_GB2312" w:hAnsi="仿宋_GB2312" w:eastAsia="仿宋_GB2312"/>
          <w:b w:val="0"/>
          <w:sz w:val="32"/>
        </w:rPr>
        <w:t>，导致人员经费较上年减少。</w:t>
      </w:r>
    </w:p>
    <w:p w14:paraId="13FEF1D9">
      <w:pPr>
        <w:spacing w:line="580" w:lineRule="exact"/>
        <w:ind w:firstLine="640"/>
        <w:jc w:val="both"/>
      </w:pPr>
      <w:r>
        <w:rPr>
          <w:rFonts w:ascii="仿宋_GB2312" w:hAnsi="仿宋_GB2312" w:eastAsia="仿宋_GB2312"/>
          <w:b w:val="0"/>
          <w:sz w:val="32"/>
        </w:rPr>
        <w:t>8.农林水支出(类)农业农村(款)事业运行(项):支出决算数为23.96万元，比上年决算减少0.76万元，下降3.07%,主要原因是：本年在职人员调入调出，人员职级不同，工资基数不同，导致人员经费较上年减少。</w:t>
      </w:r>
    </w:p>
    <w:p w14:paraId="30EED46F">
      <w:pPr>
        <w:spacing w:line="580" w:lineRule="exact"/>
        <w:ind w:firstLine="640"/>
        <w:jc w:val="both"/>
      </w:pPr>
      <w:r>
        <w:rPr>
          <w:rFonts w:ascii="仿宋_GB2312" w:hAnsi="仿宋_GB2312" w:eastAsia="仿宋_GB2312"/>
          <w:b w:val="0"/>
          <w:sz w:val="32"/>
        </w:rPr>
        <w:t>9.农林水支出(类)农业农村(款)农村合作经济(项):支出决算数为479.34万元，比上年决算增加296.68万元，增长162.42%,主要原因是：本年度增加小麦玉米补贴，农业经营主体提升项目补助，农民专业合作联社社会化服务项目补助。</w:t>
      </w:r>
    </w:p>
    <w:p w14:paraId="2B3597C5">
      <w:pPr>
        <w:spacing w:line="580" w:lineRule="exact"/>
        <w:ind w:firstLine="640"/>
        <w:jc w:val="both"/>
      </w:pPr>
      <w:r>
        <w:rPr>
          <w:rFonts w:ascii="仿宋_GB2312" w:hAnsi="仿宋_GB2312" w:eastAsia="仿宋_GB2312"/>
          <w:b w:val="0"/>
          <w:sz w:val="32"/>
        </w:rPr>
        <w:t>10.住房保障支出(类)住房改革支出(款)住房公积金(项):支出决算数为3.04万元，比上年决算减少0.60万元，下降16.48%,主要原因是：本年在职人员减少，导致住房公积金较上年减少。</w:t>
      </w:r>
    </w:p>
    <w:p w14:paraId="2FA1E0F4">
      <w:pPr>
        <w:spacing w:line="640" w:lineRule="exact"/>
        <w:ind w:firstLine="640"/>
        <w:jc w:val="both"/>
        <w:outlineLvl w:val="2"/>
      </w:pPr>
      <w:r>
        <w:rPr>
          <w:rFonts w:ascii="黑体" w:hAnsi="黑体" w:eastAsia="黑体"/>
          <w:sz w:val="32"/>
        </w:rPr>
        <w:t>六、一般公共预算财政拨款基本支出决算情况说明</w:t>
      </w:r>
    </w:p>
    <w:p w14:paraId="6482DF55">
      <w:pPr>
        <w:spacing w:line="580" w:lineRule="exact"/>
        <w:ind w:firstLine="640"/>
        <w:jc w:val="both"/>
      </w:pPr>
      <w:r>
        <w:rPr>
          <w:rFonts w:ascii="仿宋_GB2312" w:hAnsi="仿宋_GB2312" w:eastAsia="仿宋_GB2312"/>
          <w:b w:val="0"/>
          <w:sz w:val="32"/>
        </w:rPr>
        <w:t>2024年度一般公共预算财政拨款基本支出533.08万元，其中：</w:t>
      </w:r>
      <w:r>
        <w:rPr>
          <w:rFonts w:ascii="仿宋_GB2312" w:hAnsi="仿宋_GB2312" w:eastAsia="仿宋_GB2312"/>
          <w:b/>
          <w:sz w:val="32"/>
        </w:rPr>
        <w:t>人员经费531.49万元，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抚恤金、生活补助、奖励金、个人农业生产补贴。</w:t>
      </w:r>
    </w:p>
    <w:p w14:paraId="17C39F2F">
      <w:pPr>
        <w:spacing w:line="580" w:lineRule="exact"/>
        <w:ind w:firstLine="640"/>
        <w:jc w:val="both"/>
      </w:pPr>
      <w:r>
        <w:rPr>
          <w:rFonts w:ascii="仿宋_GB2312" w:hAnsi="仿宋_GB2312" w:eastAsia="仿宋_GB2312"/>
          <w:b/>
          <w:sz w:val="32"/>
        </w:rPr>
        <w:t>公用经费1.59万元，</w:t>
      </w:r>
      <w:r>
        <w:rPr>
          <w:rFonts w:ascii="仿宋_GB2312" w:hAnsi="仿宋_GB2312" w:eastAsia="仿宋_GB2312"/>
          <w:b w:val="0"/>
          <w:sz w:val="32"/>
        </w:rPr>
        <w:t>包括：办公费、电费、邮电费、取暖费、差旅费、维修（护）费。</w:t>
      </w:r>
    </w:p>
    <w:p w14:paraId="0E575BFD">
      <w:pPr>
        <w:spacing w:line="640" w:lineRule="exact"/>
        <w:ind w:firstLine="640"/>
        <w:jc w:val="both"/>
        <w:outlineLvl w:val="2"/>
      </w:pPr>
      <w:r>
        <w:rPr>
          <w:rFonts w:ascii="黑体" w:hAnsi="黑体" w:eastAsia="黑体"/>
          <w:sz w:val="32"/>
        </w:rPr>
        <w:t>七、政府性基金预算财政拨款收入支出决算情况说明</w:t>
      </w:r>
    </w:p>
    <w:p w14:paraId="102EBBE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0DF3DE2">
      <w:pPr>
        <w:spacing w:line="640" w:lineRule="exact"/>
        <w:ind w:firstLine="640"/>
        <w:jc w:val="both"/>
        <w:outlineLvl w:val="2"/>
      </w:pPr>
      <w:r>
        <w:rPr>
          <w:rFonts w:ascii="黑体" w:hAnsi="黑体" w:eastAsia="黑体"/>
          <w:sz w:val="32"/>
        </w:rPr>
        <w:t>八、国有资本经营预算财政拨款收入支出决算情况说明</w:t>
      </w:r>
    </w:p>
    <w:p w14:paraId="7EB5459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F8946AF">
      <w:pPr>
        <w:spacing w:line="640" w:lineRule="exact"/>
        <w:ind w:firstLine="640"/>
        <w:jc w:val="both"/>
        <w:outlineLvl w:val="2"/>
      </w:pPr>
      <w:r>
        <w:rPr>
          <w:rFonts w:ascii="黑体" w:hAnsi="黑体" w:eastAsia="黑体"/>
          <w:sz w:val="32"/>
        </w:rPr>
        <w:t>九、财政拨款“三公”经费支出决算情况说明</w:t>
      </w:r>
    </w:p>
    <w:p w14:paraId="4DEB84B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1C3A167">
      <w:pPr>
        <w:spacing w:line="580" w:lineRule="exact"/>
        <w:ind w:firstLine="640"/>
        <w:jc w:val="both"/>
      </w:pPr>
      <w:r>
        <w:rPr>
          <w:rFonts w:ascii="仿宋_GB2312" w:hAnsi="仿宋_GB2312" w:eastAsia="仿宋_GB2312"/>
          <w:b/>
          <w:sz w:val="32"/>
        </w:rPr>
        <w:t>具体情况如下：</w:t>
      </w:r>
    </w:p>
    <w:p w14:paraId="0D5EE27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77E8314">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6D6B13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1E37B7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0FD9A68">
      <w:pPr>
        <w:spacing w:line="640" w:lineRule="exact"/>
        <w:ind w:firstLine="640"/>
        <w:jc w:val="both"/>
        <w:outlineLvl w:val="2"/>
      </w:pPr>
      <w:r>
        <w:rPr>
          <w:rFonts w:ascii="黑体" w:hAnsi="黑体" w:eastAsia="黑体"/>
          <w:sz w:val="32"/>
        </w:rPr>
        <w:t>十、其他重要事项的情况说明</w:t>
      </w:r>
    </w:p>
    <w:p w14:paraId="41DDD658">
      <w:pPr>
        <w:spacing w:line="640" w:lineRule="exact"/>
        <w:ind w:firstLine="640"/>
        <w:jc w:val="both"/>
        <w:outlineLvl w:val="3"/>
      </w:pPr>
      <w:r>
        <w:rPr>
          <w:rFonts w:ascii="楷体_GB2312" w:hAnsi="楷体_GB2312" w:eastAsia="楷体_GB2312"/>
          <w:b/>
          <w:sz w:val="32"/>
        </w:rPr>
        <w:t>（一）机关运行经费及公用经费支出情况</w:t>
      </w:r>
    </w:p>
    <w:p w14:paraId="741C9661">
      <w:pPr>
        <w:spacing w:line="580" w:lineRule="exact"/>
        <w:ind w:firstLine="640"/>
        <w:jc w:val="both"/>
      </w:pPr>
      <w:r>
        <w:rPr>
          <w:rFonts w:ascii="仿宋_GB2312" w:hAnsi="仿宋_GB2312" w:eastAsia="仿宋_GB2312"/>
          <w:b w:val="0"/>
          <w:sz w:val="32"/>
        </w:rPr>
        <w:t>2024年度轮台县农村合作经济管理局（事业单位）公用经费支出1.59万元，比上年减少0.31万元，下降16.32%，主要原因是：严格控制公用经费，合理节约办公用品，减少不必要开支。</w:t>
      </w:r>
    </w:p>
    <w:p w14:paraId="041142F2">
      <w:pPr>
        <w:spacing w:line="640" w:lineRule="exact"/>
        <w:ind w:firstLine="640"/>
        <w:jc w:val="both"/>
        <w:outlineLvl w:val="3"/>
      </w:pPr>
      <w:r>
        <w:rPr>
          <w:rFonts w:ascii="楷体_GB2312" w:hAnsi="楷体_GB2312" w:eastAsia="楷体_GB2312"/>
          <w:b/>
          <w:sz w:val="32"/>
        </w:rPr>
        <w:t>（二）政府采购情况</w:t>
      </w:r>
    </w:p>
    <w:p w14:paraId="39845AF1">
      <w:pPr>
        <w:spacing w:line="580" w:lineRule="exact"/>
        <w:ind w:firstLine="640"/>
        <w:jc w:val="both"/>
      </w:pPr>
      <w:r>
        <w:rPr>
          <w:rFonts w:ascii="仿宋_GB2312" w:hAnsi="仿宋_GB2312" w:eastAsia="仿宋_GB2312"/>
          <w:b w:val="0"/>
          <w:sz w:val="32"/>
        </w:rPr>
        <w:t>2024年度政府采购支出总额0.04万元，其中：政府采购货物支出0.04万元、政府采购工程支出0.00万元、政府采购服务支出0.00万元。</w:t>
      </w:r>
    </w:p>
    <w:p w14:paraId="3484FAE0">
      <w:pPr>
        <w:spacing w:line="580" w:lineRule="exact"/>
        <w:ind w:firstLine="640"/>
        <w:jc w:val="both"/>
      </w:pPr>
      <w:r>
        <w:rPr>
          <w:rFonts w:ascii="仿宋_GB2312" w:hAnsi="仿宋_GB2312" w:eastAsia="仿宋_GB2312"/>
          <w:b w:val="0"/>
          <w:sz w:val="32"/>
        </w:rPr>
        <w:t>授予中小企业合同金额0.04万元，占政府采购支出总额的100.00%，其中：授予小微企业合同金额0.04万元，占政府采购支出总额的100.00%。</w:t>
      </w:r>
    </w:p>
    <w:p w14:paraId="695A4D32">
      <w:pPr>
        <w:spacing w:line="640" w:lineRule="exact"/>
        <w:ind w:firstLine="640"/>
        <w:jc w:val="both"/>
        <w:outlineLvl w:val="3"/>
      </w:pPr>
      <w:r>
        <w:rPr>
          <w:rFonts w:ascii="楷体_GB2312" w:hAnsi="楷体_GB2312" w:eastAsia="楷体_GB2312"/>
          <w:b/>
          <w:sz w:val="32"/>
        </w:rPr>
        <w:t>（三）国有资产占用情况说明</w:t>
      </w:r>
    </w:p>
    <w:p w14:paraId="03DA4581">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8CAA90F">
      <w:pPr>
        <w:spacing w:line="640" w:lineRule="exact"/>
        <w:ind w:firstLine="640"/>
        <w:jc w:val="both"/>
        <w:outlineLvl w:val="2"/>
      </w:pPr>
      <w:r>
        <w:rPr>
          <w:rFonts w:ascii="黑体" w:hAnsi="黑体" w:eastAsia="黑体"/>
          <w:sz w:val="32"/>
        </w:rPr>
        <w:t>十一、预算绩效的情况说明</w:t>
      </w:r>
    </w:p>
    <w:p w14:paraId="3613FF6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533.18万元，实际执行总额533.08万元；预算绩效评价项目2个，全年预算数220.00万元，全年执行数220.00万元。预算绩效管理取得的成效：一是项目按照预期指标值，达标率高，项目实施成效与利用率较高；二是对项目实施前中后期管控及时科学分析，有效</w:t>
      </w:r>
      <w:r>
        <w:rPr>
          <w:rFonts w:hint="eastAsia" w:ascii="仿宋_GB2312" w:hAnsi="仿宋_GB2312" w:eastAsia="仿宋_GB2312"/>
          <w:b w:val="0"/>
          <w:sz w:val="32"/>
          <w:lang w:eastAsia="zh-CN"/>
        </w:rPr>
        <w:t>地</w:t>
      </w:r>
      <w:r>
        <w:rPr>
          <w:rFonts w:ascii="仿宋_GB2312" w:hAnsi="仿宋_GB2312" w:eastAsia="仿宋_GB2312"/>
          <w:b w:val="0"/>
          <w:sz w:val="32"/>
        </w:rPr>
        <w:t>把握实施节点，项目建成后综合评价好。发现的问题及原因：一是</w:t>
      </w:r>
      <w:r>
        <w:rPr>
          <w:rFonts w:hint="eastAsia" w:ascii="仿宋_GB2312" w:hAnsi="仿宋_GB2312" w:eastAsia="仿宋_GB2312"/>
          <w:b w:val="0"/>
          <w:sz w:val="32"/>
          <w:lang w:eastAsia="zh-CN"/>
        </w:rPr>
        <w:t>关于</w:t>
      </w:r>
      <w:r>
        <w:rPr>
          <w:rFonts w:ascii="仿宋_GB2312" w:hAnsi="仿宋_GB2312" w:eastAsia="仿宋_GB2312"/>
          <w:b w:val="0"/>
          <w:sz w:val="32"/>
        </w:rPr>
        <w:t>绩效管理方面专业知识的系统性学习有待加强。各项指标的设置要进一步优化、完善，主要在细化、量化上改进。二是在绩</w:t>
      </w:r>
      <w:bookmarkStart w:id="0" w:name="_GoBack"/>
      <w:bookmarkEnd w:id="0"/>
      <w:r>
        <w:rPr>
          <w:rFonts w:ascii="仿宋_GB2312" w:hAnsi="仿宋_GB2312" w:eastAsia="仿宋_GB2312"/>
          <w:b w:val="0"/>
          <w:sz w:val="32"/>
        </w:rPr>
        <w:t>效自评过程中，</w:t>
      </w:r>
      <w:r>
        <w:rPr>
          <w:rFonts w:hint="eastAsia" w:ascii="仿宋_GB2312" w:hAnsi="仿宋_GB2312" w:eastAsia="仿宋_GB2312"/>
          <w:b w:val="0"/>
          <w:sz w:val="32"/>
          <w:lang w:eastAsia="zh-CN"/>
        </w:rPr>
        <w:t>由</w:t>
      </w:r>
      <w:r>
        <w:rPr>
          <w:rFonts w:ascii="仿宋_GB2312" w:hAnsi="仿宋_GB2312" w:eastAsia="仿宋_GB2312"/>
          <w:b w:val="0"/>
          <w:sz w:val="32"/>
        </w:rPr>
        <w:t>分人员缺乏相关绩效管理专业知识，自评价工作还存在自我审定的局限性，影响评价质量。下一步改进措施：一是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绩效管理工作业务水平，扎实做好绩效管理工作。具体附整体支出绩效自评表，项目支出绩效自评表和评价报告。</w:t>
      </w:r>
    </w:p>
    <w:p w14:paraId="52234D5A">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356"/>
        <w:gridCol w:w="1011"/>
        <w:gridCol w:w="1183"/>
        <w:gridCol w:w="870"/>
        <w:gridCol w:w="1105"/>
        <w:gridCol w:w="1105"/>
      </w:tblGrid>
      <w:tr w14:paraId="6E93F822">
        <w:tblPrEx>
          <w:tblCellMar>
            <w:top w:w="0" w:type="dxa"/>
            <w:left w:w="108" w:type="dxa"/>
            <w:bottom w:w="0" w:type="dxa"/>
            <w:right w:w="108" w:type="dxa"/>
          </w:tblCellMar>
        </w:tblPrEx>
        <w:tc>
          <w:tcPr>
            <w:tcW w:w="8840" w:type="dxa"/>
            <w:gridSpan w:val="8"/>
            <w:vAlign w:val="center"/>
          </w:tcPr>
          <w:p w14:paraId="0F24FE03">
            <w:pPr>
              <w:jc w:val="center"/>
            </w:pPr>
            <w:r>
              <w:rPr>
                <w:rFonts w:ascii="宋体" w:hAnsi="宋体" w:eastAsia="宋体"/>
                <w:sz w:val="24"/>
              </w:rPr>
              <w:t>单位整体支出绩效自评表</w:t>
            </w:r>
          </w:p>
        </w:tc>
      </w:tr>
      <w:tr w14:paraId="63588FEE">
        <w:tblPrEx>
          <w:tblCellMar>
            <w:top w:w="0" w:type="dxa"/>
            <w:left w:w="108" w:type="dxa"/>
            <w:bottom w:w="0" w:type="dxa"/>
            <w:right w:w="108" w:type="dxa"/>
          </w:tblCellMar>
        </w:tblPrEx>
        <w:tc>
          <w:tcPr>
            <w:tcW w:w="8840" w:type="dxa"/>
            <w:gridSpan w:val="8"/>
            <w:vAlign w:val="center"/>
          </w:tcPr>
          <w:p w14:paraId="389CFACF">
            <w:pPr>
              <w:jc w:val="center"/>
            </w:pPr>
            <w:r>
              <w:rPr>
                <w:rFonts w:ascii="宋体" w:hAnsi="宋体" w:eastAsia="宋体"/>
                <w:sz w:val="24"/>
              </w:rPr>
              <w:t>（2024年度）</w:t>
            </w:r>
          </w:p>
        </w:tc>
      </w:tr>
      <w:tr w14:paraId="6C7B958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CE3DB8">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45DF8B">
            <w:pPr>
              <w:jc w:val="center"/>
            </w:pPr>
            <w:r>
              <w:rPr>
                <w:rFonts w:ascii="宋体" w:hAnsi="宋体" w:eastAsia="宋体"/>
                <w:sz w:val="16"/>
              </w:rPr>
              <w:t>轮台县农村合作经济管理局</w:t>
            </w:r>
          </w:p>
        </w:tc>
      </w:tr>
      <w:tr w14:paraId="6F67BF0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4D0FB4">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DF87AB">
            <w:pPr>
              <w:jc w:val="center"/>
            </w:pPr>
            <w:r>
              <w:rPr>
                <w:rFonts w:ascii="宋体" w:hAnsi="宋体" w:eastAsia="宋体"/>
                <w:sz w:val="16"/>
              </w:rPr>
              <w:t>资金来源</w:t>
            </w:r>
          </w:p>
        </w:tc>
        <w:tc>
          <w:tcPr>
            <w:tcW w:w="1356" w:type="dxa"/>
            <w:tcBorders>
              <w:top w:val="single" w:color="auto" w:sz="10" w:space="0"/>
              <w:left w:val="single" w:color="auto" w:sz="10" w:space="0"/>
              <w:bottom w:val="single" w:color="auto" w:sz="10" w:space="0"/>
              <w:right w:val="single" w:color="auto" w:sz="10" w:space="0"/>
              <w:insideV w:val="single" w:sz="10" w:space="0"/>
            </w:tcBorders>
            <w:vAlign w:val="center"/>
          </w:tcPr>
          <w:p w14:paraId="43CABBCC">
            <w:pPr>
              <w:jc w:val="center"/>
            </w:pPr>
            <w:r>
              <w:rPr>
                <w:rFonts w:ascii="宋体" w:hAnsi="宋体" w:eastAsia="宋体"/>
                <w:sz w:val="16"/>
              </w:rPr>
              <w:t>年初预算数</w:t>
            </w:r>
          </w:p>
        </w:tc>
        <w:tc>
          <w:tcPr>
            <w:tcW w:w="1011" w:type="dxa"/>
            <w:tcBorders>
              <w:top w:val="single" w:color="auto" w:sz="10" w:space="0"/>
              <w:left w:val="single" w:color="auto" w:sz="10" w:space="0"/>
              <w:bottom w:val="single" w:color="auto" w:sz="10" w:space="0"/>
              <w:right w:val="single" w:color="auto" w:sz="10" w:space="0"/>
              <w:insideV w:val="single" w:sz="10" w:space="0"/>
            </w:tcBorders>
            <w:vAlign w:val="center"/>
          </w:tcPr>
          <w:p w14:paraId="0618E61D">
            <w:pPr>
              <w:jc w:val="center"/>
            </w:pPr>
            <w:r>
              <w:rPr>
                <w:rFonts w:ascii="宋体" w:hAnsi="宋体" w:eastAsia="宋体"/>
                <w:sz w:val="16"/>
              </w:rPr>
              <w:t>全年预算数</w:t>
            </w:r>
          </w:p>
        </w:tc>
        <w:tc>
          <w:tcPr>
            <w:tcW w:w="1183" w:type="dxa"/>
            <w:tcBorders>
              <w:top w:val="single" w:color="auto" w:sz="10" w:space="0"/>
              <w:left w:val="single" w:color="auto" w:sz="10" w:space="0"/>
              <w:bottom w:val="single" w:color="auto" w:sz="10" w:space="0"/>
              <w:right w:val="single" w:color="auto" w:sz="10" w:space="0"/>
              <w:insideV w:val="single" w:sz="10" w:space="0"/>
            </w:tcBorders>
            <w:vAlign w:val="center"/>
          </w:tcPr>
          <w:p w14:paraId="6D4EA1E3">
            <w:pPr>
              <w:jc w:val="center"/>
            </w:pPr>
            <w:r>
              <w:rPr>
                <w:rFonts w:ascii="宋体" w:hAnsi="宋体" w:eastAsia="宋体"/>
                <w:sz w:val="16"/>
              </w:rPr>
              <w:t>全年执行数</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14:paraId="5811A83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243369">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CE5F59">
            <w:pPr>
              <w:jc w:val="center"/>
            </w:pPr>
            <w:r>
              <w:rPr>
                <w:rFonts w:ascii="宋体" w:hAnsi="宋体" w:eastAsia="宋体"/>
                <w:sz w:val="16"/>
              </w:rPr>
              <w:t>得分</w:t>
            </w:r>
          </w:p>
        </w:tc>
      </w:tr>
      <w:tr w14:paraId="40387CE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2C9D3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027896">
            <w:pPr>
              <w:jc w:val="center"/>
            </w:pPr>
            <w:r>
              <w:rPr>
                <w:rFonts w:ascii="宋体" w:hAnsi="宋体" w:eastAsia="宋体"/>
                <w:sz w:val="16"/>
              </w:rPr>
              <w:t>年度总资金</w:t>
            </w:r>
          </w:p>
        </w:tc>
        <w:tc>
          <w:tcPr>
            <w:tcW w:w="1356" w:type="dxa"/>
            <w:tcBorders>
              <w:top w:val="single" w:color="auto" w:sz="10" w:space="0"/>
              <w:left w:val="single" w:color="auto" w:sz="10" w:space="0"/>
              <w:bottom w:val="single" w:color="auto" w:sz="10" w:space="0"/>
              <w:right w:val="single" w:color="auto" w:sz="10" w:space="0"/>
              <w:insideV w:val="single" w:sz="10" w:space="0"/>
            </w:tcBorders>
            <w:vAlign w:val="center"/>
          </w:tcPr>
          <w:p w14:paraId="767926ED">
            <w:pPr>
              <w:jc w:val="center"/>
            </w:pPr>
            <w:r>
              <w:rPr>
                <w:rFonts w:ascii="宋体" w:hAnsi="宋体" w:eastAsia="宋体"/>
                <w:sz w:val="16"/>
              </w:rPr>
              <w:t>653.38</w:t>
            </w:r>
          </w:p>
        </w:tc>
        <w:tc>
          <w:tcPr>
            <w:tcW w:w="1011" w:type="dxa"/>
            <w:tcBorders>
              <w:top w:val="single" w:color="auto" w:sz="10" w:space="0"/>
              <w:left w:val="single" w:color="auto" w:sz="10" w:space="0"/>
              <w:bottom w:val="single" w:color="auto" w:sz="10" w:space="0"/>
              <w:right w:val="single" w:color="auto" w:sz="10" w:space="0"/>
              <w:insideV w:val="single" w:sz="10" w:space="0"/>
            </w:tcBorders>
            <w:vAlign w:val="center"/>
          </w:tcPr>
          <w:p w14:paraId="096801FF">
            <w:pPr>
              <w:jc w:val="center"/>
            </w:pPr>
            <w:r>
              <w:rPr>
                <w:rFonts w:ascii="宋体" w:hAnsi="宋体" w:eastAsia="宋体"/>
                <w:sz w:val="16"/>
              </w:rPr>
              <w:t>533.18</w:t>
            </w:r>
          </w:p>
        </w:tc>
        <w:tc>
          <w:tcPr>
            <w:tcW w:w="1183" w:type="dxa"/>
            <w:tcBorders>
              <w:top w:val="single" w:color="auto" w:sz="10" w:space="0"/>
              <w:left w:val="single" w:color="auto" w:sz="10" w:space="0"/>
              <w:bottom w:val="single" w:color="auto" w:sz="10" w:space="0"/>
              <w:right w:val="single" w:color="auto" w:sz="10" w:space="0"/>
              <w:insideV w:val="single" w:sz="10" w:space="0"/>
            </w:tcBorders>
            <w:vAlign w:val="center"/>
          </w:tcPr>
          <w:p w14:paraId="746848C2">
            <w:pPr>
              <w:jc w:val="center"/>
            </w:pPr>
            <w:r>
              <w:rPr>
                <w:rFonts w:ascii="宋体" w:hAnsi="宋体" w:eastAsia="宋体"/>
                <w:sz w:val="16"/>
              </w:rPr>
              <w:t>533.08</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14:paraId="6C3E2E6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3D543F">
            <w:pPr>
              <w:jc w:val="center"/>
            </w:pPr>
            <w:r>
              <w:rPr>
                <w:rFonts w:ascii="宋体" w:hAnsi="宋体" w:eastAsia="宋体"/>
                <w:sz w:val="16"/>
              </w:rPr>
              <w:t>99.98%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B78F61">
            <w:pPr>
              <w:jc w:val="center"/>
            </w:pPr>
            <w:r>
              <w:rPr>
                <w:rFonts w:ascii="宋体" w:hAnsi="宋体" w:eastAsia="宋体"/>
                <w:sz w:val="16"/>
              </w:rPr>
              <w:t>10</w:t>
            </w:r>
          </w:p>
        </w:tc>
      </w:tr>
      <w:tr w14:paraId="51159F2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50D99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A1B329">
            <w:pPr>
              <w:jc w:val="center"/>
            </w:pPr>
            <w:r>
              <w:rPr>
                <w:rFonts w:ascii="宋体" w:hAnsi="宋体" w:eastAsia="宋体"/>
                <w:sz w:val="16"/>
              </w:rPr>
              <w:t>其中:上级安排（万元）</w:t>
            </w:r>
          </w:p>
        </w:tc>
        <w:tc>
          <w:tcPr>
            <w:tcW w:w="1356" w:type="dxa"/>
            <w:tcBorders>
              <w:top w:val="single" w:color="auto" w:sz="10" w:space="0"/>
              <w:left w:val="single" w:color="auto" w:sz="10" w:space="0"/>
              <w:bottom w:val="single" w:color="auto" w:sz="10" w:space="0"/>
              <w:right w:val="single" w:color="auto" w:sz="10" w:space="0"/>
              <w:insideV w:val="single" w:sz="10" w:space="0"/>
            </w:tcBorders>
            <w:vAlign w:val="center"/>
          </w:tcPr>
          <w:p w14:paraId="54AA0CD1">
            <w:pPr>
              <w:jc w:val="center"/>
            </w:pPr>
            <w:r>
              <w:rPr>
                <w:rFonts w:ascii="宋体" w:hAnsi="宋体" w:eastAsia="宋体"/>
                <w:sz w:val="16"/>
              </w:rPr>
              <w:t>591.34</w:t>
            </w:r>
          </w:p>
        </w:tc>
        <w:tc>
          <w:tcPr>
            <w:tcW w:w="1011" w:type="dxa"/>
            <w:tcBorders>
              <w:top w:val="single" w:color="auto" w:sz="10" w:space="0"/>
              <w:left w:val="single" w:color="auto" w:sz="10" w:space="0"/>
              <w:bottom w:val="single" w:color="auto" w:sz="10" w:space="0"/>
              <w:right w:val="single" w:color="auto" w:sz="10" w:space="0"/>
              <w:insideV w:val="single" w:sz="10" w:space="0"/>
            </w:tcBorders>
            <w:vAlign w:val="center"/>
          </w:tcPr>
          <w:p w14:paraId="18840859">
            <w:pPr>
              <w:jc w:val="center"/>
            </w:pPr>
            <w:r>
              <w:rPr>
                <w:rFonts w:ascii="宋体" w:hAnsi="宋体" w:eastAsia="宋体"/>
                <w:sz w:val="16"/>
              </w:rPr>
              <w:t>220.00</w:t>
            </w:r>
          </w:p>
        </w:tc>
        <w:tc>
          <w:tcPr>
            <w:tcW w:w="1183" w:type="dxa"/>
            <w:tcBorders>
              <w:top w:val="single" w:color="auto" w:sz="10" w:space="0"/>
              <w:left w:val="single" w:color="auto" w:sz="10" w:space="0"/>
              <w:bottom w:val="single" w:color="auto" w:sz="10" w:space="0"/>
              <w:right w:val="single" w:color="auto" w:sz="10" w:space="0"/>
              <w:insideV w:val="single" w:sz="10" w:space="0"/>
            </w:tcBorders>
            <w:vAlign w:val="center"/>
          </w:tcPr>
          <w:p w14:paraId="1BA41CFF">
            <w:pPr>
              <w:jc w:val="center"/>
            </w:pPr>
            <w:r>
              <w:rPr>
                <w:rFonts w:ascii="宋体" w:hAnsi="宋体" w:eastAsia="宋体"/>
                <w:sz w:val="16"/>
              </w:rPr>
              <w:t>220.00</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14:paraId="4865BF5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BAB9D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3B429D">
            <w:pPr>
              <w:jc w:val="center"/>
            </w:pPr>
            <w:r>
              <w:rPr>
                <w:rFonts w:ascii="宋体" w:hAnsi="宋体" w:eastAsia="宋体"/>
                <w:sz w:val="16"/>
              </w:rPr>
              <w:t>-</w:t>
            </w:r>
          </w:p>
        </w:tc>
      </w:tr>
      <w:tr w14:paraId="2DCEA77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72F14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A4A4EC">
            <w:pPr>
              <w:jc w:val="center"/>
            </w:pPr>
            <w:r>
              <w:rPr>
                <w:rFonts w:ascii="宋体" w:hAnsi="宋体" w:eastAsia="宋体"/>
                <w:sz w:val="16"/>
              </w:rPr>
              <w:t>本级安排（万元）</w:t>
            </w:r>
          </w:p>
        </w:tc>
        <w:tc>
          <w:tcPr>
            <w:tcW w:w="1356" w:type="dxa"/>
            <w:tcBorders>
              <w:top w:val="single" w:color="auto" w:sz="10" w:space="0"/>
              <w:left w:val="single" w:color="auto" w:sz="10" w:space="0"/>
              <w:bottom w:val="single" w:color="auto" w:sz="10" w:space="0"/>
              <w:right w:val="single" w:color="auto" w:sz="10" w:space="0"/>
              <w:insideV w:val="single" w:sz="10" w:space="0"/>
            </w:tcBorders>
            <w:vAlign w:val="center"/>
          </w:tcPr>
          <w:p w14:paraId="7F6AC4F5">
            <w:pPr>
              <w:jc w:val="center"/>
            </w:pPr>
            <w:r>
              <w:rPr>
                <w:rFonts w:ascii="宋体" w:hAnsi="宋体" w:eastAsia="宋体"/>
                <w:sz w:val="16"/>
              </w:rPr>
              <w:t>62.04</w:t>
            </w:r>
          </w:p>
        </w:tc>
        <w:tc>
          <w:tcPr>
            <w:tcW w:w="1011" w:type="dxa"/>
            <w:tcBorders>
              <w:top w:val="single" w:color="auto" w:sz="10" w:space="0"/>
              <w:left w:val="single" w:color="auto" w:sz="10" w:space="0"/>
              <w:bottom w:val="single" w:color="auto" w:sz="10" w:space="0"/>
              <w:right w:val="single" w:color="auto" w:sz="10" w:space="0"/>
              <w:insideV w:val="single" w:sz="10" w:space="0"/>
            </w:tcBorders>
            <w:vAlign w:val="center"/>
          </w:tcPr>
          <w:p w14:paraId="417CD70A">
            <w:pPr>
              <w:jc w:val="center"/>
            </w:pPr>
            <w:r>
              <w:rPr>
                <w:rFonts w:ascii="宋体" w:hAnsi="宋体" w:eastAsia="宋体"/>
                <w:sz w:val="16"/>
              </w:rPr>
              <w:t>313.08</w:t>
            </w:r>
          </w:p>
        </w:tc>
        <w:tc>
          <w:tcPr>
            <w:tcW w:w="1183" w:type="dxa"/>
            <w:tcBorders>
              <w:top w:val="single" w:color="auto" w:sz="10" w:space="0"/>
              <w:left w:val="single" w:color="auto" w:sz="10" w:space="0"/>
              <w:bottom w:val="single" w:color="auto" w:sz="10" w:space="0"/>
              <w:right w:val="single" w:color="auto" w:sz="10" w:space="0"/>
              <w:insideV w:val="single" w:sz="10" w:space="0"/>
            </w:tcBorders>
            <w:vAlign w:val="center"/>
          </w:tcPr>
          <w:p w14:paraId="04BAB36F">
            <w:pPr>
              <w:jc w:val="center"/>
            </w:pPr>
            <w:r>
              <w:rPr>
                <w:rFonts w:ascii="宋体" w:hAnsi="宋体" w:eastAsia="宋体"/>
                <w:sz w:val="16"/>
              </w:rPr>
              <w:t>313.08</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14:paraId="62A1AC0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F063A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41C22F">
            <w:pPr>
              <w:jc w:val="center"/>
            </w:pPr>
            <w:r>
              <w:rPr>
                <w:rFonts w:ascii="宋体" w:hAnsi="宋体" w:eastAsia="宋体"/>
                <w:sz w:val="16"/>
              </w:rPr>
              <w:t>-</w:t>
            </w:r>
          </w:p>
        </w:tc>
      </w:tr>
      <w:tr w14:paraId="57BFC75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361BC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FA1DD1">
            <w:pPr>
              <w:jc w:val="center"/>
            </w:pPr>
            <w:r>
              <w:rPr>
                <w:rFonts w:ascii="宋体" w:hAnsi="宋体" w:eastAsia="宋体"/>
                <w:sz w:val="16"/>
              </w:rPr>
              <w:t>其他资金（万元）</w:t>
            </w:r>
          </w:p>
        </w:tc>
        <w:tc>
          <w:tcPr>
            <w:tcW w:w="1356" w:type="dxa"/>
            <w:tcBorders>
              <w:top w:val="single" w:color="auto" w:sz="10" w:space="0"/>
              <w:left w:val="single" w:color="auto" w:sz="10" w:space="0"/>
              <w:bottom w:val="single" w:color="auto" w:sz="10" w:space="0"/>
              <w:right w:val="single" w:color="auto" w:sz="10" w:space="0"/>
              <w:insideV w:val="single" w:sz="10" w:space="0"/>
            </w:tcBorders>
            <w:vAlign w:val="center"/>
          </w:tcPr>
          <w:p w14:paraId="39F5A9CA">
            <w:pPr>
              <w:jc w:val="center"/>
            </w:pPr>
            <w:r>
              <w:rPr>
                <w:rFonts w:ascii="宋体" w:hAnsi="宋体" w:eastAsia="宋体"/>
                <w:sz w:val="16"/>
              </w:rPr>
              <w:t>0.00</w:t>
            </w:r>
          </w:p>
        </w:tc>
        <w:tc>
          <w:tcPr>
            <w:tcW w:w="1011" w:type="dxa"/>
            <w:tcBorders>
              <w:top w:val="single" w:color="auto" w:sz="10" w:space="0"/>
              <w:left w:val="single" w:color="auto" w:sz="10" w:space="0"/>
              <w:bottom w:val="single" w:color="auto" w:sz="10" w:space="0"/>
              <w:right w:val="single" w:color="auto" w:sz="10" w:space="0"/>
              <w:insideV w:val="single" w:sz="10" w:space="0"/>
            </w:tcBorders>
            <w:vAlign w:val="center"/>
          </w:tcPr>
          <w:p w14:paraId="66D03367">
            <w:pPr>
              <w:jc w:val="center"/>
            </w:pPr>
            <w:r>
              <w:rPr>
                <w:rFonts w:ascii="宋体" w:hAnsi="宋体" w:eastAsia="宋体"/>
                <w:sz w:val="16"/>
              </w:rPr>
              <w:t>0.10</w:t>
            </w:r>
          </w:p>
        </w:tc>
        <w:tc>
          <w:tcPr>
            <w:tcW w:w="1183" w:type="dxa"/>
            <w:tcBorders>
              <w:top w:val="single" w:color="auto" w:sz="10" w:space="0"/>
              <w:left w:val="single" w:color="auto" w:sz="10" w:space="0"/>
              <w:bottom w:val="single" w:color="auto" w:sz="10" w:space="0"/>
              <w:right w:val="single" w:color="auto" w:sz="10" w:space="0"/>
              <w:insideV w:val="single" w:sz="10" w:space="0"/>
            </w:tcBorders>
            <w:vAlign w:val="center"/>
          </w:tcPr>
          <w:p w14:paraId="0FE0C5D3">
            <w:pPr>
              <w:jc w:val="center"/>
            </w:pPr>
            <w:r>
              <w:rPr>
                <w:rFonts w:ascii="宋体" w:hAnsi="宋体" w:eastAsia="宋体"/>
                <w:sz w:val="16"/>
              </w:rPr>
              <w:t>0.00</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14:paraId="368F66A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61A7D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E1B698">
            <w:pPr>
              <w:jc w:val="center"/>
            </w:pPr>
            <w:r>
              <w:rPr>
                <w:rFonts w:ascii="宋体" w:hAnsi="宋体" w:eastAsia="宋体"/>
                <w:sz w:val="16"/>
              </w:rPr>
              <w:t>-</w:t>
            </w:r>
          </w:p>
        </w:tc>
      </w:tr>
      <w:tr w14:paraId="6366868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2BBE2C">
            <w:pPr>
              <w:jc w:val="center"/>
            </w:pPr>
            <w:r>
              <w:rPr>
                <w:rFonts w:ascii="宋体" w:hAnsi="宋体" w:eastAsia="宋体"/>
                <w:sz w:val="16"/>
              </w:rPr>
              <w:t>年度总体目标</w:t>
            </w:r>
          </w:p>
        </w:tc>
        <w:tc>
          <w:tcPr>
            <w:tcW w:w="34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01DFC0">
            <w:pPr>
              <w:jc w:val="center"/>
            </w:pPr>
            <w:r>
              <w:rPr>
                <w:rFonts w:ascii="宋体" w:hAnsi="宋体" w:eastAsia="宋体"/>
                <w:sz w:val="16"/>
              </w:rPr>
              <w:t>预期目标</w:t>
            </w:r>
          </w:p>
        </w:tc>
        <w:tc>
          <w:tcPr>
            <w:tcW w:w="426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F17A6AF">
            <w:pPr>
              <w:jc w:val="center"/>
            </w:pPr>
            <w:r>
              <w:rPr>
                <w:rFonts w:ascii="宋体" w:hAnsi="宋体" w:eastAsia="宋体"/>
                <w:sz w:val="16"/>
              </w:rPr>
              <w:t>实际完成情况</w:t>
            </w:r>
          </w:p>
        </w:tc>
      </w:tr>
      <w:tr w14:paraId="38CD27F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AEC514"/>
        </w:tc>
        <w:tc>
          <w:tcPr>
            <w:tcW w:w="34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095CB18">
            <w:pPr>
              <w:jc w:val="both"/>
            </w:pPr>
            <w:r>
              <w:rPr>
                <w:rFonts w:ascii="宋体" w:hAnsi="宋体" w:eastAsia="宋体"/>
                <w:sz w:val="16"/>
              </w:rPr>
              <w:t>坚持以习近平新时代中国特色社会主义思想为指导，深入学习贯彻党的二十大精神，学习贯彻习近平总书记视察新疆重要讲话、重要指示精神和关于“三农”工作的重要论述，</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1、计划建设农村产权交易线上平台数量1个，加强了农村土地产权交易规范化；</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2、计划补助区级农民合作社及县级以上示范性家庭农场6个，加强培育新型农业经营主体。</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3、开展农经人员业务培训85人以上，继续强化农村改革创新，巩固农村集体产权制度改革成果，加强培育新型农业经营主体，提高社会化服务水平。</w:t>
            </w:r>
          </w:p>
        </w:tc>
        <w:tc>
          <w:tcPr>
            <w:tcW w:w="426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D7488BC">
            <w:pPr>
              <w:jc w:val="both"/>
            </w:pPr>
            <w:r>
              <w:rPr>
                <w:rFonts w:ascii="宋体" w:hAnsi="宋体" w:eastAsia="宋体"/>
                <w:sz w:val="16"/>
              </w:rPr>
              <w:t>为落实</w:t>
            </w:r>
            <w:r>
              <w:rPr>
                <w:rFonts w:hint="eastAsia" w:ascii="宋体" w:hAnsi="宋体"/>
                <w:sz w:val="16"/>
                <w:lang w:eastAsia="zh-CN"/>
              </w:rPr>
              <w:t>“三农”工作</w:t>
            </w:r>
            <w:r>
              <w:rPr>
                <w:rFonts w:ascii="宋体" w:hAnsi="宋体" w:eastAsia="宋体"/>
                <w:sz w:val="16"/>
              </w:rPr>
              <w:t>重要论述，2024年已完成：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1.已完成建设农村产权交易市场平台1个，规范了农村产权交易公平公正化；</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2.已完成补助区级农民合作社及县级以上示范性家庭农场数量6个，加强了新型农业经营主体效益；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3.已完成开展农经人员的业务培训人数85人以上，提高了农经人员的知识技能。</w:t>
            </w:r>
          </w:p>
        </w:tc>
      </w:tr>
      <w:tr w14:paraId="08E6653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3D279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DA0694">
            <w:pPr>
              <w:jc w:val="center"/>
            </w:pPr>
            <w:r>
              <w:rPr>
                <w:rFonts w:ascii="宋体" w:hAnsi="宋体" w:eastAsia="宋体"/>
                <w:sz w:val="16"/>
              </w:rPr>
              <w:t>二级指标</w:t>
            </w:r>
          </w:p>
        </w:tc>
        <w:tc>
          <w:tcPr>
            <w:tcW w:w="1356" w:type="dxa"/>
            <w:tcBorders>
              <w:top w:val="single" w:color="auto" w:sz="10" w:space="0"/>
              <w:left w:val="single" w:color="auto" w:sz="10" w:space="0"/>
              <w:bottom w:val="single" w:color="auto" w:sz="10" w:space="0"/>
              <w:right w:val="single" w:color="auto" w:sz="10" w:space="0"/>
              <w:insideV w:val="single" w:sz="10" w:space="0"/>
            </w:tcBorders>
            <w:vAlign w:val="center"/>
          </w:tcPr>
          <w:p w14:paraId="2A527061">
            <w:pPr>
              <w:jc w:val="center"/>
            </w:pPr>
            <w:r>
              <w:rPr>
                <w:rFonts w:ascii="宋体" w:hAnsi="宋体" w:eastAsia="宋体"/>
                <w:sz w:val="16"/>
              </w:rPr>
              <w:t>三级指标</w:t>
            </w:r>
          </w:p>
        </w:tc>
        <w:tc>
          <w:tcPr>
            <w:tcW w:w="1011" w:type="dxa"/>
            <w:tcBorders>
              <w:top w:val="single" w:color="auto" w:sz="10" w:space="0"/>
              <w:left w:val="single" w:color="auto" w:sz="10" w:space="0"/>
              <w:bottom w:val="single" w:color="auto" w:sz="10" w:space="0"/>
              <w:right w:val="single" w:color="auto" w:sz="10" w:space="0"/>
              <w:insideV w:val="single" w:sz="10" w:space="0"/>
            </w:tcBorders>
            <w:vAlign w:val="center"/>
          </w:tcPr>
          <w:p w14:paraId="39318213">
            <w:pPr>
              <w:jc w:val="center"/>
            </w:pPr>
            <w:r>
              <w:rPr>
                <w:rFonts w:ascii="宋体" w:hAnsi="宋体" w:eastAsia="宋体"/>
                <w:sz w:val="16"/>
              </w:rPr>
              <w:t>预期指标值</w:t>
            </w:r>
          </w:p>
        </w:tc>
        <w:tc>
          <w:tcPr>
            <w:tcW w:w="1183" w:type="dxa"/>
            <w:tcBorders>
              <w:top w:val="single" w:color="auto" w:sz="10" w:space="0"/>
              <w:left w:val="single" w:color="auto" w:sz="10" w:space="0"/>
              <w:bottom w:val="single" w:color="auto" w:sz="10" w:space="0"/>
              <w:right w:val="single" w:color="auto" w:sz="10" w:space="0"/>
              <w:insideV w:val="single" w:sz="10" w:space="0"/>
            </w:tcBorders>
            <w:vAlign w:val="center"/>
          </w:tcPr>
          <w:p w14:paraId="65134181">
            <w:pPr>
              <w:jc w:val="center"/>
            </w:pPr>
            <w:r>
              <w:rPr>
                <w:rFonts w:ascii="宋体" w:hAnsi="宋体" w:eastAsia="宋体"/>
                <w:sz w:val="16"/>
              </w:rPr>
              <w:t>指标值设定依据</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14:paraId="4DB9587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1FE8C8">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E6160F">
            <w:pPr>
              <w:jc w:val="center"/>
            </w:pPr>
            <w:r>
              <w:rPr>
                <w:rFonts w:ascii="宋体" w:hAnsi="宋体" w:eastAsia="宋体"/>
                <w:sz w:val="16"/>
              </w:rPr>
              <w:t>得分</w:t>
            </w:r>
          </w:p>
        </w:tc>
      </w:tr>
      <w:tr w14:paraId="68F4EC0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073EDD">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3F2D27">
            <w:pPr>
              <w:jc w:val="center"/>
            </w:pPr>
            <w:r>
              <w:rPr>
                <w:rFonts w:ascii="宋体" w:hAnsi="宋体" w:eastAsia="宋体"/>
                <w:sz w:val="16"/>
              </w:rPr>
              <w:t>数量指标</w:t>
            </w:r>
          </w:p>
        </w:tc>
        <w:tc>
          <w:tcPr>
            <w:tcW w:w="1356" w:type="dxa"/>
            <w:tcBorders>
              <w:top w:val="single" w:color="auto" w:sz="10" w:space="0"/>
              <w:left w:val="single" w:color="auto" w:sz="10" w:space="0"/>
              <w:bottom w:val="single" w:color="auto" w:sz="10" w:space="0"/>
              <w:right w:val="single" w:color="auto" w:sz="10" w:space="0"/>
              <w:insideV w:val="single" w:sz="10" w:space="0"/>
            </w:tcBorders>
            <w:vAlign w:val="center"/>
          </w:tcPr>
          <w:p w14:paraId="1D720084">
            <w:pPr>
              <w:jc w:val="center"/>
            </w:pPr>
            <w:r>
              <w:rPr>
                <w:rFonts w:ascii="宋体" w:hAnsi="宋体" w:eastAsia="宋体"/>
                <w:sz w:val="16"/>
              </w:rPr>
              <w:t>建设农村产权交易线上平台数量</w:t>
            </w:r>
          </w:p>
        </w:tc>
        <w:tc>
          <w:tcPr>
            <w:tcW w:w="1011" w:type="dxa"/>
            <w:tcBorders>
              <w:top w:val="single" w:color="auto" w:sz="10" w:space="0"/>
              <w:left w:val="single" w:color="auto" w:sz="10" w:space="0"/>
              <w:bottom w:val="single" w:color="auto" w:sz="10" w:space="0"/>
              <w:right w:val="single" w:color="auto" w:sz="10" w:space="0"/>
              <w:insideV w:val="single" w:sz="10" w:space="0"/>
            </w:tcBorders>
            <w:vAlign w:val="center"/>
          </w:tcPr>
          <w:p w14:paraId="18AA182A">
            <w:pPr>
              <w:jc w:val="center"/>
            </w:pPr>
            <w:r>
              <w:rPr>
                <w:rFonts w:ascii="宋体" w:hAnsi="宋体" w:eastAsia="宋体"/>
                <w:sz w:val="16"/>
              </w:rPr>
              <w:t>=1个</w:t>
            </w:r>
          </w:p>
        </w:tc>
        <w:tc>
          <w:tcPr>
            <w:tcW w:w="1183" w:type="dxa"/>
            <w:tcBorders>
              <w:top w:val="single" w:color="auto" w:sz="10" w:space="0"/>
              <w:left w:val="single" w:color="auto" w:sz="10" w:space="0"/>
              <w:bottom w:val="single" w:color="auto" w:sz="10" w:space="0"/>
              <w:right w:val="single" w:color="auto" w:sz="10" w:space="0"/>
              <w:insideV w:val="single" w:sz="10" w:space="0"/>
            </w:tcBorders>
            <w:vAlign w:val="center"/>
          </w:tcPr>
          <w:p w14:paraId="3077C46A">
            <w:pPr>
              <w:jc w:val="center"/>
            </w:pPr>
            <w:r>
              <w:rPr>
                <w:rFonts w:ascii="宋体" w:hAnsi="宋体" w:eastAsia="宋体"/>
                <w:sz w:val="16"/>
              </w:rPr>
              <w:t>农经局2024年工作计划</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14:paraId="1A95A8ED">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7EAAC0">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315844">
            <w:pPr>
              <w:jc w:val="center"/>
            </w:pPr>
            <w:r>
              <w:rPr>
                <w:rFonts w:ascii="宋体" w:hAnsi="宋体" w:eastAsia="宋体"/>
                <w:sz w:val="16"/>
              </w:rPr>
              <w:t>30</w:t>
            </w:r>
          </w:p>
        </w:tc>
      </w:tr>
      <w:tr w14:paraId="001B275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4C2A7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25FF8A"/>
        </w:tc>
        <w:tc>
          <w:tcPr>
            <w:tcW w:w="1356" w:type="dxa"/>
            <w:tcBorders>
              <w:top w:val="single" w:color="auto" w:sz="10" w:space="0"/>
              <w:left w:val="single" w:color="auto" w:sz="10" w:space="0"/>
              <w:bottom w:val="single" w:color="auto" w:sz="10" w:space="0"/>
              <w:right w:val="single" w:color="auto" w:sz="10" w:space="0"/>
              <w:insideV w:val="single" w:sz="10" w:space="0"/>
            </w:tcBorders>
            <w:vAlign w:val="center"/>
          </w:tcPr>
          <w:p w14:paraId="18BFDD97">
            <w:pPr>
              <w:jc w:val="center"/>
            </w:pPr>
            <w:r>
              <w:rPr>
                <w:rFonts w:ascii="宋体" w:hAnsi="宋体" w:eastAsia="宋体"/>
                <w:sz w:val="16"/>
              </w:rPr>
              <w:t>补助区级农民合作社及县级以上示范性家庭农场数量</w:t>
            </w:r>
          </w:p>
        </w:tc>
        <w:tc>
          <w:tcPr>
            <w:tcW w:w="1011" w:type="dxa"/>
            <w:tcBorders>
              <w:top w:val="single" w:color="auto" w:sz="10" w:space="0"/>
              <w:left w:val="single" w:color="auto" w:sz="10" w:space="0"/>
              <w:bottom w:val="single" w:color="auto" w:sz="10" w:space="0"/>
              <w:right w:val="single" w:color="auto" w:sz="10" w:space="0"/>
              <w:insideV w:val="single" w:sz="10" w:space="0"/>
            </w:tcBorders>
            <w:vAlign w:val="center"/>
          </w:tcPr>
          <w:p w14:paraId="29DCFBF7">
            <w:pPr>
              <w:jc w:val="center"/>
            </w:pPr>
            <w:r>
              <w:rPr>
                <w:rFonts w:ascii="宋体" w:hAnsi="宋体" w:eastAsia="宋体"/>
                <w:sz w:val="16"/>
              </w:rPr>
              <w:t>&gt;=6个</w:t>
            </w:r>
          </w:p>
        </w:tc>
        <w:tc>
          <w:tcPr>
            <w:tcW w:w="1183" w:type="dxa"/>
            <w:tcBorders>
              <w:top w:val="single" w:color="auto" w:sz="10" w:space="0"/>
              <w:left w:val="single" w:color="auto" w:sz="10" w:space="0"/>
              <w:bottom w:val="single" w:color="auto" w:sz="10" w:space="0"/>
              <w:right w:val="single" w:color="auto" w:sz="10" w:space="0"/>
              <w:insideV w:val="single" w:sz="10" w:space="0"/>
            </w:tcBorders>
            <w:vAlign w:val="center"/>
          </w:tcPr>
          <w:p w14:paraId="3AB3137B">
            <w:pPr>
              <w:jc w:val="center"/>
            </w:pPr>
            <w:r>
              <w:rPr>
                <w:rFonts w:ascii="宋体" w:hAnsi="宋体" w:eastAsia="宋体"/>
                <w:sz w:val="16"/>
              </w:rPr>
              <w:t>农经局2024年工作计划</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14:paraId="548E6250">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2DFD8F">
            <w:pPr>
              <w:jc w:val="center"/>
            </w:pPr>
            <w:r>
              <w:rPr>
                <w:rFonts w:ascii="宋体" w:hAnsi="宋体" w:eastAsia="宋体"/>
                <w:sz w:val="16"/>
              </w:rPr>
              <w:t>6个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B7EEE3">
            <w:pPr>
              <w:jc w:val="center"/>
            </w:pPr>
            <w:r>
              <w:rPr>
                <w:rFonts w:ascii="宋体" w:hAnsi="宋体" w:eastAsia="宋体"/>
                <w:sz w:val="16"/>
              </w:rPr>
              <w:t>30</w:t>
            </w:r>
          </w:p>
        </w:tc>
      </w:tr>
      <w:tr w14:paraId="3B74138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CCDFA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9F2511"/>
        </w:tc>
        <w:tc>
          <w:tcPr>
            <w:tcW w:w="1356" w:type="dxa"/>
            <w:tcBorders>
              <w:top w:val="single" w:color="auto" w:sz="10" w:space="0"/>
              <w:left w:val="single" w:color="auto" w:sz="10" w:space="0"/>
              <w:bottom w:val="single" w:color="auto" w:sz="10" w:space="0"/>
              <w:right w:val="single" w:color="auto" w:sz="10" w:space="0"/>
              <w:insideV w:val="single" w:sz="10" w:space="0"/>
            </w:tcBorders>
            <w:vAlign w:val="center"/>
          </w:tcPr>
          <w:p w14:paraId="00617B20">
            <w:pPr>
              <w:jc w:val="center"/>
            </w:pPr>
            <w:r>
              <w:rPr>
                <w:rFonts w:ascii="宋体" w:hAnsi="宋体" w:eastAsia="宋体"/>
                <w:sz w:val="16"/>
              </w:rPr>
              <w:t>开展农经人员的业务培训人数</w:t>
            </w:r>
          </w:p>
        </w:tc>
        <w:tc>
          <w:tcPr>
            <w:tcW w:w="1011" w:type="dxa"/>
            <w:tcBorders>
              <w:top w:val="single" w:color="auto" w:sz="10" w:space="0"/>
              <w:left w:val="single" w:color="auto" w:sz="10" w:space="0"/>
              <w:bottom w:val="single" w:color="auto" w:sz="10" w:space="0"/>
              <w:right w:val="single" w:color="auto" w:sz="10" w:space="0"/>
              <w:insideV w:val="single" w:sz="10" w:space="0"/>
            </w:tcBorders>
            <w:vAlign w:val="center"/>
          </w:tcPr>
          <w:p w14:paraId="5C54880A">
            <w:pPr>
              <w:jc w:val="center"/>
            </w:pPr>
            <w:r>
              <w:rPr>
                <w:rFonts w:ascii="宋体" w:hAnsi="宋体" w:eastAsia="宋体"/>
                <w:sz w:val="16"/>
              </w:rPr>
              <w:t>&gt;=85人</w:t>
            </w:r>
          </w:p>
        </w:tc>
        <w:tc>
          <w:tcPr>
            <w:tcW w:w="1183" w:type="dxa"/>
            <w:tcBorders>
              <w:top w:val="single" w:color="auto" w:sz="10" w:space="0"/>
              <w:left w:val="single" w:color="auto" w:sz="10" w:space="0"/>
              <w:bottom w:val="single" w:color="auto" w:sz="10" w:space="0"/>
              <w:right w:val="single" w:color="auto" w:sz="10" w:space="0"/>
              <w:insideV w:val="single" w:sz="10" w:space="0"/>
            </w:tcBorders>
            <w:vAlign w:val="center"/>
          </w:tcPr>
          <w:p w14:paraId="699D3CF9">
            <w:pPr>
              <w:jc w:val="center"/>
            </w:pPr>
            <w:r>
              <w:rPr>
                <w:rFonts w:ascii="宋体" w:hAnsi="宋体" w:eastAsia="宋体"/>
                <w:sz w:val="16"/>
              </w:rPr>
              <w:t>农经局2024年工作计划</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14:paraId="7DC6FE38">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D529C8">
            <w:pPr>
              <w:jc w:val="center"/>
            </w:pPr>
            <w:r>
              <w:rPr>
                <w:rFonts w:ascii="宋体" w:hAnsi="宋体" w:eastAsia="宋体"/>
                <w:sz w:val="16"/>
              </w:rPr>
              <w:t>85人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751808">
            <w:pPr>
              <w:jc w:val="center"/>
            </w:pPr>
            <w:r>
              <w:rPr>
                <w:rFonts w:ascii="宋体" w:hAnsi="宋体" w:eastAsia="宋体"/>
                <w:sz w:val="16"/>
              </w:rPr>
              <w:t>30</w:t>
            </w:r>
          </w:p>
        </w:tc>
      </w:tr>
    </w:tbl>
    <w:p w14:paraId="57832426">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5"/>
        <w:gridCol w:w="615"/>
        <w:gridCol w:w="776"/>
        <w:gridCol w:w="615"/>
        <w:gridCol w:w="615"/>
        <w:gridCol w:w="620"/>
        <w:gridCol w:w="615"/>
        <w:gridCol w:w="615"/>
        <w:gridCol w:w="696"/>
        <w:gridCol w:w="776"/>
        <w:gridCol w:w="631"/>
        <w:gridCol w:w="631"/>
      </w:tblGrid>
      <w:tr w14:paraId="26B9FA62">
        <w:tblPrEx>
          <w:tblCellMar>
            <w:top w:w="0" w:type="dxa"/>
            <w:left w:w="108" w:type="dxa"/>
            <w:bottom w:w="0" w:type="dxa"/>
            <w:right w:w="108" w:type="dxa"/>
          </w:tblCellMar>
        </w:tblPrEx>
        <w:tc>
          <w:tcPr>
            <w:tcW w:w="8848" w:type="dxa"/>
            <w:gridSpan w:val="14"/>
            <w:vAlign w:val="center"/>
          </w:tcPr>
          <w:p w14:paraId="17E69B0F">
            <w:pPr>
              <w:jc w:val="center"/>
            </w:pPr>
            <w:r>
              <w:rPr>
                <w:rFonts w:ascii="宋体" w:hAnsi="宋体" w:eastAsia="宋体"/>
                <w:sz w:val="24"/>
              </w:rPr>
              <w:t>项目支出绩效自评表</w:t>
            </w:r>
          </w:p>
        </w:tc>
      </w:tr>
      <w:tr w14:paraId="6C405404">
        <w:tblPrEx>
          <w:tblCellMar>
            <w:top w:w="0" w:type="dxa"/>
            <w:left w:w="108" w:type="dxa"/>
            <w:bottom w:w="0" w:type="dxa"/>
            <w:right w:w="108" w:type="dxa"/>
          </w:tblCellMar>
        </w:tblPrEx>
        <w:tc>
          <w:tcPr>
            <w:tcW w:w="8848" w:type="dxa"/>
            <w:gridSpan w:val="14"/>
            <w:vAlign w:val="center"/>
          </w:tcPr>
          <w:p w14:paraId="116FF0CE">
            <w:pPr>
              <w:jc w:val="center"/>
            </w:pPr>
            <w:r>
              <w:rPr>
                <w:rFonts w:ascii="宋体" w:hAnsi="宋体" w:eastAsia="宋体"/>
                <w:sz w:val="24"/>
              </w:rPr>
              <w:t>(2024年度)</w:t>
            </w:r>
          </w:p>
        </w:tc>
      </w:tr>
      <w:tr w14:paraId="484601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B9D9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00DE65">
            <w:pPr>
              <w:jc w:val="center"/>
            </w:pPr>
            <w:r>
              <w:rPr>
                <w:rFonts w:ascii="宋体" w:hAnsi="宋体" w:eastAsia="宋体"/>
                <w:sz w:val="16"/>
              </w:rPr>
              <w:t>农村合作经济管理局：巴财农</w:t>
            </w:r>
            <w:r>
              <w:rPr>
                <w:rFonts w:hint="eastAsia" w:ascii="宋体" w:hAnsi="宋体"/>
                <w:sz w:val="16"/>
                <w:lang w:eastAsia="zh-CN"/>
              </w:rPr>
              <w:t>〔2023〕57号</w:t>
            </w:r>
            <w:r>
              <w:rPr>
                <w:rFonts w:ascii="宋体" w:hAnsi="宋体" w:eastAsia="宋体"/>
                <w:sz w:val="16"/>
              </w:rPr>
              <w:t>关于提前下达2024年中央农业经营主体能力提升[第一批]资金预算的通知（2024年农业社会化服务项目）</w:t>
            </w:r>
          </w:p>
        </w:tc>
      </w:tr>
      <w:tr w14:paraId="27C641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E34A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CDB181">
            <w:pPr>
              <w:jc w:val="center"/>
            </w:pPr>
            <w:r>
              <w:rPr>
                <w:rFonts w:ascii="宋体" w:hAnsi="宋体" w:eastAsia="宋体"/>
                <w:sz w:val="16"/>
              </w:rPr>
              <w:t>新疆轮台县农村合作经济管理局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1F22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B19D82">
            <w:pPr>
              <w:jc w:val="center"/>
            </w:pPr>
            <w:r>
              <w:rPr>
                <w:rFonts w:ascii="宋体" w:hAnsi="宋体" w:eastAsia="宋体"/>
                <w:sz w:val="16"/>
              </w:rPr>
              <w:t>轮台县农村合作经济管理局</w:t>
            </w:r>
          </w:p>
        </w:tc>
      </w:tr>
      <w:tr w14:paraId="723BE6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669D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CDA5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6F9D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1CF4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E639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459FF">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89A2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8CD67">
            <w:pPr>
              <w:jc w:val="center"/>
            </w:pPr>
            <w:r>
              <w:rPr>
                <w:rFonts w:ascii="宋体" w:hAnsi="宋体" w:eastAsia="宋体"/>
                <w:sz w:val="16"/>
              </w:rPr>
              <w:t>得分</w:t>
            </w:r>
          </w:p>
        </w:tc>
      </w:tr>
      <w:tr w14:paraId="70363E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83F30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E42A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E4580">
            <w:pPr>
              <w:jc w:val="center"/>
            </w:pPr>
            <w:r>
              <w:rPr>
                <w:rFonts w:ascii="宋体" w:hAnsi="宋体" w:eastAsia="宋体"/>
                <w:sz w:val="16"/>
              </w:rPr>
              <w:t>170.00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0B5D9">
            <w:pPr>
              <w:jc w:val="center"/>
            </w:pPr>
            <w:r>
              <w:rPr>
                <w:rFonts w:ascii="宋体" w:hAnsi="宋体" w:eastAsia="宋体"/>
                <w:sz w:val="16"/>
              </w:rPr>
              <w:t>170.00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418C8">
            <w:pPr>
              <w:jc w:val="center"/>
            </w:pPr>
            <w:r>
              <w:rPr>
                <w:rFonts w:ascii="宋体" w:hAnsi="宋体" w:eastAsia="宋体"/>
                <w:sz w:val="16"/>
              </w:rPr>
              <w:t>170.00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4EF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1BAE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983AD">
            <w:pPr>
              <w:jc w:val="center"/>
            </w:pPr>
            <w:r>
              <w:rPr>
                <w:rFonts w:ascii="宋体" w:hAnsi="宋体" w:eastAsia="宋体"/>
                <w:sz w:val="16"/>
              </w:rPr>
              <w:t>10.00</w:t>
            </w:r>
          </w:p>
        </w:tc>
      </w:tr>
      <w:tr w14:paraId="5192CA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A50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3615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A54FB">
            <w:pPr>
              <w:jc w:val="center"/>
            </w:pPr>
            <w:r>
              <w:rPr>
                <w:rFonts w:ascii="宋体" w:hAnsi="宋体" w:eastAsia="宋体"/>
                <w:sz w:val="16"/>
              </w:rPr>
              <w:t>170.00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56CDC">
            <w:pPr>
              <w:jc w:val="center"/>
            </w:pPr>
            <w:r>
              <w:rPr>
                <w:rFonts w:ascii="宋体" w:hAnsi="宋体" w:eastAsia="宋体"/>
                <w:sz w:val="16"/>
              </w:rPr>
              <w:t>170.00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03A99">
            <w:pPr>
              <w:jc w:val="center"/>
            </w:pPr>
            <w:r>
              <w:rPr>
                <w:rFonts w:ascii="宋体" w:hAnsi="宋体" w:eastAsia="宋体"/>
                <w:sz w:val="16"/>
              </w:rPr>
              <w:t>170.00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7F7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B80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BC644">
            <w:pPr>
              <w:jc w:val="center"/>
            </w:pPr>
            <w:r>
              <w:rPr>
                <w:rFonts w:ascii="宋体" w:hAnsi="宋体" w:eastAsia="宋体"/>
                <w:sz w:val="16"/>
              </w:rPr>
              <w:t>-</w:t>
            </w:r>
          </w:p>
        </w:tc>
      </w:tr>
      <w:tr w14:paraId="0ACE76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411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7FEB8">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D71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AC8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409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B1C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845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7D5AA">
            <w:pPr>
              <w:jc w:val="center"/>
            </w:pPr>
            <w:r>
              <w:rPr>
                <w:rFonts w:ascii="宋体" w:hAnsi="宋体" w:eastAsia="宋体"/>
                <w:sz w:val="16"/>
              </w:rPr>
              <w:t>-</w:t>
            </w:r>
          </w:p>
        </w:tc>
      </w:tr>
      <w:tr w14:paraId="5FC04A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BA678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8F2357">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8EB6F2">
            <w:pPr>
              <w:jc w:val="center"/>
            </w:pPr>
            <w:r>
              <w:rPr>
                <w:rFonts w:ascii="宋体" w:hAnsi="宋体" w:eastAsia="宋体"/>
                <w:sz w:val="16"/>
              </w:rPr>
              <w:t>总体目标完成情况</w:t>
            </w:r>
          </w:p>
        </w:tc>
      </w:tr>
      <w:tr w14:paraId="33C6CD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0F86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EE143F">
            <w:pPr>
              <w:jc w:val="both"/>
            </w:pPr>
            <w:r>
              <w:rPr>
                <w:rFonts w:ascii="宋体" w:hAnsi="宋体" w:eastAsia="宋体"/>
                <w:sz w:val="16"/>
              </w:rPr>
              <w:t>目标1：发放小麦生产社会化服务补助面积1.026万亩，发放玉米生产社会化服务补助面积0.674万亩，促进农业发展方式转变，提高服务组织经营效益和农业综合生产能力，实现农户增收和服务主体增加效益“双赢”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885D29">
            <w:pPr>
              <w:jc w:val="both"/>
            </w:pPr>
            <w:r>
              <w:rPr>
                <w:rFonts w:hint="eastAsia" w:ascii="宋体" w:hAnsi="宋体"/>
                <w:sz w:val="16"/>
                <w:lang w:eastAsia="zh-CN"/>
              </w:rPr>
              <w:t>本单位</w:t>
            </w:r>
            <w:r>
              <w:rPr>
                <w:rFonts w:ascii="宋体" w:hAnsi="宋体" w:eastAsia="宋体"/>
                <w:sz w:val="16"/>
              </w:rPr>
              <w:t>本年度促进了农业发展方式转变，已完成发放小麦生产社会化服务补助面积1.026万亩，发放玉米生产社会化服务补助面积0.674万亩，提高了服务组织经营效益和农业综合生产能力，实现了农户增收和服务主体增加效益“双赢”目标。</w:t>
            </w:r>
          </w:p>
        </w:tc>
      </w:tr>
      <w:tr w14:paraId="3C996B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73D0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BD14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B90B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5D75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4A5F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997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7E9A9">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D6F7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0F01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5DC0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615D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5177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43D9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DC295">
            <w:pPr>
              <w:jc w:val="center"/>
            </w:pPr>
            <w:r>
              <w:rPr>
                <w:rFonts w:ascii="宋体" w:hAnsi="宋体" w:eastAsia="宋体"/>
                <w:sz w:val="16"/>
              </w:rPr>
              <w:t>偏差原因分析及改进措施</w:t>
            </w:r>
          </w:p>
        </w:tc>
      </w:tr>
      <w:tr w14:paraId="5399E1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15A43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6D80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46DAB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A4A7C">
            <w:pPr>
              <w:jc w:val="center"/>
            </w:pPr>
            <w:r>
              <w:rPr>
                <w:rFonts w:ascii="宋体" w:hAnsi="宋体" w:eastAsia="宋体"/>
                <w:sz w:val="16"/>
              </w:rPr>
              <w:t>发放小麦生产社会化服务补助面积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D022A">
            <w:pPr>
              <w:jc w:val="center"/>
            </w:pPr>
            <w:r>
              <w:rPr>
                <w:rFonts w:ascii="宋体" w:hAnsi="宋体" w:eastAsia="宋体"/>
                <w:sz w:val="16"/>
              </w:rPr>
              <w:t>&gt;=1.026万亩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906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69D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ACBA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48A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21E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5EB7E">
            <w:pPr>
              <w:jc w:val="center"/>
            </w:pPr>
            <w:r>
              <w:rPr>
                <w:rFonts w:ascii="宋体" w:hAnsi="宋体" w:eastAsia="宋体"/>
                <w:sz w:val="16"/>
              </w:rPr>
              <w:t>=1.026万亩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7D6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DC18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5907F">
            <w:pPr>
              <w:jc w:val="center"/>
            </w:pPr>
          </w:p>
        </w:tc>
      </w:tr>
      <w:tr w14:paraId="7B9C7B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B15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3BF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5B0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D7F64">
            <w:pPr>
              <w:jc w:val="center"/>
            </w:pPr>
            <w:r>
              <w:rPr>
                <w:rFonts w:ascii="宋体" w:hAnsi="宋体" w:eastAsia="宋体"/>
                <w:sz w:val="16"/>
              </w:rPr>
              <w:t>发放玉米生产社会化服务补助面积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6B7E8">
            <w:pPr>
              <w:jc w:val="center"/>
            </w:pPr>
            <w:r>
              <w:rPr>
                <w:rFonts w:ascii="宋体" w:hAnsi="宋体" w:eastAsia="宋体"/>
                <w:sz w:val="16"/>
              </w:rPr>
              <w:t>&gt;=0.674万亩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691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E12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9BB1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E75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630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858C0">
            <w:pPr>
              <w:jc w:val="center"/>
            </w:pPr>
            <w:r>
              <w:rPr>
                <w:rFonts w:ascii="宋体" w:hAnsi="宋体" w:eastAsia="宋体"/>
                <w:sz w:val="16"/>
              </w:rPr>
              <w:t>=0.674万亩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D4B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45E8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89188">
            <w:pPr>
              <w:jc w:val="center"/>
            </w:pPr>
          </w:p>
        </w:tc>
      </w:tr>
      <w:tr w14:paraId="0973BD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61F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656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49767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D2933">
            <w:pPr>
              <w:jc w:val="center"/>
            </w:pPr>
            <w:r>
              <w:rPr>
                <w:rFonts w:ascii="宋体" w:hAnsi="宋体" w:eastAsia="宋体"/>
                <w:sz w:val="16"/>
              </w:rPr>
              <w:t>服务小农户农业生产社会化服务面积占比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FB3AF">
            <w:pPr>
              <w:jc w:val="center"/>
            </w:pPr>
            <w:r>
              <w:rPr>
                <w:rFonts w:ascii="宋体" w:hAnsi="宋体" w:eastAsia="宋体"/>
                <w:sz w:val="16"/>
              </w:rPr>
              <w:t>&gt;=60%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55D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43C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4447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C3A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435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78C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B9980">
            <w:pPr>
              <w:jc w:val="center"/>
            </w:pPr>
            <w:r>
              <w:rPr>
                <w:rFonts w:ascii="宋体" w:hAnsi="宋体" w:eastAsia="宋体"/>
                <w:sz w:val="16"/>
              </w:rPr>
              <w:t>166.67%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EBB19">
            <w:pPr>
              <w:jc w:val="center"/>
            </w:pPr>
            <w:r>
              <w:rPr>
                <w:rFonts w:ascii="宋体" w:hAnsi="宋体" w:eastAsia="宋体"/>
                <w:sz w:val="16"/>
              </w:rPr>
              <w:t>2.67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5E220">
            <w:pPr>
              <w:jc w:val="center"/>
            </w:pPr>
            <w:r>
              <w:rPr>
                <w:rFonts w:ascii="宋体" w:hAnsi="宋体" w:eastAsia="宋体"/>
                <w:sz w:val="16"/>
              </w:rPr>
              <w:t>近年来轮台县大力推进农业现代化，对农业社会化服务高度重视，持续加大扶持力度，一方面，积极培育各类农业社会化服务组织，数量增多使得服务覆盖范围更广，另一方面，通过政策引导，提升了农机社会化服务水平，带动了小农户参与社会化服务，使得小农户的面积占比大幅提升，从而超额完成任务。</w:t>
            </w:r>
          </w:p>
        </w:tc>
      </w:tr>
      <w:tr w14:paraId="107A86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BDF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A38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FAA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EE313">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3CF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856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836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1414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B87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633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CBA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8B9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B0E4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6E28C">
            <w:pPr>
              <w:jc w:val="center"/>
            </w:pPr>
          </w:p>
        </w:tc>
      </w:tr>
      <w:tr w14:paraId="22D583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FDA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64B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613A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7D5BF">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155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0B5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96E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3820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B2E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AC5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583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87E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1BA1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5BD94">
            <w:pPr>
              <w:jc w:val="center"/>
            </w:pPr>
          </w:p>
        </w:tc>
      </w:tr>
      <w:tr w14:paraId="188734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B165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64274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5EA6B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E8155">
            <w:pPr>
              <w:jc w:val="center"/>
            </w:pPr>
            <w:r>
              <w:rPr>
                <w:rFonts w:ascii="宋体" w:hAnsi="宋体" w:eastAsia="宋体"/>
                <w:sz w:val="16"/>
              </w:rPr>
              <w:t>小麦生产社会化服务补助经费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99637">
            <w:pPr>
              <w:jc w:val="center"/>
            </w:pPr>
            <w:r>
              <w:rPr>
                <w:rFonts w:ascii="宋体" w:hAnsi="宋体" w:eastAsia="宋体"/>
                <w:sz w:val="16"/>
              </w:rPr>
              <w:t>&lt;=102.6万元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4680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1CE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8ACDE">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2A2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C035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48228">
            <w:pPr>
              <w:jc w:val="center"/>
            </w:pPr>
            <w:r>
              <w:rPr>
                <w:rFonts w:ascii="宋体" w:hAnsi="宋体" w:eastAsia="宋体"/>
                <w:sz w:val="16"/>
              </w:rPr>
              <w:t>=102.6万元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617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6AB4F">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40765">
            <w:pPr>
              <w:jc w:val="center"/>
            </w:pPr>
          </w:p>
        </w:tc>
      </w:tr>
      <w:tr w14:paraId="12B4BA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F5E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C09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765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9F6A0">
            <w:pPr>
              <w:jc w:val="center"/>
            </w:pPr>
            <w:r>
              <w:rPr>
                <w:rFonts w:ascii="宋体" w:hAnsi="宋体" w:eastAsia="宋体"/>
                <w:sz w:val="16"/>
              </w:rPr>
              <w:t>玉米生产社会化服务补助经费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4F508">
            <w:pPr>
              <w:jc w:val="center"/>
            </w:pPr>
            <w:r>
              <w:rPr>
                <w:rFonts w:ascii="宋体" w:hAnsi="宋体" w:eastAsia="宋体"/>
                <w:sz w:val="16"/>
              </w:rPr>
              <w:t>&lt;=67.4万元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861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828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8687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ADC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9D0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F8606">
            <w:pPr>
              <w:jc w:val="center"/>
            </w:pPr>
            <w:r>
              <w:rPr>
                <w:rFonts w:ascii="宋体" w:hAnsi="宋体" w:eastAsia="宋体"/>
                <w:sz w:val="16"/>
              </w:rPr>
              <w:t>=67.4万元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8C1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C527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60624">
            <w:pPr>
              <w:jc w:val="center"/>
            </w:pPr>
          </w:p>
        </w:tc>
      </w:tr>
      <w:tr w14:paraId="2A86AC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CC44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DDB8D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E0762">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9CD23">
            <w:pPr>
              <w:jc w:val="center"/>
            </w:pPr>
            <w:r>
              <w:rPr>
                <w:rFonts w:ascii="宋体" w:hAnsi="宋体" w:eastAsia="宋体"/>
                <w:sz w:val="16"/>
              </w:rPr>
              <w:t>小农户生产成本降低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2494A">
            <w:pPr>
              <w:jc w:val="center"/>
            </w:pPr>
            <w:r>
              <w:rPr>
                <w:rFonts w:ascii="宋体" w:hAnsi="宋体" w:eastAsia="宋体"/>
                <w:sz w:val="16"/>
              </w:rPr>
              <w:t>&gt;=5%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AF2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8AB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5697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884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54B1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B56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71E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ACB4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9C026">
            <w:pPr>
              <w:jc w:val="center"/>
            </w:pPr>
          </w:p>
        </w:tc>
      </w:tr>
      <w:tr w14:paraId="1CA793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0E0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B964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6A64A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00BE0">
            <w:pPr>
              <w:jc w:val="center"/>
            </w:pPr>
            <w:r>
              <w:rPr>
                <w:rFonts w:ascii="宋体" w:hAnsi="宋体" w:eastAsia="宋体"/>
                <w:sz w:val="16"/>
              </w:rPr>
              <w:t>服务小农户面积和服务规模经营水平提高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BCBA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9AA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CDD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2AA6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2EEB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1542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4B636">
            <w:pPr>
              <w:jc w:val="center"/>
            </w:pPr>
            <w:r>
              <w:rPr>
                <w:rFonts w:ascii="宋体" w:hAnsi="宋体" w:eastAsia="宋体"/>
                <w:sz w:val="16"/>
              </w:rPr>
              <w:tab/>
            </w: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E00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B24A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BC170">
            <w:pPr>
              <w:jc w:val="center"/>
            </w:pPr>
          </w:p>
        </w:tc>
      </w:tr>
      <w:tr w14:paraId="06EDA6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D39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B0C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C19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E3D63">
            <w:pPr>
              <w:jc w:val="center"/>
            </w:pPr>
            <w:r>
              <w:rPr>
                <w:rFonts w:ascii="宋体" w:hAnsi="宋体" w:eastAsia="宋体"/>
                <w:sz w:val="16"/>
              </w:rPr>
              <w:t>农业生产社会化服务能力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6371A">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1E2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B19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88D8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FE19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3065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AF4D5">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DA5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2DFD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25464">
            <w:pPr>
              <w:jc w:val="center"/>
            </w:pPr>
          </w:p>
        </w:tc>
      </w:tr>
      <w:tr w14:paraId="425346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385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22F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EBE0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BF8DE">
            <w:pPr>
              <w:jc w:val="center"/>
            </w:pPr>
            <w:r>
              <w:rPr>
                <w:rFonts w:ascii="宋体" w:hAnsi="宋体" w:eastAsia="宋体"/>
                <w:sz w:val="16"/>
              </w:rPr>
              <w:t>接受社会化服务的小农户满意度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6FD2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DE6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315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A36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B1EE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5D6F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1463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AC9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AF1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602CB">
            <w:pPr>
              <w:jc w:val="center"/>
            </w:pPr>
          </w:p>
        </w:tc>
      </w:tr>
      <w:tr w14:paraId="4CCFE9C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F5DC01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0E01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70B7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58D8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E64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DFB67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7F3FD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C2C8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4F9E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3AF6D">
            <w:pPr>
              <w:jc w:val="center"/>
            </w:pPr>
            <w:r>
              <w:rPr>
                <w:rFonts w:ascii="宋体" w:hAnsi="宋体" w:eastAsia="宋体"/>
                <w:sz w:val="16"/>
              </w:rPr>
              <w:t>94.67分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8FF82C"/>
        </w:tc>
      </w:tr>
    </w:tbl>
    <w:p w14:paraId="1592B1B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36EDA67D">
        <w:tblPrEx>
          <w:tblCellMar>
            <w:top w:w="0" w:type="dxa"/>
            <w:left w:w="108" w:type="dxa"/>
            <w:bottom w:w="0" w:type="dxa"/>
            <w:right w:w="108" w:type="dxa"/>
          </w:tblCellMar>
        </w:tblPrEx>
        <w:tc>
          <w:tcPr>
            <w:tcW w:w="8848" w:type="dxa"/>
            <w:gridSpan w:val="14"/>
            <w:vAlign w:val="center"/>
          </w:tcPr>
          <w:p w14:paraId="7FBCCCBC">
            <w:pPr>
              <w:jc w:val="center"/>
            </w:pPr>
            <w:r>
              <w:rPr>
                <w:rFonts w:ascii="宋体" w:hAnsi="宋体" w:eastAsia="宋体"/>
                <w:sz w:val="24"/>
              </w:rPr>
              <w:t>项目支出绩效自评表</w:t>
            </w:r>
          </w:p>
        </w:tc>
      </w:tr>
      <w:tr w14:paraId="29AB5D1D">
        <w:tblPrEx>
          <w:tblCellMar>
            <w:top w:w="0" w:type="dxa"/>
            <w:left w:w="108" w:type="dxa"/>
            <w:bottom w:w="0" w:type="dxa"/>
            <w:right w:w="108" w:type="dxa"/>
          </w:tblCellMar>
        </w:tblPrEx>
        <w:tc>
          <w:tcPr>
            <w:tcW w:w="8848" w:type="dxa"/>
            <w:gridSpan w:val="14"/>
            <w:vAlign w:val="center"/>
          </w:tcPr>
          <w:p w14:paraId="60FEE1A9">
            <w:pPr>
              <w:jc w:val="center"/>
            </w:pPr>
            <w:r>
              <w:rPr>
                <w:rFonts w:ascii="宋体" w:hAnsi="宋体" w:eastAsia="宋体"/>
                <w:sz w:val="24"/>
              </w:rPr>
              <w:t>(2024年度)</w:t>
            </w:r>
          </w:p>
        </w:tc>
      </w:tr>
      <w:tr w14:paraId="45903F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1425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4474AC">
            <w:pPr>
              <w:jc w:val="center"/>
            </w:pPr>
            <w:r>
              <w:rPr>
                <w:rFonts w:ascii="宋体" w:hAnsi="宋体" w:eastAsia="宋体"/>
                <w:sz w:val="16"/>
              </w:rPr>
              <w:t>农村合作经济管理局：巴财农</w:t>
            </w:r>
            <w:r>
              <w:rPr>
                <w:rFonts w:hint="eastAsia" w:ascii="宋体" w:hAnsi="宋体"/>
                <w:sz w:val="16"/>
                <w:lang w:eastAsia="zh-CN"/>
              </w:rPr>
              <w:t>〔2023〕57号</w:t>
            </w:r>
            <w:r>
              <w:rPr>
                <w:rFonts w:ascii="宋体" w:hAnsi="宋体" w:eastAsia="宋体"/>
                <w:sz w:val="16"/>
              </w:rPr>
              <w:t>关于提前下达2024年中央农业经营主体能力提升[第一批]资金预算的通知（2024年新型农业经营主体生产经营能力提升项目）</w:t>
            </w:r>
          </w:p>
        </w:tc>
      </w:tr>
      <w:tr w14:paraId="4DE5AB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A361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E35023">
            <w:pPr>
              <w:jc w:val="center"/>
            </w:pPr>
            <w:r>
              <w:rPr>
                <w:rFonts w:ascii="宋体" w:hAnsi="宋体" w:eastAsia="宋体"/>
                <w:sz w:val="16"/>
              </w:rPr>
              <w:t>新疆轮台县农村合作经济管理局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381D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1635E5">
            <w:pPr>
              <w:jc w:val="center"/>
            </w:pPr>
            <w:r>
              <w:rPr>
                <w:rFonts w:ascii="宋体" w:hAnsi="宋体" w:eastAsia="宋体"/>
                <w:sz w:val="16"/>
              </w:rPr>
              <w:t>轮台县农村合作经济管理局</w:t>
            </w:r>
          </w:p>
        </w:tc>
      </w:tr>
      <w:tr w14:paraId="4E902A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C9857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3768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CF15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96BB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A303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9B187">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4545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BA0E3">
            <w:pPr>
              <w:jc w:val="center"/>
            </w:pPr>
            <w:r>
              <w:rPr>
                <w:rFonts w:ascii="宋体" w:hAnsi="宋体" w:eastAsia="宋体"/>
                <w:sz w:val="16"/>
              </w:rPr>
              <w:t>得分</w:t>
            </w:r>
          </w:p>
        </w:tc>
      </w:tr>
      <w:tr w14:paraId="093296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CD53E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6098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24746">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D765D">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2DD0F">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4BE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A172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2ED1A">
            <w:pPr>
              <w:jc w:val="center"/>
            </w:pPr>
            <w:r>
              <w:rPr>
                <w:rFonts w:ascii="宋体" w:hAnsi="宋体" w:eastAsia="宋体"/>
                <w:sz w:val="16"/>
              </w:rPr>
              <w:t>10.00</w:t>
            </w:r>
          </w:p>
        </w:tc>
      </w:tr>
      <w:tr w14:paraId="501682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17C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15B0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B51BD">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1A543">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C2709">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197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BEF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1ECBA">
            <w:pPr>
              <w:jc w:val="center"/>
            </w:pPr>
            <w:r>
              <w:rPr>
                <w:rFonts w:ascii="宋体" w:hAnsi="宋体" w:eastAsia="宋体"/>
                <w:sz w:val="16"/>
              </w:rPr>
              <w:t>-</w:t>
            </w:r>
          </w:p>
        </w:tc>
      </w:tr>
      <w:tr w14:paraId="5BD4DA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A0B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C6E2A">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D3C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38F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3AC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C55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D64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9BA01">
            <w:pPr>
              <w:jc w:val="center"/>
            </w:pPr>
            <w:r>
              <w:rPr>
                <w:rFonts w:ascii="宋体" w:hAnsi="宋体" w:eastAsia="宋体"/>
                <w:sz w:val="16"/>
              </w:rPr>
              <w:t>-</w:t>
            </w:r>
          </w:p>
        </w:tc>
      </w:tr>
      <w:tr w14:paraId="6552A5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40E2A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BCA5E1">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A20D85">
            <w:pPr>
              <w:jc w:val="center"/>
            </w:pPr>
            <w:r>
              <w:rPr>
                <w:rFonts w:ascii="宋体" w:hAnsi="宋体" w:eastAsia="宋体"/>
                <w:sz w:val="16"/>
              </w:rPr>
              <w:t>总体目标完成情况</w:t>
            </w:r>
          </w:p>
        </w:tc>
      </w:tr>
      <w:tr w14:paraId="135300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937E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E256FB">
            <w:pPr>
              <w:jc w:val="both"/>
            </w:pPr>
            <w:r>
              <w:rPr>
                <w:rFonts w:ascii="宋体" w:hAnsi="宋体" w:eastAsia="宋体"/>
                <w:sz w:val="16"/>
              </w:rPr>
              <w:t>大力培育新型农业经营主体，增强农民合作社示范社和示范家庭农场发展水平和带动能力。目标1：计划扶持轮台县1家自治区级及以上农民合作社示范社，扶持轮台县5个县级及以上示范家庭农场，进一步增强农民合作社示范社和示范家庭农场发展水平和带动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4DCABB">
            <w:pPr>
              <w:jc w:val="both"/>
            </w:pPr>
            <w:r>
              <w:rPr>
                <w:rFonts w:ascii="宋体" w:hAnsi="宋体" w:eastAsia="宋体"/>
                <w:sz w:val="16"/>
              </w:rPr>
              <w:t>大力培育新型农业经营主体，增强农民合作社示范社和示范家庭农场发展水平和带动能力。已扶持轮台县1家自治区级及以上农民合作社示范社，扶持轮台县5个县级及以上示范家庭农场，进一步增强农民合作社示范社和示范家庭农场发展水平和带动能力。</w:t>
            </w:r>
          </w:p>
        </w:tc>
      </w:tr>
      <w:tr w14:paraId="1A021B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C315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3AC5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AD8D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9EB8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4214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B91B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8D0E5">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24F5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19C4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D4CA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D87B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D4B9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E933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CCAA0">
            <w:pPr>
              <w:jc w:val="center"/>
            </w:pPr>
            <w:r>
              <w:rPr>
                <w:rFonts w:ascii="宋体" w:hAnsi="宋体" w:eastAsia="宋体"/>
                <w:sz w:val="16"/>
              </w:rPr>
              <w:t>偏差原因分析及改进措施</w:t>
            </w:r>
          </w:p>
        </w:tc>
      </w:tr>
      <w:tr w14:paraId="3D7377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E4B9C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1C316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1DE3D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047B4">
            <w:pPr>
              <w:jc w:val="center"/>
            </w:pPr>
            <w:r>
              <w:rPr>
                <w:rFonts w:ascii="宋体" w:hAnsi="宋体" w:eastAsia="宋体"/>
                <w:sz w:val="16"/>
              </w:rPr>
              <w:t>补助自治区级农民合作社数量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771E5">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C6D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648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4F0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14C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987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7E59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A9A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1F9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C158F">
            <w:pPr>
              <w:jc w:val="center"/>
            </w:pPr>
          </w:p>
        </w:tc>
      </w:tr>
      <w:tr w14:paraId="2CC417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41D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EC1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506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6031F">
            <w:pPr>
              <w:jc w:val="center"/>
            </w:pPr>
            <w:r>
              <w:rPr>
                <w:rFonts w:ascii="宋体" w:hAnsi="宋体" w:eastAsia="宋体"/>
                <w:sz w:val="16"/>
              </w:rPr>
              <w:t>补助县级以上示范性家庭农场数量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36081">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A4C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D9F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48F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D10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89F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5039C">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D4F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4E9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A7886">
            <w:pPr>
              <w:jc w:val="center"/>
            </w:pPr>
          </w:p>
        </w:tc>
      </w:tr>
      <w:tr w14:paraId="733795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336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0C3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11B5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D78E5">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330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7C0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42E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722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CC3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9DD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A15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AE1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F87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D5896">
            <w:pPr>
              <w:jc w:val="center"/>
            </w:pPr>
          </w:p>
        </w:tc>
      </w:tr>
      <w:tr w14:paraId="064389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B59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E3F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4319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D1C0E">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41D1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2BB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1FF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F8D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2EC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FA1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FDAC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F69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2CA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3157F">
            <w:pPr>
              <w:jc w:val="center"/>
            </w:pPr>
          </w:p>
        </w:tc>
      </w:tr>
      <w:tr w14:paraId="4636B9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2F07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14726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18DEF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D7150">
            <w:pPr>
              <w:jc w:val="center"/>
            </w:pPr>
            <w:r>
              <w:rPr>
                <w:rFonts w:ascii="宋体" w:hAnsi="宋体" w:eastAsia="宋体"/>
                <w:sz w:val="16"/>
              </w:rPr>
              <w:t>支持的农民合作社成本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55097">
            <w:pPr>
              <w:jc w:val="center"/>
            </w:pPr>
            <w:r>
              <w:rPr>
                <w:rFonts w:ascii="宋体" w:hAnsi="宋体" w:eastAsia="宋体"/>
                <w:sz w:val="16"/>
              </w:rPr>
              <w:t>&lt;=20万元/个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D76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976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ECA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37F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618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BE194">
            <w:pPr>
              <w:jc w:val="center"/>
            </w:pPr>
            <w:r>
              <w:rPr>
                <w:rFonts w:ascii="宋体" w:hAnsi="宋体" w:eastAsia="宋体"/>
                <w:sz w:val="16"/>
              </w:rPr>
              <w:t>=20万元/个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5EB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2E6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D8F2A">
            <w:pPr>
              <w:jc w:val="center"/>
            </w:pPr>
          </w:p>
        </w:tc>
      </w:tr>
      <w:tr w14:paraId="0D4462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820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DC8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38C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4F016">
            <w:pPr>
              <w:jc w:val="center"/>
            </w:pPr>
            <w:r>
              <w:rPr>
                <w:rFonts w:ascii="宋体" w:hAnsi="宋体" w:eastAsia="宋体"/>
                <w:sz w:val="16"/>
              </w:rPr>
              <w:t>支持家庭农场数量成本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A06A5">
            <w:pPr>
              <w:jc w:val="center"/>
            </w:pPr>
            <w:r>
              <w:rPr>
                <w:rFonts w:ascii="宋体" w:hAnsi="宋体" w:eastAsia="宋体"/>
                <w:sz w:val="16"/>
              </w:rPr>
              <w:t>&lt;=6万元/个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9857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697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15C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7A6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F58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B500A">
            <w:pPr>
              <w:jc w:val="center"/>
            </w:pPr>
            <w:r>
              <w:rPr>
                <w:rFonts w:ascii="宋体" w:hAnsi="宋体" w:eastAsia="宋体"/>
                <w:sz w:val="16"/>
              </w:rPr>
              <w:t>=6万元/个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587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409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85A58">
            <w:pPr>
              <w:jc w:val="center"/>
            </w:pPr>
          </w:p>
        </w:tc>
      </w:tr>
      <w:tr w14:paraId="5E7EA3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27B8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8A7A6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5F174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21C6C">
            <w:pPr>
              <w:jc w:val="center"/>
            </w:pPr>
            <w:r>
              <w:rPr>
                <w:rFonts w:ascii="宋体" w:hAnsi="宋体" w:eastAsia="宋体"/>
                <w:sz w:val="16"/>
              </w:rPr>
              <w:t>提高服务组织经营效益和农业综合生产能力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BBD2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993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4E1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625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DDBD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C7A9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139D9">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8D0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CAD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CD474">
            <w:pPr>
              <w:jc w:val="center"/>
            </w:pPr>
          </w:p>
        </w:tc>
      </w:tr>
      <w:tr w14:paraId="2D3CA6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021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0B3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CF3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3F1EE">
            <w:pPr>
              <w:jc w:val="center"/>
            </w:pPr>
            <w:r>
              <w:rPr>
                <w:rFonts w:ascii="宋体" w:hAnsi="宋体" w:eastAsia="宋体"/>
                <w:sz w:val="16"/>
              </w:rPr>
              <w:t>农民合作社示范社和示范家庭农场发展水平和带动能力进一步增强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6FFDD">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73E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8C7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C22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0DE3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F31C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84132">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B6E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CAD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5DB08">
            <w:pPr>
              <w:jc w:val="center"/>
            </w:pPr>
          </w:p>
        </w:tc>
      </w:tr>
      <w:tr w14:paraId="5D7F13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D98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E57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8119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47700">
            <w:pPr>
              <w:jc w:val="center"/>
            </w:pPr>
            <w:r>
              <w:rPr>
                <w:rFonts w:ascii="宋体" w:hAnsi="宋体" w:eastAsia="宋体"/>
                <w:sz w:val="16"/>
              </w:rPr>
              <w:t>补助对象满意度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F8EA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B82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C99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6C5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67D0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3FB7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9596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0AD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DF0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4D7D2">
            <w:pPr>
              <w:jc w:val="center"/>
            </w:pPr>
          </w:p>
        </w:tc>
      </w:tr>
      <w:tr w14:paraId="7EFCDF5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18A3C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4D46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2AC7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1C06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3F8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77EE6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D8D5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6008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0E24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6EFE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5129CF"/>
        </w:tc>
      </w:tr>
    </w:tbl>
    <w:p w14:paraId="01685746">
      <w:r>
        <w:br w:type="page"/>
      </w:r>
    </w:p>
    <w:p w14:paraId="248D6287">
      <w:pPr>
        <w:spacing w:line="640" w:lineRule="exact"/>
        <w:ind w:firstLine="640"/>
        <w:jc w:val="both"/>
        <w:outlineLvl w:val="2"/>
      </w:pPr>
      <w:r>
        <w:rPr>
          <w:rFonts w:ascii="黑体" w:hAnsi="黑体" w:eastAsia="黑体"/>
          <w:sz w:val="32"/>
        </w:rPr>
        <w:t>十二、其他需说明的事项</w:t>
      </w:r>
    </w:p>
    <w:p w14:paraId="07CB18DD">
      <w:pPr>
        <w:spacing w:line="580" w:lineRule="exact"/>
        <w:ind w:firstLine="640"/>
        <w:jc w:val="both"/>
      </w:pPr>
      <w:r>
        <w:rPr>
          <w:rFonts w:ascii="仿宋_GB2312" w:hAnsi="仿宋_GB2312" w:eastAsia="仿宋_GB2312"/>
          <w:b w:val="0"/>
          <w:sz w:val="32"/>
        </w:rPr>
        <w:t>本单位无其他需说明的事项。</w:t>
      </w:r>
    </w:p>
    <w:p w14:paraId="4E9EB183">
      <w:r>
        <w:br w:type="page"/>
      </w:r>
    </w:p>
    <w:p w14:paraId="778A03AB">
      <w:pPr>
        <w:spacing w:line="240" w:lineRule="auto"/>
        <w:jc w:val="center"/>
        <w:outlineLvl w:val="1"/>
      </w:pPr>
      <w:r>
        <w:rPr>
          <w:rFonts w:ascii="黑体" w:hAnsi="黑体" w:eastAsia="黑体"/>
          <w:sz w:val="32"/>
        </w:rPr>
        <w:t>第三部分 专业名词解释</w:t>
      </w:r>
    </w:p>
    <w:p w14:paraId="6350AD4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49DA68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37F4FC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3FE500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2DCBF1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C873E0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D9B1BA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615773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B4F457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730A2C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1FAEF5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809E83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F6172A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892DA5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D26A5F8">
      <w:r>
        <w:br w:type="page"/>
      </w:r>
    </w:p>
    <w:p w14:paraId="1D3A01CB">
      <w:pPr>
        <w:spacing w:line="240" w:lineRule="auto"/>
        <w:jc w:val="center"/>
        <w:outlineLvl w:val="1"/>
      </w:pPr>
      <w:r>
        <w:rPr>
          <w:rFonts w:ascii="黑体" w:hAnsi="黑体" w:eastAsia="黑体"/>
          <w:sz w:val="32"/>
        </w:rPr>
        <w:t>第四部分 部门决算报表（见附表）</w:t>
      </w:r>
    </w:p>
    <w:p w14:paraId="71206677">
      <w:pPr>
        <w:spacing w:line="240" w:lineRule="auto"/>
        <w:ind w:firstLine="640"/>
        <w:jc w:val="both"/>
      </w:pPr>
      <w:r>
        <w:rPr>
          <w:rFonts w:ascii="仿宋_GB2312" w:hAnsi="仿宋_GB2312" w:eastAsia="仿宋_GB2312"/>
          <w:b w:val="0"/>
          <w:sz w:val="32"/>
        </w:rPr>
        <w:t>一、《收入支出决算总表》</w:t>
      </w:r>
    </w:p>
    <w:p w14:paraId="27C42400">
      <w:pPr>
        <w:spacing w:line="240" w:lineRule="auto"/>
        <w:ind w:firstLine="640"/>
        <w:jc w:val="both"/>
      </w:pPr>
      <w:r>
        <w:rPr>
          <w:rFonts w:ascii="仿宋_GB2312" w:hAnsi="仿宋_GB2312" w:eastAsia="仿宋_GB2312"/>
          <w:b w:val="0"/>
          <w:sz w:val="32"/>
        </w:rPr>
        <w:t>二、《收入决算表》</w:t>
      </w:r>
    </w:p>
    <w:p w14:paraId="53B1EABC">
      <w:pPr>
        <w:spacing w:line="240" w:lineRule="auto"/>
        <w:ind w:firstLine="640"/>
        <w:jc w:val="both"/>
      </w:pPr>
      <w:r>
        <w:rPr>
          <w:rFonts w:ascii="仿宋_GB2312" w:hAnsi="仿宋_GB2312" w:eastAsia="仿宋_GB2312"/>
          <w:b w:val="0"/>
          <w:sz w:val="32"/>
        </w:rPr>
        <w:t>三、《支出决算表》</w:t>
      </w:r>
    </w:p>
    <w:p w14:paraId="512B3A20">
      <w:pPr>
        <w:spacing w:line="240" w:lineRule="auto"/>
        <w:ind w:firstLine="640"/>
        <w:jc w:val="both"/>
      </w:pPr>
      <w:r>
        <w:rPr>
          <w:rFonts w:ascii="仿宋_GB2312" w:hAnsi="仿宋_GB2312" w:eastAsia="仿宋_GB2312"/>
          <w:b w:val="0"/>
          <w:sz w:val="32"/>
        </w:rPr>
        <w:t>四、《财政拨款收入支出决算总表》</w:t>
      </w:r>
    </w:p>
    <w:p w14:paraId="41285AD2">
      <w:pPr>
        <w:spacing w:line="240" w:lineRule="auto"/>
        <w:ind w:firstLine="640"/>
        <w:jc w:val="both"/>
      </w:pPr>
      <w:r>
        <w:rPr>
          <w:rFonts w:ascii="仿宋_GB2312" w:hAnsi="仿宋_GB2312" w:eastAsia="仿宋_GB2312"/>
          <w:b w:val="0"/>
          <w:sz w:val="32"/>
        </w:rPr>
        <w:t>五、《一般公共预算财政拨款支出决算表》</w:t>
      </w:r>
    </w:p>
    <w:p w14:paraId="6EBC1E6A">
      <w:pPr>
        <w:spacing w:line="240" w:lineRule="auto"/>
        <w:ind w:firstLine="640"/>
        <w:jc w:val="both"/>
      </w:pPr>
      <w:r>
        <w:rPr>
          <w:rFonts w:ascii="仿宋_GB2312" w:hAnsi="仿宋_GB2312" w:eastAsia="仿宋_GB2312"/>
          <w:b w:val="0"/>
          <w:sz w:val="32"/>
        </w:rPr>
        <w:t>六、《一般公共预算财政拨款基本支出决算表》</w:t>
      </w:r>
    </w:p>
    <w:p w14:paraId="0C9E0E77">
      <w:pPr>
        <w:spacing w:line="240" w:lineRule="auto"/>
        <w:ind w:firstLine="640"/>
        <w:jc w:val="both"/>
      </w:pPr>
      <w:r>
        <w:rPr>
          <w:rFonts w:ascii="仿宋_GB2312" w:hAnsi="仿宋_GB2312" w:eastAsia="仿宋_GB2312"/>
          <w:b w:val="0"/>
          <w:sz w:val="32"/>
        </w:rPr>
        <w:t>七、《政府性基金预算财政拨款收入支出决算表》</w:t>
      </w:r>
    </w:p>
    <w:p w14:paraId="2878733D">
      <w:pPr>
        <w:spacing w:line="240" w:lineRule="auto"/>
        <w:ind w:firstLine="640"/>
        <w:jc w:val="both"/>
      </w:pPr>
      <w:r>
        <w:rPr>
          <w:rFonts w:ascii="仿宋_GB2312" w:hAnsi="仿宋_GB2312" w:eastAsia="仿宋_GB2312"/>
          <w:b w:val="0"/>
          <w:sz w:val="32"/>
        </w:rPr>
        <w:t>八、《国有资本经营预算财政拨款收入支出决算表》</w:t>
      </w:r>
    </w:p>
    <w:p w14:paraId="397029EE">
      <w:pPr>
        <w:spacing w:line="240" w:lineRule="auto"/>
        <w:ind w:firstLine="640"/>
        <w:jc w:val="both"/>
      </w:pPr>
      <w:r>
        <w:rPr>
          <w:rFonts w:ascii="仿宋_GB2312" w:hAnsi="仿宋_GB2312" w:eastAsia="仿宋_GB2312"/>
          <w:b w:val="0"/>
          <w:sz w:val="32"/>
        </w:rPr>
        <w:t>九、《财政拨款“三公”经费支出决算表》</w:t>
      </w:r>
    </w:p>
    <w:p w14:paraId="72368840">
      <w:pPr>
        <w:spacing w:line="240" w:lineRule="auto"/>
        <w:ind w:firstLine="640"/>
        <w:jc w:val="both"/>
      </w:pPr>
    </w:p>
    <w:p w14:paraId="0861B4B5">
      <w:pPr>
        <w:spacing w:line="240" w:lineRule="auto"/>
        <w:ind w:firstLine="640"/>
        <w:jc w:val="both"/>
      </w:pPr>
    </w:p>
    <w:p w14:paraId="30106925">
      <w:pPr>
        <w:spacing w:line="240" w:lineRule="auto"/>
        <w:ind w:firstLine="640"/>
        <w:jc w:val="both"/>
      </w:pPr>
    </w:p>
    <w:p w14:paraId="6BA0F6E6">
      <w:pPr>
        <w:spacing w:line="240" w:lineRule="auto"/>
        <w:ind w:firstLine="640"/>
        <w:jc w:val="both"/>
      </w:pPr>
    </w:p>
    <w:p w14:paraId="393D62B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70CF602-30E2-4DAF-8928-D81227B451E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148F6D9-75F4-4658-95B1-CB4E128690C4}"/>
  </w:font>
  <w:font w:name="仿宋_GB2312">
    <w:panose1 w:val="02010609030101010101"/>
    <w:charset w:val="86"/>
    <w:family w:val="modern"/>
    <w:pitch w:val="default"/>
    <w:sig w:usb0="00000001" w:usb1="080E0000" w:usb2="00000000" w:usb3="00000000" w:csb0="00040000" w:csb1="00000000"/>
    <w:embedRegular r:id="rId3" w:fontKey="{EA81D174-0B11-42D0-8CFF-153B18AD5276}"/>
  </w:font>
  <w:font w:name="楷体_GB2312">
    <w:panose1 w:val="02010609030101010101"/>
    <w:charset w:val="86"/>
    <w:family w:val="auto"/>
    <w:pitch w:val="default"/>
    <w:sig w:usb0="00000001" w:usb1="080E0000" w:usb2="00000000" w:usb3="00000000" w:csb0="00040000" w:csb1="00000000"/>
    <w:embedRegular r:id="rId4" w:fontKey="{D80DA9D9-9A37-4010-B22D-15893E2F807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45C1F"/>
    <w:rsid w:val="20BC0B75"/>
    <w:rsid w:val="20DD6197"/>
    <w:rsid w:val="21F317F2"/>
    <w:rsid w:val="2241392C"/>
    <w:rsid w:val="23BC04D2"/>
    <w:rsid w:val="25275618"/>
    <w:rsid w:val="26AD1590"/>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BAF1928"/>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AA3205B"/>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4836</Words>
  <Characters>5519</Characters>
  <Lines>0</Lines>
  <Paragraphs>0</Paragraphs>
  <TotalTime>8</TotalTime>
  <ScaleCrop>false</ScaleCrop>
  <LinksUpToDate>false</LinksUpToDate>
  <CharactersWithSpaces>5527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2025-09-16T05:33:17Z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