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3E54E2"/>
    <w:p w14:paraId="243FC09D">
      <w:pPr>
        <w:pageBreakBefore w:val="0"/>
        <w:kinsoku/>
        <w:wordWrap/>
        <w:overflowPunct/>
        <w:topLinePunct w:val="0"/>
        <w:autoSpaceDE/>
        <w:autoSpaceDN/>
        <w:bidi w:val="0"/>
        <w:adjustRightInd/>
        <w:snapToGrid/>
        <w:spacing w:line="560" w:lineRule="exact"/>
        <w:ind w:firstLine="643" w:firstLineChars="200"/>
        <w:jc w:val="center"/>
        <w:textAlignment w:val="auto"/>
        <w:rPr>
          <w:rFonts w:ascii="宋体" w:hAnsi="宋体" w:eastAsia="宋体" w:cs="Arial"/>
          <w:b/>
          <w:bCs/>
          <w:color w:val="auto"/>
          <w:sz w:val="32"/>
          <w:szCs w:val="32"/>
          <w:highlight w:val="none"/>
        </w:rPr>
      </w:pPr>
    </w:p>
    <w:p w14:paraId="4760227C">
      <w:pPr>
        <w:pageBreakBefore w:val="0"/>
        <w:kinsoku/>
        <w:wordWrap/>
        <w:overflowPunct/>
        <w:topLinePunct w:val="0"/>
        <w:autoSpaceDE/>
        <w:autoSpaceDN/>
        <w:bidi w:val="0"/>
        <w:adjustRightInd/>
        <w:snapToGrid/>
        <w:spacing w:line="560" w:lineRule="exact"/>
        <w:ind w:firstLine="643" w:firstLineChars="200"/>
        <w:jc w:val="center"/>
        <w:textAlignment w:val="auto"/>
        <w:rPr>
          <w:rFonts w:ascii="宋体" w:hAnsi="宋体" w:eastAsia="宋体" w:cs="Arial"/>
          <w:b/>
          <w:bCs/>
          <w:color w:val="auto"/>
          <w:sz w:val="32"/>
          <w:szCs w:val="32"/>
          <w:highlight w:val="none"/>
        </w:rPr>
      </w:pPr>
    </w:p>
    <w:p w14:paraId="0B123F44">
      <w:pPr>
        <w:pageBreakBefore w:val="0"/>
        <w:kinsoku/>
        <w:wordWrap/>
        <w:overflowPunct/>
        <w:topLinePunct w:val="0"/>
        <w:autoSpaceDE/>
        <w:autoSpaceDN/>
        <w:bidi w:val="0"/>
        <w:adjustRightInd/>
        <w:snapToGrid/>
        <w:spacing w:line="560" w:lineRule="exact"/>
        <w:ind w:firstLine="643" w:firstLineChars="200"/>
        <w:jc w:val="center"/>
        <w:textAlignment w:val="auto"/>
        <w:rPr>
          <w:rFonts w:ascii="宋体" w:hAnsi="宋体" w:eastAsia="宋体" w:cs="Arial"/>
          <w:b/>
          <w:bCs/>
          <w:color w:val="auto"/>
          <w:sz w:val="32"/>
          <w:szCs w:val="32"/>
          <w:highlight w:val="none"/>
        </w:rPr>
      </w:pPr>
    </w:p>
    <w:p w14:paraId="1EAE43CC">
      <w:pPr>
        <w:pageBreakBefore w:val="0"/>
        <w:kinsoku/>
        <w:wordWrap/>
        <w:overflowPunct/>
        <w:topLinePunct w:val="0"/>
        <w:autoSpaceDE/>
        <w:autoSpaceDN/>
        <w:bidi w:val="0"/>
        <w:adjustRightInd/>
        <w:snapToGrid/>
        <w:spacing w:line="560" w:lineRule="exact"/>
        <w:ind w:firstLine="964" w:firstLineChars="200"/>
        <w:jc w:val="center"/>
        <w:textAlignment w:val="auto"/>
        <w:rPr>
          <w:rFonts w:ascii="宋体" w:hAnsi="宋体" w:eastAsia="宋体" w:cs="Arial"/>
          <w:b/>
          <w:bCs/>
          <w:color w:val="auto"/>
          <w:sz w:val="48"/>
          <w:szCs w:val="48"/>
          <w:highlight w:val="none"/>
        </w:rPr>
      </w:pPr>
      <w:r>
        <w:rPr>
          <w:rFonts w:hint="eastAsia" w:ascii="宋体" w:hAnsi="宋体" w:eastAsia="宋体" w:cs="Arial"/>
          <w:b/>
          <w:bCs/>
          <w:color w:val="auto"/>
          <w:sz w:val="48"/>
          <w:szCs w:val="48"/>
          <w:highlight w:val="none"/>
        </w:rPr>
        <w:t>项目支出绩效评价报告</w:t>
      </w:r>
    </w:p>
    <w:p w14:paraId="4B659A18">
      <w:pPr>
        <w:pageBreakBefore w:val="0"/>
        <w:kinsoku/>
        <w:wordWrap/>
        <w:overflowPunct/>
        <w:topLinePunct w:val="0"/>
        <w:autoSpaceDE/>
        <w:autoSpaceDN/>
        <w:bidi w:val="0"/>
        <w:adjustRightInd/>
        <w:snapToGrid/>
        <w:spacing w:line="560" w:lineRule="exact"/>
        <w:ind w:firstLine="643" w:firstLineChars="200"/>
        <w:jc w:val="center"/>
        <w:textAlignment w:val="auto"/>
        <w:rPr>
          <w:rFonts w:ascii="宋体" w:hAnsi="宋体" w:eastAsia="宋体" w:cs="Arial"/>
          <w:b/>
          <w:bCs/>
          <w:color w:val="auto"/>
          <w:sz w:val="32"/>
          <w:szCs w:val="32"/>
          <w:highlight w:val="none"/>
        </w:rPr>
      </w:pPr>
    </w:p>
    <w:p w14:paraId="0E99D897">
      <w:pPr>
        <w:pageBreakBefore w:val="0"/>
        <w:widowControl/>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r>
        <w:rPr>
          <w:rFonts w:hint="eastAsia" w:ascii="红豆小标宋简体" w:hAnsi="红豆小标宋简体" w:eastAsia="红豆小标宋简体" w:cs="红豆小标宋简体"/>
          <w:color w:val="auto"/>
          <w:kern w:val="0"/>
          <w:sz w:val="32"/>
          <w:szCs w:val="32"/>
          <w:highlight w:val="none"/>
        </w:rPr>
        <w:t>（2</w:t>
      </w:r>
      <w:r>
        <w:rPr>
          <w:rFonts w:ascii="红豆小标宋简体" w:hAnsi="红豆小标宋简体" w:eastAsia="红豆小标宋简体" w:cs="红豆小标宋简体"/>
          <w:color w:val="auto"/>
          <w:kern w:val="0"/>
          <w:sz w:val="32"/>
          <w:szCs w:val="32"/>
          <w:highlight w:val="none"/>
        </w:rPr>
        <w:t>02</w:t>
      </w:r>
      <w:r>
        <w:rPr>
          <w:rFonts w:hint="eastAsia" w:ascii="红豆小标宋简体" w:hAnsi="红豆小标宋简体" w:eastAsia="红豆小标宋简体" w:cs="红豆小标宋简体"/>
          <w:color w:val="auto"/>
          <w:kern w:val="0"/>
          <w:sz w:val="32"/>
          <w:szCs w:val="32"/>
          <w:highlight w:val="none"/>
          <w:lang w:val="en-US" w:eastAsia="zh-CN"/>
        </w:rPr>
        <w:t>4</w:t>
      </w:r>
      <w:r>
        <w:rPr>
          <w:rFonts w:hint="eastAsia" w:ascii="红豆小标宋简体" w:hAnsi="红豆小标宋简体" w:eastAsia="红豆小标宋简体" w:cs="红豆小标宋简体"/>
          <w:color w:val="auto"/>
          <w:kern w:val="0"/>
          <w:sz w:val="32"/>
          <w:szCs w:val="32"/>
          <w:highlight w:val="none"/>
        </w:rPr>
        <w:t>年度）</w:t>
      </w:r>
    </w:p>
    <w:p w14:paraId="22DC3FEC">
      <w:pPr>
        <w:pageBreakBefore w:val="0"/>
        <w:kinsoku/>
        <w:wordWrap/>
        <w:overflowPunct/>
        <w:topLinePunct w:val="0"/>
        <w:autoSpaceDE/>
        <w:autoSpaceDN/>
        <w:bidi w:val="0"/>
        <w:adjustRightInd/>
        <w:snapToGrid/>
        <w:spacing w:line="560" w:lineRule="exact"/>
        <w:ind w:firstLine="643" w:firstLineChars="200"/>
        <w:jc w:val="center"/>
        <w:textAlignment w:val="auto"/>
        <w:rPr>
          <w:rFonts w:ascii="仿宋_GB2312" w:hAnsi="仿宋_GB2312" w:cs="仿宋_GB2312"/>
          <w:b/>
          <w:color w:val="auto"/>
          <w:kern w:val="0"/>
          <w:sz w:val="32"/>
          <w:szCs w:val="32"/>
          <w:highlight w:val="none"/>
          <w:lang w:bidi="en-US"/>
        </w:rPr>
      </w:pPr>
    </w:p>
    <w:p w14:paraId="5916BEE2">
      <w:pPr>
        <w:pageBreakBefore w:val="0"/>
        <w:kinsoku/>
        <w:wordWrap/>
        <w:overflowPunct/>
        <w:topLinePunct w:val="0"/>
        <w:autoSpaceDE/>
        <w:autoSpaceDN/>
        <w:bidi w:val="0"/>
        <w:adjustRightInd/>
        <w:snapToGrid/>
        <w:spacing w:line="560" w:lineRule="exact"/>
        <w:ind w:firstLine="643" w:firstLineChars="200"/>
        <w:jc w:val="center"/>
        <w:textAlignment w:val="auto"/>
        <w:rPr>
          <w:rFonts w:ascii="仿宋_GB2312" w:hAnsi="仿宋_GB2312" w:cs="仿宋_GB2312"/>
          <w:b/>
          <w:color w:val="auto"/>
          <w:kern w:val="0"/>
          <w:sz w:val="32"/>
          <w:szCs w:val="32"/>
          <w:highlight w:val="none"/>
          <w:lang w:bidi="en-US"/>
        </w:rPr>
      </w:pPr>
    </w:p>
    <w:p w14:paraId="55C791AD">
      <w:pPr>
        <w:pageBreakBefore w:val="0"/>
        <w:kinsoku/>
        <w:wordWrap/>
        <w:overflowPunct/>
        <w:topLinePunct w:val="0"/>
        <w:autoSpaceDE/>
        <w:autoSpaceDN/>
        <w:bidi w:val="0"/>
        <w:adjustRightInd/>
        <w:snapToGrid/>
        <w:spacing w:line="560" w:lineRule="exact"/>
        <w:ind w:firstLine="643" w:firstLineChars="200"/>
        <w:jc w:val="center"/>
        <w:textAlignment w:val="auto"/>
        <w:rPr>
          <w:rFonts w:ascii="仿宋_GB2312" w:hAnsi="仿宋_GB2312" w:cs="仿宋_GB2312"/>
          <w:b/>
          <w:color w:val="auto"/>
          <w:kern w:val="0"/>
          <w:sz w:val="32"/>
          <w:szCs w:val="32"/>
          <w:highlight w:val="none"/>
          <w:lang w:bidi="en-US"/>
        </w:rPr>
      </w:pPr>
    </w:p>
    <w:p w14:paraId="4C54EE23">
      <w:pPr>
        <w:pStyle w:val="4"/>
        <w:rPr>
          <w:rFonts w:ascii="仿宋_GB2312" w:hAnsi="仿宋_GB2312" w:cs="仿宋_GB2312"/>
          <w:b/>
          <w:color w:val="auto"/>
          <w:kern w:val="0"/>
          <w:sz w:val="32"/>
          <w:szCs w:val="32"/>
          <w:highlight w:val="none"/>
          <w:lang w:bidi="en-US"/>
        </w:rPr>
      </w:pPr>
    </w:p>
    <w:p w14:paraId="0179C7FB">
      <w:pPr>
        <w:rPr>
          <w:rFonts w:ascii="仿宋_GB2312" w:hAnsi="仿宋_GB2312" w:cs="仿宋_GB2312"/>
          <w:b/>
          <w:color w:val="auto"/>
          <w:kern w:val="0"/>
          <w:sz w:val="32"/>
          <w:szCs w:val="32"/>
          <w:highlight w:val="none"/>
          <w:lang w:bidi="en-US"/>
        </w:rPr>
      </w:pPr>
    </w:p>
    <w:p w14:paraId="3F8FE0A9">
      <w:pPr>
        <w:pStyle w:val="4"/>
        <w:rPr>
          <w:rFonts w:ascii="仿宋_GB2312" w:hAnsi="仿宋_GB2312" w:cs="仿宋_GB2312"/>
          <w:b/>
          <w:color w:val="auto"/>
          <w:kern w:val="0"/>
          <w:sz w:val="32"/>
          <w:szCs w:val="32"/>
          <w:highlight w:val="none"/>
          <w:lang w:bidi="en-US"/>
        </w:rPr>
      </w:pPr>
    </w:p>
    <w:p w14:paraId="1FC9AC03">
      <w:pPr>
        <w:rPr>
          <w:color w:val="auto"/>
          <w:highlight w:val="none"/>
        </w:rPr>
      </w:pPr>
    </w:p>
    <w:p w14:paraId="403D9EDB">
      <w:pPr>
        <w:pageBreakBefore w:val="0"/>
        <w:kinsoku/>
        <w:wordWrap/>
        <w:overflowPunct/>
        <w:topLinePunct w:val="0"/>
        <w:autoSpaceDE/>
        <w:autoSpaceDN/>
        <w:bidi w:val="0"/>
        <w:adjustRightInd/>
        <w:snapToGrid/>
        <w:spacing w:line="560" w:lineRule="exact"/>
        <w:ind w:firstLine="643" w:firstLineChars="200"/>
        <w:jc w:val="center"/>
        <w:textAlignment w:val="auto"/>
        <w:rPr>
          <w:rFonts w:ascii="仿宋_GB2312" w:hAnsi="仿宋_GB2312" w:cs="仿宋_GB2312"/>
          <w:b/>
          <w:color w:val="auto"/>
          <w:kern w:val="0"/>
          <w:sz w:val="32"/>
          <w:szCs w:val="32"/>
          <w:highlight w:val="none"/>
          <w:lang w:bidi="en-US"/>
        </w:rPr>
      </w:pPr>
    </w:p>
    <w:p w14:paraId="67B5CE68">
      <w:pPr>
        <w:pageBreakBefore w:val="0"/>
        <w:kinsoku/>
        <w:wordWrap/>
        <w:overflowPunct/>
        <w:topLinePunct w:val="0"/>
        <w:autoSpaceDE/>
        <w:autoSpaceDN/>
        <w:bidi w:val="0"/>
        <w:adjustRightInd/>
        <w:snapToGrid/>
        <w:spacing w:line="560" w:lineRule="exact"/>
        <w:ind w:firstLine="643" w:firstLineChars="200"/>
        <w:jc w:val="center"/>
        <w:textAlignment w:val="auto"/>
        <w:rPr>
          <w:rFonts w:ascii="仿宋_GB2312" w:hAnsi="仿宋_GB2312" w:cs="仿宋_GB2312"/>
          <w:b/>
          <w:color w:val="auto"/>
          <w:kern w:val="0"/>
          <w:sz w:val="32"/>
          <w:szCs w:val="32"/>
          <w:highlight w:val="none"/>
          <w:lang w:bidi="en-US"/>
        </w:rPr>
      </w:pPr>
    </w:p>
    <w:p w14:paraId="2A7CA358">
      <w:pPr>
        <w:pageBreakBefore w:val="0"/>
        <w:kinsoku/>
        <w:wordWrap/>
        <w:overflowPunct/>
        <w:topLinePunct w:val="0"/>
        <w:autoSpaceDE/>
        <w:autoSpaceDN/>
        <w:bidi w:val="0"/>
        <w:adjustRightInd/>
        <w:snapToGrid/>
        <w:spacing w:line="560" w:lineRule="exact"/>
        <w:ind w:left="2242" w:leftChars="212" w:hanging="1606" w:hangingChars="500"/>
        <w:textAlignment w:val="auto"/>
        <w:rPr>
          <w:rFonts w:ascii="宋体" w:hAnsi="宋体" w:eastAsia="宋体" w:cs="宋体"/>
          <w:color w:val="auto"/>
          <w:kern w:val="0"/>
          <w:sz w:val="32"/>
          <w:szCs w:val="32"/>
          <w:highlight w:val="none"/>
        </w:rPr>
      </w:pPr>
      <w:r>
        <w:rPr>
          <w:rFonts w:hint="eastAsia" w:ascii="宋体" w:hAnsi="宋体" w:eastAsia="宋体" w:cs="仿宋_GB2312"/>
          <w:b/>
          <w:bCs/>
          <w:color w:val="auto"/>
          <w:kern w:val="0"/>
          <w:sz w:val="32"/>
          <w:szCs w:val="32"/>
          <w:highlight w:val="none"/>
        </w:rPr>
        <w:t>项目名称：特定目标类项目-保基本民生项目-城乡居民基本医疗保险</w:t>
      </w:r>
    </w:p>
    <w:p w14:paraId="1F33B50B">
      <w:pPr>
        <w:pageBreakBefore w:val="0"/>
        <w:kinsoku/>
        <w:wordWrap/>
        <w:overflowPunct/>
        <w:topLinePunct w:val="0"/>
        <w:autoSpaceDE/>
        <w:autoSpaceDN/>
        <w:bidi w:val="0"/>
        <w:adjustRightInd/>
        <w:snapToGrid/>
        <w:spacing w:line="560" w:lineRule="exact"/>
        <w:ind w:firstLine="643" w:firstLineChars="200"/>
        <w:textAlignment w:val="auto"/>
        <w:rPr>
          <w:rFonts w:hint="eastAsia" w:ascii="宋体" w:hAnsi="宋体" w:eastAsia="宋体" w:cs="宋体"/>
          <w:color w:val="auto"/>
          <w:kern w:val="0"/>
          <w:sz w:val="32"/>
          <w:szCs w:val="32"/>
          <w:highlight w:val="none"/>
          <w:lang w:eastAsia="zh-CN"/>
        </w:rPr>
      </w:pPr>
      <w:r>
        <w:rPr>
          <w:rFonts w:hint="eastAsia" w:ascii="宋体" w:hAnsi="宋体" w:eastAsia="宋体" w:cs="仿宋_GB2312"/>
          <w:b/>
          <w:bCs/>
          <w:color w:val="auto"/>
          <w:kern w:val="0"/>
          <w:sz w:val="32"/>
          <w:szCs w:val="32"/>
          <w:highlight w:val="none"/>
        </w:rPr>
        <w:t>实施单位（公章）：</w:t>
      </w:r>
      <w:r>
        <w:rPr>
          <w:rFonts w:hint="eastAsia" w:ascii="宋体" w:hAnsi="宋体" w:eastAsia="宋体" w:cs="仿宋_GB2312"/>
          <w:b/>
          <w:bCs/>
          <w:color w:val="auto"/>
          <w:kern w:val="0"/>
          <w:sz w:val="32"/>
          <w:szCs w:val="32"/>
          <w:highlight w:val="none"/>
          <w:lang w:eastAsia="zh-CN"/>
        </w:rPr>
        <w:t>轮台县医疗保障局</w:t>
      </w:r>
    </w:p>
    <w:p w14:paraId="75FC1C82">
      <w:pPr>
        <w:pageBreakBefore w:val="0"/>
        <w:kinsoku/>
        <w:wordWrap/>
        <w:overflowPunct/>
        <w:topLinePunct w:val="0"/>
        <w:autoSpaceDE/>
        <w:autoSpaceDN/>
        <w:bidi w:val="0"/>
        <w:adjustRightInd/>
        <w:snapToGrid/>
        <w:spacing w:line="560" w:lineRule="exact"/>
        <w:ind w:firstLine="643" w:firstLineChars="200"/>
        <w:textAlignment w:val="auto"/>
        <w:rPr>
          <w:rFonts w:ascii="宋体" w:hAnsi="宋体" w:eastAsia="宋体" w:cs="宋体"/>
          <w:color w:val="auto"/>
          <w:kern w:val="0"/>
          <w:sz w:val="32"/>
          <w:szCs w:val="32"/>
          <w:highlight w:val="none"/>
        </w:rPr>
      </w:pPr>
      <w:r>
        <w:rPr>
          <w:rFonts w:hint="eastAsia" w:ascii="宋体" w:hAnsi="宋体" w:eastAsia="宋体" w:cs="仿宋_GB2312"/>
          <w:b/>
          <w:bCs/>
          <w:color w:val="auto"/>
          <w:kern w:val="0"/>
          <w:sz w:val="32"/>
          <w:szCs w:val="32"/>
          <w:highlight w:val="none"/>
        </w:rPr>
        <w:t>主管部门（公章）：</w:t>
      </w:r>
      <w:r>
        <w:rPr>
          <w:rFonts w:hint="eastAsia" w:ascii="宋体" w:hAnsi="宋体" w:eastAsia="宋体" w:cs="仿宋_GB2312"/>
          <w:b/>
          <w:bCs/>
          <w:color w:val="auto"/>
          <w:kern w:val="0"/>
          <w:sz w:val="32"/>
          <w:szCs w:val="32"/>
          <w:highlight w:val="none"/>
          <w:lang w:eastAsia="zh-CN"/>
        </w:rPr>
        <w:t>轮台县医疗保障局</w:t>
      </w:r>
    </w:p>
    <w:p w14:paraId="5541706C">
      <w:pPr>
        <w:pageBreakBefore w:val="0"/>
        <w:kinsoku/>
        <w:wordWrap/>
        <w:overflowPunct/>
        <w:topLinePunct w:val="0"/>
        <w:autoSpaceDE/>
        <w:autoSpaceDN/>
        <w:bidi w:val="0"/>
        <w:adjustRightInd/>
        <w:snapToGrid/>
        <w:spacing w:line="560" w:lineRule="exact"/>
        <w:ind w:firstLine="643" w:firstLineChars="200"/>
        <w:textAlignment w:val="auto"/>
        <w:rPr>
          <w:rFonts w:ascii="宋体" w:hAnsi="宋体" w:eastAsia="宋体" w:cs="宋体"/>
          <w:color w:val="auto"/>
          <w:kern w:val="0"/>
          <w:sz w:val="32"/>
          <w:szCs w:val="32"/>
          <w:highlight w:val="none"/>
        </w:rPr>
      </w:pPr>
      <w:r>
        <w:rPr>
          <w:rFonts w:hint="eastAsia" w:ascii="宋体" w:hAnsi="宋体" w:eastAsia="宋体" w:cs="仿宋_GB2312"/>
          <w:b/>
          <w:bCs/>
          <w:color w:val="auto"/>
          <w:kern w:val="0"/>
          <w:sz w:val="32"/>
          <w:szCs w:val="32"/>
          <w:highlight w:val="none"/>
        </w:rPr>
        <w:t>项目负责人（签章）：迪丽拜尔·帕尔哈提</w:t>
      </w:r>
    </w:p>
    <w:p w14:paraId="02FBD26D">
      <w:pPr>
        <w:pageBreakBefore w:val="0"/>
        <w:kinsoku/>
        <w:wordWrap/>
        <w:overflowPunct/>
        <w:topLinePunct w:val="0"/>
        <w:autoSpaceDE/>
        <w:autoSpaceDN/>
        <w:bidi w:val="0"/>
        <w:adjustRightInd/>
        <w:snapToGrid/>
        <w:spacing w:line="560" w:lineRule="exact"/>
        <w:ind w:firstLine="643" w:firstLineChars="200"/>
        <w:textAlignment w:val="auto"/>
        <w:rPr>
          <w:rFonts w:ascii="宋体" w:hAnsi="宋体" w:eastAsia="宋体" w:cs="仿宋_GB2312"/>
          <w:color w:val="auto"/>
          <w:kern w:val="0"/>
          <w:sz w:val="32"/>
          <w:szCs w:val="32"/>
          <w:highlight w:val="none"/>
        </w:rPr>
      </w:pPr>
      <w:r>
        <w:rPr>
          <w:rFonts w:hint="eastAsia" w:ascii="宋体" w:hAnsi="宋体" w:eastAsia="宋体" w:cs="仿宋_GB2312"/>
          <w:b/>
          <w:bCs/>
          <w:color w:val="auto"/>
          <w:kern w:val="0"/>
          <w:sz w:val="32"/>
          <w:szCs w:val="32"/>
          <w:highlight w:val="none"/>
        </w:rPr>
        <w:t>填报时间：202</w:t>
      </w:r>
      <w:r>
        <w:rPr>
          <w:rFonts w:hint="eastAsia" w:ascii="宋体" w:hAnsi="宋体" w:eastAsia="宋体" w:cs="仿宋_GB2312"/>
          <w:b/>
          <w:bCs/>
          <w:color w:val="auto"/>
          <w:kern w:val="0"/>
          <w:sz w:val="32"/>
          <w:szCs w:val="32"/>
          <w:highlight w:val="none"/>
          <w:lang w:val="en-US" w:eastAsia="zh-CN"/>
        </w:rPr>
        <w:t>5</w:t>
      </w:r>
      <w:r>
        <w:rPr>
          <w:rFonts w:hint="eastAsia" w:ascii="宋体" w:hAnsi="宋体" w:eastAsia="宋体" w:cs="仿宋_GB2312"/>
          <w:b/>
          <w:bCs/>
          <w:color w:val="auto"/>
          <w:kern w:val="0"/>
          <w:sz w:val="32"/>
          <w:szCs w:val="32"/>
          <w:highlight w:val="none"/>
        </w:rPr>
        <w:t>年</w:t>
      </w:r>
      <w:r>
        <w:rPr>
          <w:rFonts w:hint="eastAsia" w:ascii="宋体" w:hAnsi="宋体" w:eastAsia="宋体" w:cs="仿宋_GB2312"/>
          <w:b/>
          <w:bCs/>
          <w:color w:val="auto"/>
          <w:kern w:val="0"/>
          <w:sz w:val="32"/>
          <w:szCs w:val="32"/>
          <w:highlight w:val="none"/>
          <w:lang w:val="en-US" w:eastAsia="zh-CN"/>
        </w:rPr>
        <w:t>03</w:t>
      </w:r>
      <w:r>
        <w:rPr>
          <w:rFonts w:hint="eastAsia" w:ascii="宋体" w:hAnsi="宋体" w:eastAsia="宋体" w:cs="仿宋_GB2312"/>
          <w:b/>
          <w:bCs/>
          <w:color w:val="auto"/>
          <w:kern w:val="0"/>
          <w:sz w:val="32"/>
          <w:szCs w:val="32"/>
          <w:highlight w:val="none"/>
        </w:rPr>
        <w:t>月</w:t>
      </w:r>
      <w:r>
        <w:rPr>
          <w:rFonts w:hint="eastAsia" w:ascii="宋体" w:hAnsi="宋体" w:eastAsia="宋体" w:cs="仿宋_GB2312"/>
          <w:b/>
          <w:bCs/>
          <w:color w:val="auto"/>
          <w:kern w:val="0"/>
          <w:sz w:val="32"/>
          <w:szCs w:val="32"/>
          <w:highlight w:val="none"/>
          <w:lang w:val="en-US" w:eastAsia="zh-CN"/>
        </w:rPr>
        <w:t>25</w:t>
      </w:r>
      <w:r>
        <w:rPr>
          <w:rFonts w:hint="eastAsia" w:ascii="宋体" w:hAnsi="宋体" w:eastAsia="宋体" w:cs="仿宋_GB2312"/>
          <w:b/>
          <w:bCs/>
          <w:color w:val="auto"/>
          <w:kern w:val="0"/>
          <w:sz w:val="32"/>
          <w:szCs w:val="32"/>
          <w:highlight w:val="none"/>
        </w:rPr>
        <w:t>日</w:t>
      </w:r>
    </w:p>
    <w:p w14:paraId="4D956F55">
      <w:pPr>
        <w:pageBreakBefore w:val="0"/>
        <w:widowControl/>
        <w:kinsoku/>
        <w:wordWrap/>
        <w:overflowPunct/>
        <w:topLinePunct w:val="0"/>
        <w:autoSpaceDE/>
        <w:autoSpaceDN/>
        <w:bidi w:val="0"/>
        <w:adjustRightInd/>
        <w:snapToGrid/>
        <w:spacing w:line="560" w:lineRule="exact"/>
        <w:ind w:firstLine="600" w:firstLineChars="200"/>
        <w:jc w:val="left"/>
        <w:textAlignment w:val="auto"/>
        <w:rPr>
          <w:rFonts w:ascii="宋体" w:hAnsi="宋体" w:eastAsia="宋体" w:cs="Arial"/>
          <w:b/>
          <w:bCs/>
          <w:color w:val="auto"/>
          <w:sz w:val="32"/>
          <w:szCs w:val="32"/>
          <w:highlight w:val="none"/>
        </w:rPr>
      </w:pPr>
      <w:r>
        <w:br w:type="page"/>
      </w:r>
    </w:p>
    <w:p w14:paraId="467086CD">
      <w:pPr>
        <w:pageBreakBefore w:val="0"/>
        <w:kinsoku/>
        <w:wordWrap/>
        <w:overflowPunct/>
        <w:topLinePunct w:val="0"/>
        <w:autoSpaceDE/>
        <w:autoSpaceDN/>
        <w:bidi w:val="0"/>
        <w:adjustRightInd/>
        <w:snapToGrid/>
        <w:spacing w:line="560" w:lineRule="exact"/>
        <w:ind w:firstLine="883" w:firstLineChars="200"/>
        <w:jc w:val="center"/>
        <w:textAlignment w:val="auto"/>
        <w:rPr>
          <w:rFonts w:ascii="Arial" w:hAnsi="Arial" w:eastAsia="宋体" w:cs="Arial"/>
          <w:b/>
          <w:bCs/>
          <w:color w:val="auto"/>
          <w:sz w:val="44"/>
          <w:szCs w:val="44"/>
          <w:highlight w:val="none"/>
        </w:rPr>
      </w:pPr>
      <w:r>
        <w:rPr>
          <w:rFonts w:hint="eastAsia" w:ascii="宋体" w:hAnsi="宋体" w:eastAsia="宋体" w:cs="Arial"/>
          <w:b/>
          <w:bCs/>
          <w:color w:val="auto"/>
          <w:sz w:val="44"/>
          <w:szCs w:val="44"/>
          <w:highlight w:val="none"/>
        </w:rPr>
        <w:t>项目支出</w:t>
      </w:r>
      <w:r>
        <w:rPr>
          <w:rFonts w:ascii="宋体" w:hAnsi="宋体" w:eastAsia="宋体" w:cs="Arial"/>
          <w:b/>
          <w:bCs/>
          <w:color w:val="auto"/>
          <w:sz w:val="44"/>
          <w:szCs w:val="44"/>
          <w:highlight w:val="none"/>
        </w:rPr>
        <w:t>绩效</w:t>
      </w:r>
      <w:r>
        <w:rPr>
          <w:rFonts w:hint="eastAsia" w:ascii="宋体" w:hAnsi="宋体" w:eastAsia="宋体" w:cs="Arial"/>
          <w:b/>
          <w:bCs/>
          <w:color w:val="auto"/>
          <w:sz w:val="44"/>
          <w:szCs w:val="44"/>
          <w:highlight w:val="none"/>
        </w:rPr>
        <w:t>评价报告</w:t>
      </w:r>
    </w:p>
    <w:p w14:paraId="2F0C2DE3">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highlight w:val="none"/>
        </w:rPr>
      </w:pPr>
      <w:bookmarkStart w:id="0" w:name="_Toc68703827"/>
      <w:r>
        <w:rPr>
          <w:rFonts w:hint="eastAsia" w:ascii="宋体" w:hAnsi="宋体" w:eastAsia="宋体"/>
          <w:color w:val="auto"/>
          <w:sz w:val="32"/>
          <w:szCs w:val="32"/>
          <w:highlight w:val="none"/>
        </w:rPr>
        <w:t>一、基本情况</w:t>
      </w:r>
      <w:bookmarkEnd w:id="0"/>
    </w:p>
    <w:p w14:paraId="4FDC503F">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val="0"/>
          <w:bCs w:val="0"/>
          <w:color w:val="auto"/>
          <w:sz w:val="32"/>
          <w:szCs w:val="32"/>
          <w:highlight w:val="none"/>
        </w:rPr>
      </w:pPr>
      <w:bookmarkStart w:id="1" w:name="_Toc68703828"/>
      <w:r>
        <w:rPr>
          <w:rFonts w:hint="eastAsia" w:ascii="仿宋_GB2312" w:eastAsia="仿宋_GB2312"/>
          <w:b/>
          <w:bCs/>
          <w:color w:val="auto"/>
          <w:sz w:val="32"/>
          <w:szCs w:val="32"/>
          <w:highlight w:val="none"/>
        </w:rPr>
        <w:t>（一）项目概况</w:t>
      </w:r>
      <w:r>
        <w:rPr>
          <w:rFonts w:hint="eastAsia" w:ascii="仿宋_GB2312" w:eastAsia="仿宋_GB2312"/>
          <w:b w:val="0"/>
          <w:bCs w:val="0"/>
          <w:color w:val="auto"/>
          <w:sz w:val="32"/>
          <w:szCs w:val="32"/>
          <w:highlight w:val="none"/>
        </w:rPr>
        <w:t>。</w:t>
      </w:r>
      <w:bookmarkEnd w:id="1"/>
    </w:p>
    <w:p w14:paraId="62B7832C">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b/>
          <w:bCs/>
          <w:color w:val="auto"/>
          <w:sz w:val="32"/>
          <w:szCs w:val="32"/>
          <w:highlight w:val="none"/>
        </w:rPr>
      </w:pPr>
      <w:r>
        <w:rPr>
          <w:rFonts w:hint="eastAsia" w:ascii="仿宋_GB2312"/>
          <w:b/>
          <w:bCs/>
          <w:color w:val="auto"/>
          <w:sz w:val="32"/>
          <w:szCs w:val="32"/>
          <w:highlight w:val="none"/>
          <w:lang w:val="en-US" w:eastAsia="zh-CN"/>
        </w:rPr>
        <w:t>1.</w:t>
      </w:r>
      <w:r>
        <w:rPr>
          <w:rFonts w:hint="eastAsia" w:ascii="仿宋_GB2312"/>
          <w:b/>
          <w:bCs/>
          <w:color w:val="auto"/>
          <w:sz w:val="32"/>
          <w:szCs w:val="32"/>
          <w:highlight w:val="none"/>
        </w:rPr>
        <w:t>项目背景，主要内容及实施情况</w:t>
      </w:r>
    </w:p>
    <w:p w14:paraId="6E6FDBCD">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color w:val="auto"/>
          <w:sz w:val="32"/>
          <w:szCs w:val="32"/>
          <w:highlight w:val="none"/>
          <w:lang w:eastAsia="zh-CN"/>
        </w:rPr>
      </w:pPr>
      <w:r>
        <w:rPr>
          <w:rFonts w:hint="eastAsia" w:ascii="仿宋_GB2312"/>
          <w:color w:val="auto"/>
          <w:sz w:val="32"/>
          <w:szCs w:val="32"/>
          <w:highlight w:val="none"/>
        </w:rPr>
        <w:t>（1）</w:t>
      </w:r>
      <w:bookmarkStart w:id="2" w:name="OLE_LINK1"/>
      <w:r>
        <w:rPr>
          <w:rFonts w:hint="eastAsia" w:ascii="仿宋_GB2312"/>
          <w:color w:val="auto"/>
          <w:sz w:val="32"/>
          <w:szCs w:val="32"/>
          <w:highlight w:val="none"/>
        </w:rPr>
        <w:t>项目背景</w:t>
      </w:r>
      <w:bookmarkEnd w:id="2"/>
      <w:r>
        <w:rPr>
          <w:rFonts w:hint="eastAsia" w:ascii="仿宋_GB2312"/>
          <w:color w:val="auto"/>
          <w:sz w:val="32"/>
          <w:szCs w:val="32"/>
          <w:highlight w:val="none"/>
          <w:lang w:eastAsia="zh-CN"/>
        </w:rPr>
        <w:t>：</w:t>
      </w:r>
    </w:p>
    <w:p w14:paraId="0C1137E6">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color w:val="auto"/>
          <w:sz w:val="32"/>
          <w:szCs w:val="32"/>
          <w:highlight w:val="none"/>
        </w:rPr>
        <w:t>城乡居民基本医疗保险是贯彻落实《“健康中国2030”规划纲要》《中共中央 国务院关于深化医疗保障制度改革的意见》的核心举措。国家明确提出建立覆盖全民、城乡统筹、权责清晰、保障适度、可持续的多层次医疗保障体系，将城乡居民医保作为托底性制度安排，旨在解决城乡居民“病有所医”问题，筑牢民生保障底线。城乡居民基本医疗保险作为“保基本民生”的关键项目，是政府履行公共服务职能的重要体现。通过项目实施，旨在实现全民医疗保障覆盖，降低群众疾病经济风险，促进社会公平，助力构建多层次医疗保障体系，为推进健康中国建设提供坚实支撑</w:t>
      </w:r>
      <w:r>
        <w:rPr>
          <w:rFonts w:hint="eastAsia" w:ascii="仿宋_GB2312"/>
          <w:color w:val="auto"/>
          <w:sz w:val="32"/>
          <w:szCs w:val="32"/>
          <w:highlight w:val="none"/>
          <w:lang w:eastAsia="zh-CN"/>
        </w:rPr>
        <w:t>。</w:t>
      </w:r>
    </w:p>
    <w:p w14:paraId="73C5A786">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hint="eastAsia" w:ascii="仿宋_GB2312"/>
          <w:color w:val="auto"/>
          <w:sz w:val="32"/>
          <w:szCs w:val="32"/>
          <w:highlight w:val="none"/>
        </w:rPr>
        <w:t>（</w:t>
      </w:r>
      <w:r>
        <w:rPr>
          <w:rFonts w:hint="eastAsia" w:ascii="仿宋_GB2312"/>
          <w:color w:val="auto"/>
          <w:sz w:val="32"/>
          <w:szCs w:val="32"/>
          <w:highlight w:val="none"/>
          <w:lang w:val="en-US" w:eastAsia="zh-CN"/>
        </w:rPr>
        <w:t>2</w:t>
      </w:r>
      <w:r>
        <w:rPr>
          <w:rFonts w:hint="eastAsia" w:ascii="仿宋_GB2312"/>
          <w:color w:val="auto"/>
          <w:sz w:val="32"/>
          <w:szCs w:val="32"/>
          <w:highlight w:val="none"/>
        </w:rPr>
        <w:t>）主要内容</w:t>
      </w:r>
      <w:r>
        <w:rPr>
          <w:rFonts w:hint="eastAsia"/>
          <w:color w:val="auto"/>
          <w:sz w:val="32"/>
          <w:szCs w:val="32"/>
          <w:highlight w:val="none"/>
        </w:rPr>
        <w:t>及</w:t>
      </w:r>
      <w:r>
        <w:rPr>
          <w:rFonts w:hint="eastAsia" w:ascii="仿宋_GB2312"/>
          <w:color w:val="auto"/>
          <w:sz w:val="32"/>
          <w:szCs w:val="32"/>
          <w:highlight w:val="none"/>
        </w:rPr>
        <w:t>实施情况</w:t>
      </w:r>
    </w:p>
    <w:p w14:paraId="2657786F">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color w:val="auto"/>
          <w:sz w:val="32"/>
          <w:szCs w:val="32"/>
          <w:highlight w:val="none"/>
        </w:rPr>
      </w:pPr>
      <w:r>
        <w:rPr>
          <w:rFonts w:hint="eastAsia" w:ascii="仿宋_GB2312"/>
          <w:color w:val="auto"/>
          <w:sz w:val="32"/>
          <w:szCs w:val="32"/>
          <w:highlight w:val="none"/>
          <w:lang w:val="en-US" w:eastAsia="zh-CN"/>
        </w:rPr>
        <w:t>项目</w:t>
      </w:r>
      <w:r>
        <w:rPr>
          <w:rFonts w:hint="eastAsia" w:ascii="仿宋_GB2312"/>
          <w:color w:val="auto"/>
          <w:sz w:val="32"/>
          <w:szCs w:val="32"/>
          <w:highlight w:val="none"/>
        </w:rPr>
        <w:t>主要内容：</w:t>
      </w:r>
    </w:p>
    <w:p w14:paraId="0A6BD949">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hint="eastAsia" w:ascii="仿宋_GB2312"/>
          <w:color w:val="auto"/>
          <w:sz w:val="32"/>
          <w:szCs w:val="32"/>
          <w:highlight w:val="none"/>
        </w:rPr>
        <w:t>城乡居民基本医疗保险项目，作为保基本民生的关键举措，主要内容涵盖参保对象、筹资机制、保障待遇、服务管理与监督等方面，旨在为广大城乡居民提供全面、高效的医疗保障服务。实现全民医疗保障覆盖的目标，让每一位居民都能享受到医保制度的福利。采用个人缴费与政府补助相结合的方式</w:t>
      </w:r>
      <w:r>
        <w:rPr>
          <w:rFonts w:hint="eastAsia" w:ascii="仿宋_GB2312"/>
          <w:color w:val="auto"/>
          <w:sz w:val="32"/>
          <w:szCs w:val="32"/>
          <w:highlight w:val="none"/>
          <w:lang w:eastAsia="zh-CN"/>
        </w:rPr>
        <w:t>，</w:t>
      </w:r>
      <w:r>
        <w:rPr>
          <w:rFonts w:hint="eastAsia" w:ascii="仿宋_GB2312"/>
          <w:color w:val="auto"/>
          <w:sz w:val="32"/>
          <w:szCs w:val="32"/>
          <w:highlight w:val="none"/>
        </w:rPr>
        <w:t>确保其参保权益不受经济条件限制</w:t>
      </w:r>
      <w:r>
        <w:rPr>
          <w:rFonts w:hint="eastAsia" w:ascii="仿宋_GB2312"/>
          <w:color w:val="auto"/>
          <w:sz w:val="32"/>
          <w:szCs w:val="32"/>
          <w:highlight w:val="none"/>
          <w:lang w:eastAsia="zh-CN"/>
        </w:rPr>
        <w:t>，</w:t>
      </w:r>
      <w:r>
        <w:rPr>
          <w:rFonts w:hint="eastAsia" w:ascii="仿宋_GB2312"/>
          <w:color w:val="auto"/>
          <w:sz w:val="32"/>
          <w:szCs w:val="32"/>
          <w:highlight w:val="none"/>
        </w:rPr>
        <w:t>减轻困难群众参保负担。</w:t>
      </w:r>
    </w:p>
    <w:p w14:paraId="68AE905B">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color w:val="auto"/>
          <w:sz w:val="32"/>
          <w:szCs w:val="32"/>
          <w:highlight w:val="none"/>
        </w:rPr>
      </w:pPr>
      <w:r>
        <w:rPr>
          <w:rFonts w:hint="eastAsia" w:ascii="仿宋_GB2312"/>
          <w:color w:val="auto"/>
          <w:sz w:val="32"/>
          <w:szCs w:val="32"/>
          <w:highlight w:val="none"/>
          <w:lang w:val="en-US" w:eastAsia="zh-CN"/>
        </w:rPr>
        <w:t>项目</w:t>
      </w:r>
      <w:r>
        <w:rPr>
          <w:rFonts w:hint="eastAsia" w:ascii="仿宋_GB2312"/>
          <w:color w:val="auto"/>
          <w:sz w:val="32"/>
          <w:szCs w:val="32"/>
          <w:highlight w:val="none"/>
        </w:rPr>
        <w:t>实施情况：</w:t>
      </w:r>
    </w:p>
    <w:p w14:paraId="58E7A6C6">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hint="eastAsia" w:ascii="仿宋_GB2312"/>
          <w:color w:val="auto"/>
          <w:sz w:val="32"/>
          <w:szCs w:val="32"/>
          <w:highlight w:val="none"/>
        </w:rPr>
        <w:t>参保覆盖持续扩大通过“线上+线下”立体化宣传</w:t>
      </w:r>
      <w:r>
        <w:rPr>
          <w:rFonts w:hint="eastAsia" w:ascii="仿宋_GB2312"/>
          <w:color w:val="auto"/>
          <w:sz w:val="32"/>
          <w:szCs w:val="32"/>
          <w:highlight w:val="none"/>
          <w:lang w:eastAsia="zh-CN"/>
        </w:rPr>
        <w:t>，</w:t>
      </w:r>
      <w:r>
        <w:rPr>
          <w:rFonts w:hint="eastAsia" w:ascii="仿宋_GB2312"/>
          <w:color w:val="auto"/>
          <w:sz w:val="32"/>
          <w:szCs w:val="32"/>
          <w:highlight w:val="none"/>
        </w:rPr>
        <w:t>重点针对农村留守老人、新生儿、非全日制从业人员等群体开展精准动员，实现应保尽保。城乡居民基本医疗保险参保人数</w:t>
      </w:r>
      <w:r>
        <w:rPr>
          <w:rFonts w:hint="eastAsia" w:ascii="仿宋_GB2312"/>
          <w:color w:val="auto"/>
          <w:sz w:val="32"/>
          <w:szCs w:val="32"/>
          <w:highlight w:val="none"/>
          <w:lang w:eastAsia="zh-CN"/>
        </w:rPr>
        <w:t>达到</w:t>
      </w:r>
      <w:r>
        <w:rPr>
          <w:rFonts w:hint="eastAsia" w:ascii="仿宋_GB2312"/>
          <w:color w:val="auto"/>
          <w:sz w:val="32"/>
          <w:szCs w:val="32"/>
          <w:highlight w:val="none"/>
          <w:lang w:val="en-US" w:eastAsia="zh-CN"/>
        </w:rPr>
        <w:t>9.54万人，积极推进全民参保计划，巩固参保率。城乡居民基本医疗保险县级财政补助资金总额达到每人180元</w:t>
      </w:r>
      <w:r>
        <w:rPr>
          <w:rFonts w:ascii="宋体" w:hAnsi="宋体" w:eastAsia="宋体" w:cs="宋体"/>
          <w:color w:val="auto"/>
          <w:sz w:val="24"/>
          <w:szCs w:val="24"/>
          <w:highlight w:val="none"/>
        </w:rPr>
        <w:t>，</w:t>
      </w:r>
      <w:r>
        <w:rPr>
          <w:rFonts w:hint="eastAsia" w:ascii="仿宋_GB2312"/>
          <w:color w:val="auto"/>
          <w:sz w:val="32"/>
          <w:szCs w:val="32"/>
          <w:highlight w:val="none"/>
          <w:lang w:val="en-US" w:eastAsia="zh-CN"/>
        </w:rPr>
        <w:t>确保其参保权益不受经济条件限制 ，减轻困难群众参保负担。参保群众看病就医结算方便程度显著提高，全面推行“一站式”即时结算服务，参保居民在定点医疗机构就医时，基本医保、大病保险、医疗救助等费用同步结算，无需先行垫付再报销，简化流程，减少跑腿与资金周转压力。</w:t>
      </w:r>
    </w:p>
    <w:p w14:paraId="0B322AE8">
      <w:pPr>
        <w:pageBreakBefore w:val="0"/>
        <w:kinsoku/>
        <w:wordWrap/>
        <w:overflowPunct/>
        <w:topLinePunct w:val="0"/>
        <w:autoSpaceDE/>
        <w:autoSpaceDN/>
        <w:bidi w:val="0"/>
        <w:adjustRightInd/>
        <w:snapToGrid/>
        <w:spacing w:line="560" w:lineRule="exact"/>
        <w:ind w:firstLine="643" w:firstLineChars="200"/>
        <w:textAlignment w:val="auto"/>
        <w:rPr>
          <w:rFonts w:ascii="仿宋_GB2312"/>
          <w:b/>
          <w:bCs/>
          <w:color w:val="auto"/>
          <w:sz w:val="32"/>
          <w:szCs w:val="32"/>
          <w:highlight w:val="none"/>
        </w:rPr>
      </w:pPr>
      <w:r>
        <w:rPr>
          <w:rFonts w:hint="eastAsia" w:ascii="仿宋_GB2312"/>
          <w:b/>
          <w:bCs/>
          <w:color w:val="auto"/>
          <w:sz w:val="32"/>
          <w:szCs w:val="32"/>
          <w:highlight w:val="none"/>
          <w:lang w:val="en-US" w:eastAsia="zh-CN"/>
        </w:rPr>
        <w:t>2.</w:t>
      </w:r>
      <w:r>
        <w:rPr>
          <w:rFonts w:hint="eastAsia" w:ascii="仿宋_GB2312"/>
          <w:b/>
          <w:bCs/>
          <w:color w:val="auto"/>
          <w:sz w:val="32"/>
          <w:szCs w:val="32"/>
          <w:highlight w:val="none"/>
        </w:rPr>
        <w:t>资金投入和使用情况</w:t>
      </w:r>
    </w:p>
    <w:p w14:paraId="59D38E71">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511A3C1D">
      <w:pPr>
        <w:keepNext w:val="0"/>
        <w:keepLines w:val="0"/>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bookmarkStart w:id="3" w:name="OLE_LINK3"/>
      <w:r>
        <w:rPr>
          <w:rFonts w:hint="default" w:ascii="Times New Roman" w:hAnsi="Times New Roman" w:eastAsia="仿宋_GB2312" w:cs="Times New Roman"/>
          <w:color w:val="auto"/>
          <w:sz w:val="32"/>
          <w:szCs w:val="32"/>
          <w:highlight w:val="none"/>
          <w:lang w:val="en-US" w:eastAsia="zh-CN"/>
        </w:rPr>
        <w:t>1718.73</w:t>
      </w:r>
      <w:bookmarkEnd w:id="3"/>
      <w:r>
        <w:rPr>
          <w:rFonts w:hint="default" w:ascii="Times New Roman" w:hAnsi="Times New Roman" w:eastAsia="仿宋_GB2312" w:cs="Times New Roman"/>
          <w:color w:val="auto"/>
          <w:sz w:val="32"/>
          <w:szCs w:val="32"/>
          <w:highlight w:val="none"/>
          <w:lang w:val="en-US" w:eastAsia="zh-CN"/>
        </w:rPr>
        <w:t>万元，全年预算数1718.73万元，该项目资金已全部落实到位，资金来源为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14:paraId="49C322B7">
      <w:pPr>
        <w:keepNext w:val="0"/>
        <w:keepLines w:val="0"/>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14:paraId="529A5E92">
      <w:pPr>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eastAsia="仿宋_GB2312"/>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1718.73</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1718.73</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1718.73</w:t>
      </w:r>
      <w:r>
        <w:rPr>
          <w:rFonts w:hint="default" w:ascii="Times New Roman" w:hAnsi="Times New Roman" w:eastAsia="仿宋_GB2312" w:cs="Times New Roman"/>
          <w:color w:val="auto"/>
          <w:sz w:val="32"/>
          <w:szCs w:val="32"/>
          <w:highlight w:val="none"/>
          <w:lang w:val="en-US" w:eastAsia="zh-CN"/>
        </w:rPr>
        <w:t>万元，预算执行率为</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%，主要用于：</w:t>
      </w:r>
      <w:r>
        <w:rPr>
          <w:rFonts w:hint="eastAsia"/>
          <w:color w:val="auto"/>
          <w:sz w:val="32"/>
          <w:szCs w:val="32"/>
          <w:highlight w:val="none"/>
          <w:lang w:val="en-US" w:eastAsia="zh-CN"/>
        </w:rPr>
        <w:t>开展对城乡居民基本医疗保险基金的补助工作</w:t>
      </w:r>
      <w:r>
        <w:rPr>
          <w:rFonts w:hint="default" w:ascii="Times New Roman" w:hAnsi="Times New Roman" w:eastAsia="仿宋_GB2312" w:cs="Times New Roman"/>
          <w:color w:val="auto"/>
          <w:sz w:val="32"/>
          <w:szCs w:val="32"/>
          <w:highlight w:val="none"/>
          <w:lang w:val="en-US" w:eastAsia="zh-CN"/>
        </w:rPr>
        <w:t>1718.73</w:t>
      </w:r>
      <w:r>
        <w:rPr>
          <w:rFonts w:hint="eastAsia"/>
          <w:color w:val="auto"/>
          <w:sz w:val="32"/>
          <w:szCs w:val="32"/>
          <w:highlight w:val="none"/>
          <w:lang w:val="en-US" w:eastAsia="zh-CN"/>
        </w:rPr>
        <w:t>万元</w:t>
      </w:r>
      <w:r>
        <w:rPr>
          <w:rFonts w:hint="eastAsia"/>
          <w:color w:val="auto"/>
          <w:sz w:val="32"/>
          <w:szCs w:val="32"/>
          <w:highlight w:val="none"/>
        </w:rPr>
        <w:t>。</w:t>
      </w:r>
    </w:p>
    <w:p w14:paraId="169BD48A">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default" w:ascii="仿宋_GB2312" w:eastAsia="仿宋_GB2312"/>
          <w:b/>
          <w:bCs/>
          <w:color w:val="auto"/>
          <w:sz w:val="32"/>
          <w:szCs w:val="32"/>
          <w:highlight w:val="none"/>
          <w:lang w:val="en-US" w:eastAsia="zh-CN"/>
        </w:rPr>
      </w:pPr>
      <w:bookmarkStart w:id="4" w:name="_Toc68703829"/>
      <w:r>
        <w:rPr>
          <w:rFonts w:hint="eastAsia" w:ascii="仿宋_GB2312" w:eastAsia="仿宋_GB2312"/>
          <w:b/>
          <w:bCs/>
          <w:color w:val="auto"/>
          <w:sz w:val="32"/>
          <w:szCs w:val="32"/>
          <w:highlight w:val="none"/>
        </w:rPr>
        <w:t>（二）项目绩效目标</w:t>
      </w:r>
      <w:bookmarkEnd w:id="4"/>
      <w:r>
        <w:rPr>
          <w:rFonts w:hint="eastAsia" w:ascii="仿宋_GB2312" w:eastAsia="仿宋_GB2312"/>
          <w:b/>
          <w:bCs/>
          <w:color w:val="auto"/>
          <w:sz w:val="32"/>
          <w:szCs w:val="32"/>
          <w:highlight w:val="none"/>
          <w:lang w:eastAsia="zh-CN"/>
        </w:rPr>
        <w:t>，</w:t>
      </w:r>
      <w:r>
        <w:rPr>
          <w:rFonts w:hint="eastAsia"/>
          <w:b/>
          <w:bCs/>
          <w:color w:val="auto"/>
          <w:sz w:val="32"/>
          <w:szCs w:val="32"/>
          <w:highlight w:val="none"/>
        </w:rPr>
        <w:t>包括总体目标和阶段性目标。</w:t>
      </w:r>
    </w:p>
    <w:p w14:paraId="5E7C295A">
      <w:pPr>
        <w:keepNext w:val="0"/>
        <w:keepLines w:val="0"/>
        <w:pageBreakBefore w:val="0"/>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rPr>
        <w:t>1</w:t>
      </w:r>
      <w:r>
        <w:rPr>
          <w:rFonts w:hint="eastAsia"/>
          <w:b/>
          <w:bCs/>
          <w:color w:val="auto"/>
          <w:sz w:val="32"/>
          <w:szCs w:val="32"/>
          <w:highlight w:val="none"/>
          <w:lang w:val="en-US" w:eastAsia="zh-CN"/>
        </w:rPr>
        <w:t>.</w:t>
      </w:r>
      <w:r>
        <w:rPr>
          <w:rFonts w:hint="eastAsia"/>
          <w:b/>
          <w:bCs/>
          <w:color w:val="auto"/>
          <w:sz w:val="32"/>
          <w:szCs w:val="32"/>
          <w:highlight w:val="none"/>
        </w:rPr>
        <w:t>总体目标：</w:t>
      </w:r>
      <w:bookmarkStart w:id="5" w:name="OLE_LINK4"/>
    </w:p>
    <w:p w14:paraId="33E4DFED">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为深入贯彻落实党的二十大精神和自治区、自治州党委、政府关于深化医疗保障制度改革有关决策部署，持续推进健全覆盖全民、统筹城乡、公平统一、安全规范、可持续的多层次医疗保障体系，不断增强基本医疗保障能力，努力解除人民群众看病就医后顾之忧。根据《关于做好2023年我区城乡居民基本医疗保障工作的通知》（新医保发〔2023〕48号）文件精神，结合本单位医疗保障方面管理职能，按照年度工作计划，开展城乡居民基本医疗保险项目。</w:t>
      </w:r>
    </w:p>
    <w:p w14:paraId="41AF4BA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目标1：预计完成城乡居民基本医疗保险参保人数9.54万人，提高群众看病就医结算方便程度，减轻参保群众医疗经济负担。</w:t>
      </w:r>
      <w:bookmarkEnd w:id="5"/>
    </w:p>
    <w:p w14:paraId="0074F0A8">
      <w:pPr>
        <w:pageBreakBefore w:val="0"/>
        <w:numPr>
          <w:ilvl w:val="0"/>
          <w:numId w:val="1"/>
        </w:numPr>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rPr>
        <w:t>阶段性目标：</w:t>
      </w:r>
    </w:p>
    <w:p w14:paraId="7A0C869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 xml:space="preserve"> 第一阶段</w:t>
      </w:r>
      <w:r>
        <w:rPr>
          <w:rFonts w:hint="eastAsia"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1-3月筹备启动阶段</w:t>
      </w:r>
      <w:r>
        <w:rPr>
          <w:rFonts w:hint="eastAsia"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政策部署与宣传动员制定项目实施方案，明确责任分工，细化考核指标</w:t>
      </w:r>
      <w:r>
        <w:rPr>
          <w:rFonts w:hint="eastAsia"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组织县乡村三级医保政策宣讲会，印发宣传手册，通过微信公众号、短视频平台发布参保指南，实现政策知晓率</w:t>
      </w:r>
      <w:r>
        <w:rPr>
          <w:rFonts w:hint="eastAsia" w:cs="Times New Roman"/>
          <w:color w:val="auto"/>
          <w:sz w:val="32"/>
          <w:szCs w:val="32"/>
          <w:highlight w:val="none"/>
          <w:lang w:val="en-US" w:eastAsia="zh-CN"/>
        </w:rPr>
        <w:t>达到</w:t>
      </w:r>
      <w:r>
        <w:rPr>
          <w:rFonts w:hint="eastAsia" w:ascii="Times New Roman" w:hAnsi="Times New Roman" w:eastAsia="仿宋_GB2312" w:cs="Times New Roman"/>
          <w:color w:val="auto"/>
          <w:sz w:val="32"/>
          <w:szCs w:val="32"/>
          <w:highlight w:val="none"/>
          <w:lang w:val="en-US" w:eastAsia="zh-CN"/>
        </w:rPr>
        <w:t>90%</w:t>
      </w:r>
      <w:r>
        <w:rPr>
          <w:rFonts w:hint="eastAsia" w:cs="Times New Roman"/>
          <w:color w:val="auto"/>
          <w:sz w:val="32"/>
          <w:szCs w:val="32"/>
          <w:highlight w:val="none"/>
          <w:lang w:val="en-US" w:eastAsia="zh-CN"/>
        </w:rPr>
        <w:t>以上。</w:t>
      </w:r>
      <w:r>
        <w:rPr>
          <w:rFonts w:hint="eastAsia" w:ascii="Times New Roman" w:hAnsi="Times New Roman" w:eastAsia="仿宋_GB2312" w:cs="Times New Roman"/>
          <w:color w:val="auto"/>
          <w:sz w:val="32"/>
          <w:szCs w:val="32"/>
          <w:highlight w:val="none"/>
          <w:lang w:val="en-US" w:eastAsia="zh-CN"/>
        </w:rPr>
        <w:t>参保基础准备</w:t>
      </w:r>
      <w:r>
        <w:rPr>
          <w:rFonts w:hint="eastAsia"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完成参保信息系统维护升级，核对历年参保数据，建立未参保人员动态台账；开通线上参保登记、缴费渠道，实现“掌上办”覆盖率100%。</w:t>
      </w:r>
    </w:p>
    <w:p w14:paraId="13C6D4F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第二阶段</w:t>
      </w:r>
      <w:r>
        <w:rPr>
          <w:rFonts w:hint="eastAsia"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4-9月：全面推进阶段</w:t>
      </w:r>
      <w:r>
        <w:rPr>
          <w:rFonts w:hint="eastAsia"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开展“敲门行动”，针对农村留守老人、新生儿、非从业居民等重点群体，组织乡镇干部入户动员，确保参保率每月提升。联合教育部门，完成在校学生统一参保登记。服务优化与减负落实，实现县域内所有定点医疗机构“一站式”结算全覆盖</w:t>
      </w:r>
      <w:r>
        <w:rPr>
          <w:rFonts w:hint="eastAsia"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落实门诊共济、药品集采政策，降低参保群众门诊和住院自付比例，开展基金监管专项行动，严查过度医疗行为。累计完成参保人数7.63万人</w:t>
      </w:r>
      <w:r>
        <w:rPr>
          <w:rFonts w:hint="eastAsia" w:cs="Times New Roman"/>
          <w:color w:val="auto"/>
          <w:sz w:val="32"/>
          <w:szCs w:val="32"/>
          <w:highlight w:val="none"/>
          <w:lang w:val="en-US" w:eastAsia="zh-CN"/>
        </w:rPr>
        <w:t>。</w:t>
      </w:r>
    </w:p>
    <w:p w14:paraId="4B73F4D0">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第三阶段</w:t>
      </w:r>
      <w:r>
        <w:rPr>
          <w:rFonts w:hint="eastAsia"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10-12月：冲刺与总结阶段</w:t>
      </w:r>
      <w:r>
        <w:rPr>
          <w:rFonts w:hint="eastAsia"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参保收尾与查漏补缺</w:t>
      </w:r>
      <w:r>
        <w:rPr>
          <w:rFonts w:hint="eastAsia" w:cs="Times New Roman"/>
          <w:color w:val="auto"/>
          <w:sz w:val="32"/>
          <w:szCs w:val="32"/>
          <w:highlight w:val="none"/>
          <w:lang w:val="en-US" w:eastAsia="zh-CN"/>
        </w:rPr>
        <w:t>，</w:t>
      </w:r>
      <w:r>
        <w:rPr>
          <w:rFonts w:hint="eastAsia" w:ascii="Times New Roman" w:hAnsi="Times New Roman" w:eastAsia="仿宋_GB2312" w:cs="Times New Roman"/>
          <w:color w:val="auto"/>
          <w:sz w:val="32"/>
          <w:szCs w:val="32"/>
          <w:highlight w:val="none"/>
          <w:lang w:val="en-US" w:eastAsia="zh-CN"/>
        </w:rPr>
        <w:t>开展参保数据“回头看”，对未参保人员逐一核实原因，针对性解决困难，确保年度参保人数达9.54万人；完成财政补助资金清算，确保资金拨付到位率100%。组织开展群众满意度调查，针对结算效率、报销政策等问题整改落实；总结项目经验，建立参保动员、基金监管、服务优化长效机制，为下一年度工作奠定基础。</w:t>
      </w:r>
    </w:p>
    <w:p w14:paraId="1678F8CA">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highlight w:val="none"/>
        </w:rPr>
      </w:pPr>
      <w:bookmarkStart w:id="6" w:name="_Toc68703830"/>
      <w:r>
        <w:rPr>
          <w:rFonts w:hint="eastAsia" w:ascii="宋体" w:hAnsi="宋体" w:eastAsia="宋体"/>
          <w:color w:val="auto"/>
          <w:sz w:val="32"/>
          <w:szCs w:val="32"/>
          <w:highlight w:val="none"/>
        </w:rPr>
        <w:t>二、绩效评价工作开展情况</w:t>
      </w:r>
      <w:bookmarkEnd w:id="6"/>
    </w:p>
    <w:p w14:paraId="22810FC2">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default" w:eastAsia="仿宋_GB2312"/>
          <w:b/>
          <w:bCs/>
          <w:color w:val="auto"/>
          <w:sz w:val="32"/>
          <w:szCs w:val="32"/>
          <w:highlight w:val="none"/>
          <w:lang w:val="en-US" w:eastAsia="zh-CN"/>
        </w:rPr>
      </w:pPr>
      <w:bookmarkStart w:id="7" w:name="_Toc68703831"/>
      <w:r>
        <w:rPr>
          <w:rFonts w:hint="eastAsia" w:ascii="仿宋_GB2312" w:eastAsia="仿宋_GB2312"/>
          <w:b/>
          <w:bCs/>
          <w:color w:val="auto"/>
          <w:sz w:val="32"/>
          <w:szCs w:val="32"/>
          <w:highlight w:val="none"/>
        </w:rPr>
        <w:t>（一）绩效评价目的、对象和范围。</w:t>
      </w:r>
      <w:bookmarkEnd w:id="7"/>
    </w:p>
    <w:p w14:paraId="59DFF421">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14:paraId="24FF3BA4">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8FFAC7D">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2ACE1376">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BB22EB8">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4302CC01">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207DB7B">
      <w:pPr>
        <w:pageBreakBefore w:val="0"/>
        <w:kinsoku/>
        <w:wordWrap/>
        <w:overflowPunct/>
        <w:topLinePunct w:val="0"/>
        <w:autoSpaceDE/>
        <w:autoSpaceDN/>
        <w:bidi w:val="0"/>
        <w:adjustRightInd/>
        <w:snapToGrid/>
        <w:spacing w:line="560" w:lineRule="exact"/>
        <w:ind w:firstLine="643" w:firstLineChars="200"/>
        <w:textAlignment w:val="auto"/>
        <w:rPr>
          <w:rFonts w:hint="default" w:eastAsia="仿宋_GB2312"/>
          <w:color w:val="auto"/>
          <w:sz w:val="32"/>
          <w:szCs w:val="32"/>
          <w:highlight w:val="none"/>
          <w:lang w:val="en-US" w:eastAsia="zh-CN"/>
        </w:rPr>
      </w:pPr>
      <w:r>
        <w:rPr>
          <w:rFonts w:hint="eastAsia"/>
          <w:b/>
          <w:bCs/>
          <w:color w:val="auto"/>
          <w:sz w:val="32"/>
          <w:szCs w:val="32"/>
          <w:highlight w:val="none"/>
          <w:lang w:val="en-US" w:eastAsia="zh-CN"/>
        </w:rPr>
        <w:t>2.</w:t>
      </w:r>
      <w:r>
        <w:rPr>
          <w:rFonts w:hint="eastAsia"/>
          <w:b/>
          <w:bCs/>
          <w:color w:val="auto"/>
          <w:sz w:val="32"/>
          <w:szCs w:val="32"/>
          <w:highlight w:val="none"/>
        </w:rPr>
        <w:t>绩效评价目的</w:t>
      </w:r>
      <w:r>
        <w:rPr>
          <w:rFonts w:hint="eastAsia"/>
          <w:b/>
          <w:bCs/>
          <w:color w:val="auto"/>
          <w:sz w:val="32"/>
          <w:szCs w:val="32"/>
          <w:highlight w:val="none"/>
          <w:lang w:eastAsia="zh-CN"/>
        </w:rPr>
        <w:t>：</w:t>
      </w:r>
    </w:p>
    <w:p w14:paraId="3AA29D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eastAsia="仿宋_GB2312"/>
          <w:color w:val="auto"/>
          <w:sz w:val="32"/>
          <w:szCs w:val="32"/>
          <w:highlight w:val="none"/>
        </w:rPr>
        <w:t>通过开展有效的财政支出绩效评价管理，</w:t>
      </w:r>
      <w:r>
        <w:rPr>
          <w:rFonts w:hint="eastAsia" w:eastAsia="仿宋_GB2312"/>
          <w:color w:val="auto"/>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Fonts w:hint="eastAsia"/>
          <w:color w:val="auto"/>
          <w:sz w:val="32"/>
          <w:szCs w:val="32"/>
          <w:highlight w:val="none"/>
          <w:lang w:eastAsia="zh-CN"/>
        </w:rPr>
        <w:t>，</w:t>
      </w:r>
      <w:r>
        <w:rPr>
          <w:rFonts w:hint="eastAsia"/>
          <w:color w:val="auto"/>
          <w:sz w:val="32"/>
          <w:szCs w:val="32"/>
          <w:highlight w:val="none"/>
          <w:lang w:val="en-US" w:eastAsia="zh-CN"/>
        </w:rPr>
        <w:t>主要体现在以下5个方面：</w:t>
      </w:r>
    </w:p>
    <w:p w14:paraId="0F9C87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2D6D9D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08BE04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447BA69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35954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54455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A88378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24D9C7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62CEB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5EDAEA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0FEF91DC">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ascii="仿宋_GB2312"/>
          <w:bCs/>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2833E43">
      <w:pPr>
        <w:pageBreakBefore w:val="0"/>
        <w:kinsoku/>
        <w:wordWrap/>
        <w:overflowPunct/>
        <w:topLinePunct w:val="0"/>
        <w:autoSpaceDE/>
        <w:autoSpaceDN/>
        <w:bidi w:val="0"/>
        <w:adjustRightInd/>
        <w:snapToGrid/>
        <w:spacing w:line="560" w:lineRule="exact"/>
        <w:ind w:firstLine="643" w:firstLineChars="200"/>
        <w:textAlignment w:val="auto"/>
        <w:rPr>
          <w:b/>
          <w:bCs/>
          <w:color w:val="auto"/>
          <w:sz w:val="32"/>
          <w:szCs w:val="32"/>
          <w:highlight w:val="none"/>
        </w:rPr>
      </w:pPr>
      <w:r>
        <w:rPr>
          <w:rFonts w:hint="eastAsia"/>
          <w:b/>
          <w:bCs/>
          <w:color w:val="auto"/>
          <w:sz w:val="32"/>
          <w:szCs w:val="32"/>
          <w:highlight w:val="none"/>
          <w:lang w:val="en-US" w:eastAsia="zh-CN"/>
        </w:rPr>
        <w:t>3.</w:t>
      </w:r>
      <w:r>
        <w:rPr>
          <w:rFonts w:hint="eastAsia"/>
          <w:b/>
          <w:bCs/>
          <w:color w:val="auto"/>
          <w:sz w:val="32"/>
          <w:szCs w:val="32"/>
          <w:highlight w:val="none"/>
        </w:rPr>
        <w:t>绩效评价对象：</w:t>
      </w:r>
      <w:r>
        <w:rPr>
          <w:rFonts w:hint="default" w:ascii="Times New Roman" w:hAnsi="Times New Roman" w:eastAsia="仿宋_GB2312" w:cs="Times New Roman"/>
          <w:color w:val="auto"/>
          <w:sz w:val="32"/>
          <w:szCs w:val="32"/>
          <w:highlight w:val="none"/>
        </w:rPr>
        <w:t>本项目预算绩效评价报告的评价对象是</w:t>
      </w:r>
      <w:r>
        <w:rPr>
          <w:rFonts w:hint="eastAsia" w:ascii="Times New Roman" w:hAnsi="Times New Roman" w:cs="Times New Roman"/>
          <w:color w:val="auto"/>
          <w:sz w:val="32"/>
          <w:szCs w:val="32"/>
          <w:highlight w:val="none"/>
          <w:lang w:val="en-US" w:eastAsia="zh-CN"/>
        </w:rPr>
        <w:t>特定目标类项目-保基本民生项目-城乡居民基本医疗保险</w:t>
      </w:r>
      <w:r>
        <w:rPr>
          <w:rFonts w:hint="eastAsia" w:cs="Times New Roman"/>
          <w:color w:val="auto"/>
          <w:sz w:val="32"/>
          <w:szCs w:val="32"/>
          <w:highlight w:val="none"/>
          <w:lang w:val="en-US" w:eastAsia="zh-CN"/>
        </w:rPr>
        <w:t>项目</w:t>
      </w:r>
      <w:r>
        <w:rPr>
          <w:rFonts w:hint="default" w:ascii="Times New Roman" w:hAnsi="Times New Roman" w:eastAsia="仿宋_GB2312" w:cs="Times New Roman"/>
          <w:color w:val="auto"/>
          <w:sz w:val="32"/>
          <w:szCs w:val="32"/>
          <w:highlight w:val="none"/>
        </w:rPr>
        <w:t>及其预算执行情况。该项目由</w:t>
      </w:r>
      <w:r>
        <w:rPr>
          <w:rFonts w:hint="eastAsia" w:cs="Times New Roman"/>
          <w:color w:val="auto"/>
          <w:sz w:val="32"/>
          <w:szCs w:val="32"/>
          <w:highlight w:val="none"/>
          <w:lang w:val="en-US" w:eastAsia="zh-CN"/>
        </w:rPr>
        <w:t>轮台县医疗保障局</w:t>
      </w:r>
      <w:r>
        <w:rPr>
          <w:rFonts w:hint="default" w:ascii="Times New Roman" w:hAnsi="Times New Roman" w:eastAsia="仿宋_GB2312" w:cs="Times New Roman"/>
          <w:color w:val="auto"/>
          <w:sz w:val="32"/>
          <w:szCs w:val="32"/>
          <w:highlight w:val="none"/>
        </w:rPr>
        <w:t>负责实施，旨在持续推进健全覆盖全民、统筹城乡、公平统一、安全规范、可持续的多层次医疗保障体系，不断增强基本医疗保障能力，努力解除人民群众看病就医后顾之忧。项目预算涵盖从</w:t>
      </w:r>
      <w:r>
        <w:rPr>
          <w:rFonts w:hint="eastAsia" w:cs="Times New Roman"/>
          <w:color w:val="auto"/>
          <w:sz w:val="32"/>
          <w:szCs w:val="32"/>
          <w:highlight w:val="none"/>
          <w:lang w:val="en-US" w:eastAsia="zh-CN"/>
        </w:rPr>
        <w:t>2024年1月1日</w:t>
      </w:r>
      <w:r>
        <w:rPr>
          <w:rFonts w:hint="default" w:ascii="Times New Roman" w:hAnsi="Times New Roman" w:eastAsia="仿宋_GB2312" w:cs="Times New Roman"/>
          <w:color w:val="auto"/>
          <w:sz w:val="32"/>
          <w:szCs w:val="32"/>
          <w:highlight w:val="none"/>
        </w:rPr>
        <w:t>至</w:t>
      </w:r>
      <w:r>
        <w:rPr>
          <w:rFonts w:hint="eastAsia" w:cs="Times New Roman"/>
          <w:color w:val="auto"/>
          <w:sz w:val="32"/>
          <w:szCs w:val="32"/>
          <w:highlight w:val="none"/>
          <w:lang w:val="en-US" w:eastAsia="zh-CN"/>
        </w:rPr>
        <w:t>2024年12月20日</w:t>
      </w:r>
      <w:r>
        <w:rPr>
          <w:rFonts w:hint="default" w:ascii="Times New Roman" w:hAnsi="Times New Roman" w:eastAsia="仿宋_GB2312" w:cs="Times New Roman"/>
          <w:color w:val="auto"/>
          <w:sz w:val="32"/>
          <w:szCs w:val="32"/>
          <w:highlight w:val="none"/>
        </w:rPr>
        <w:t>的全部资金投入与支出，涉及资金总额为</w:t>
      </w:r>
      <w:r>
        <w:rPr>
          <w:rFonts w:hint="eastAsia" w:ascii="Times New Roman" w:hAnsi="Times New Roman" w:cs="Times New Roman"/>
          <w:color w:val="auto"/>
          <w:sz w:val="32"/>
          <w:szCs w:val="32"/>
          <w:highlight w:val="none"/>
          <w:lang w:val="en-US" w:eastAsia="zh-CN"/>
        </w:rPr>
        <w:t>1718.73</w:t>
      </w:r>
      <w:r>
        <w:rPr>
          <w:rFonts w:hint="default" w:ascii="Times New Roman" w:hAnsi="Times New Roman" w:eastAsia="仿宋_GB2312" w:cs="Times New Roman"/>
          <w:color w:val="auto"/>
          <w:sz w:val="32"/>
          <w:szCs w:val="32"/>
          <w:highlight w:val="none"/>
          <w:lang w:val="en-US" w:eastAsia="zh-CN"/>
        </w:rPr>
        <w:t>万</w:t>
      </w:r>
      <w:r>
        <w:rPr>
          <w:rFonts w:hint="default" w:ascii="Times New Roman" w:hAnsi="Times New Roman" w:eastAsia="仿宋_GB2312" w:cs="Times New Roman"/>
          <w:color w:val="auto"/>
          <w:sz w:val="32"/>
          <w:szCs w:val="32"/>
          <w:highlight w:val="none"/>
        </w:rPr>
        <w:t>元。</w:t>
      </w:r>
    </w:p>
    <w:p w14:paraId="6E3B4339">
      <w:pPr>
        <w:pageBreakBefore w:val="0"/>
        <w:kinsoku/>
        <w:wordWrap/>
        <w:overflowPunct/>
        <w:topLinePunct w:val="0"/>
        <w:autoSpaceDE/>
        <w:autoSpaceDN/>
        <w:bidi w:val="0"/>
        <w:adjustRightInd/>
        <w:snapToGrid/>
        <w:spacing w:line="560" w:lineRule="exact"/>
        <w:ind w:firstLine="643" w:firstLineChars="200"/>
        <w:textAlignment w:val="auto"/>
        <w:rPr>
          <w:b/>
          <w:bCs/>
          <w:color w:val="auto"/>
          <w:sz w:val="32"/>
          <w:szCs w:val="32"/>
          <w:highlight w:val="none"/>
        </w:rPr>
      </w:pPr>
      <w:r>
        <w:rPr>
          <w:rFonts w:hint="eastAsia"/>
          <w:b/>
          <w:bCs/>
          <w:color w:val="auto"/>
          <w:sz w:val="32"/>
          <w:szCs w:val="32"/>
          <w:highlight w:val="none"/>
          <w:lang w:val="en-US" w:eastAsia="zh-CN"/>
        </w:rPr>
        <w:t>4.</w:t>
      </w:r>
      <w:r>
        <w:rPr>
          <w:rFonts w:hint="eastAsia"/>
          <w:b/>
          <w:bCs/>
          <w:color w:val="auto"/>
          <w:sz w:val="32"/>
          <w:szCs w:val="32"/>
          <w:highlight w:val="none"/>
        </w:rPr>
        <w:t>绩效评价范围：</w:t>
      </w:r>
    </w:p>
    <w:p w14:paraId="36CB69F0">
      <w:pPr>
        <w:pStyle w:val="10"/>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bookmarkStart w:id="8" w:name="_Toc68703832"/>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14:paraId="4C683F81">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14:paraId="0B28303C">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14:paraId="402BDDF9">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14:paraId="10746BA8">
      <w:pPr>
        <w:pStyle w:val="10"/>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lang w:val="en-US" w:eastAsia="zh-CN"/>
        </w:rPr>
        <w:t>等</w:t>
      </w:r>
      <w:r>
        <w:rPr>
          <w:rFonts w:hint="default" w:ascii="Times New Roman" w:hAnsi="Times New Roman" w:eastAsia="仿宋_GB2312" w:cs="Times New Roman"/>
          <w:b w:val="0"/>
          <w:bCs w:val="0"/>
          <w:color w:val="auto"/>
          <w:highlight w:val="none"/>
        </w:rPr>
        <w:t>影响：考察项目对</w:t>
      </w:r>
      <w:r>
        <w:rPr>
          <w:rFonts w:hint="eastAsia" w:ascii="Times New Roman" w:hAnsi="Times New Roman" w:eastAsia="仿宋_GB2312" w:cs="Times New Roman"/>
          <w:b w:val="0"/>
          <w:bCs w:val="0"/>
          <w:color w:val="auto"/>
          <w:highlight w:val="none"/>
          <w:lang w:eastAsia="zh-CN"/>
        </w:rPr>
        <w:t>社会</w:t>
      </w:r>
      <w:r>
        <w:rPr>
          <w:rFonts w:hint="default" w:ascii="Times New Roman" w:hAnsi="Times New Roman" w:eastAsia="仿宋_GB2312" w:cs="Times New Roman"/>
          <w:b w:val="0"/>
          <w:bCs w:val="0"/>
          <w:color w:val="auto"/>
          <w:highlight w:val="none"/>
        </w:rPr>
        <w:t>等方面的综合影响。</w:t>
      </w:r>
    </w:p>
    <w:p w14:paraId="612CB14B">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rPr>
      </w:pPr>
      <w:r>
        <w:rPr>
          <w:rFonts w:hint="eastAsia" w:ascii="仿宋_GB2312" w:eastAsia="仿宋_GB2312"/>
          <w:b/>
          <w:bCs/>
          <w:color w:val="auto"/>
          <w:sz w:val="32"/>
          <w:szCs w:val="32"/>
          <w:highlight w:val="none"/>
        </w:rPr>
        <w:t>（二）绩效评价原则、评价指标体系</w:t>
      </w:r>
      <w:r>
        <w:rPr>
          <w:rFonts w:hint="eastAsia" w:ascii="仿宋_GB2312" w:eastAsia="仿宋_GB2312"/>
          <w:b/>
          <w:bCs/>
          <w:color w:val="auto"/>
          <w:sz w:val="32"/>
          <w:szCs w:val="32"/>
          <w:highlight w:val="none"/>
          <w:lang w:eastAsia="zh-CN"/>
        </w:rPr>
        <w:t>（附表说明）</w:t>
      </w:r>
      <w:r>
        <w:rPr>
          <w:rFonts w:hint="eastAsia" w:ascii="仿宋_GB2312" w:eastAsia="仿宋_GB2312"/>
          <w:b/>
          <w:bCs/>
          <w:color w:val="auto"/>
          <w:sz w:val="32"/>
          <w:szCs w:val="32"/>
          <w:highlight w:val="none"/>
        </w:rPr>
        <w:t>、评价方法、评价标准等。</w:t>
      </w:r>
      <w:bookmarkEnd w:id="8"/>
    </w:p>
    <w:p w14:paraId="5921444B">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1</w:t>
      </w:r>
      <w:r>
        <w:rPr>
          <w:rFonts w:hint="eastAsia"/>
          <w:b/>
          <w:bCs/>
          <w:color w:val="auto"/>
          <w:sz w:val="32"/>
          <w:szCs w:val="32"/>
          <w:highlight w:val="none"/>
          <w:lang w:val="en-US" w:eastAsia="zh-CN"/>
        </w:rPr>
        <w:t>.</w:t>
      </w:r>
      <w:r>
        <w:rPr>
          <w:rFonts w:hint="eastAsia"/>
          <w:b/>
          <w:bCs/>
          <w:color w:val="auto"/>
          <w:sz w:val="32"/>
          <w:szCs w:val="32"/>
          <w:highlight w:val="none"/>
        </w:rPr>
        <w:t>绩效评价原则</w:t>
      </w:r>
    </w:p>
    <w:p w14:paraId="019A346F">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bCs/>
          <w:color w:val="auto"/>
          <w:sz w:val="32"/>
          <w:szCs w:val="32"/>
          <w:highlight w:val="none"/>
        </w:rPr>
      </w:pPr>
      <w:r>
        <w:rPr>
          <w:rFonts w:eastAsia="仿宋_GB2312"/>
          <w:color w:val="auto"/>
          <w:sz w:val="32"/>
          <w:szCs w:val="32"/>
          <w:highlight w:val="none"/>
        </w:rPr>
        <w:t>本次项目绩效评价遵循以下基本原则：</w:t>
      </w:r>
    </w:p>
    <w:p w14:paraId="25B97835">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14:paraId="1B909CB5">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14:paraId="7D577801">
      <w:pPr>
        <w:pStyle w:val="1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14:paraId="078B9DEB">
      <w:pPr>
        <w:pageBreakBefore w:val="0"/>
        <w:kinsoku/>
        <w:wordWrap/>
        <w:overflowPunct/>
        <w:topLinePunct w:val="0"/>
        <w:autoSpaceDE/>
        <w:autoSpaceDN/>
        <w:bidi w:val="0"/>
        <w:adjustRightInd/>
        <w:snapToGrid/>
        <w:spacing w:line="560" w:lineRule="exact"/>
        <w:ind w:firstLine="600" w:firstLineChars="200"/>
        <w:textAlignment w:val="auto"/>
        <w:rPr>
          <w:color w:val="auto"/>
          <w:sz w:val="32"/>
          <w:szCs w:val="32"/>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14:paraId="530A117F">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eastAsia="zh-CN"/>
        </w:rPr>
        <w:t>.</w:t>
      </w:r>
      <w:r>
        <w:rPr>
          <w:rFonts w:hint="eastAsia"/>
          <w:b/>
          <w:bCs/>
          <w:color w:val="auto"/>
          <w:sz w:val="32"/>
          <w:szCs w:val="32"/>
          <w:highlight w:val="none"/>
        </w:rPr>
        <w:t>评价指标体系</w:t>
      </w:r>
    </w:p>
    <w:p w14:paraId="7B3AEF2B">
      <w:pPr>
        <w:pageBreakBefore w:val="0"/>
        <w:kinsoku/>
        <w:wordWrap/>
        <w:overflowPunct/>
        <w:topLinePunct w:val="0"/>
        <w:autoSpaceDE/>
        <w:autoSpaceDN/>
        <w:bidi w:val="0"/>
        <w:adjustRightInd/>
        <w:snapToGrid/>
        <w:spacing w:line="560" w:lineRule="exact"/>
        <w:ind w:firstLine="708" w:firstLineChars="200"/>
        <w:textAlignment w:val="auto"/>
        <w:rPr>
          <w:color w:val="auto"/>
          <w:spacing w:val="17"/>
          <w:sz w:val="32"/>
          <w:szCs w:val="32"/>
          <w:highlight w:val="none"/>
        </w:rPr>
      </w:pPr>
      <w:r>
        <w:rPr>
          <w:rFonts w:eastAsia="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5570AACA">
      <w:pPr>
        <w:pageBreakBefore w:val="0"/>
        <w:kinsoku/>
        <w:wordWrap/>
        <w:overflowPunct/>
        <w:topLinePunct w:val="0"/>
        <w:autoSpaceDE/>
        <w:autoSpaceDN/>
        <w:bidi w:val="0"/>
        <w:adjustRightInd/>
        <w:snapToGrid/>
        <w:spacing w:line="560" w:lineRule="exact"/>
        <w:ind w:firstLine="708"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（1）确定评价指标</w:t>
      </w:r>
    </w:p>
    <w:p w14:paraId="7140C87D">
      <w:pPr>
        <w:pageBreakBefore w:val="0"/>
        <w:kinsoku/>
        <w:wordWrap/>
        <w:overflowPunct/>
        <w:topLinePunct w:val="0"/>
        <w:autoSpaceDE/>
        <w:autoSpaceDN/>
        <w:bidi w:val="0"/>
        <w:adjustRightInd/>
        <w:snapToGrid/>
        <w:spacing w:line="560" w:lineRule="exact"/>
        <w:ind w:firstLine="708"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5799970F">
      <w:pPr>
        <w:pageBreakBefore w:val="0"/>
        <w:kinsoku/>
        <w:wordWrap/>
        <w:overflowPunct/>
        <w:topLinePunct w:val="0"/>
        <w:autoSpaceDE/>
        <w:autoSpaceDN/>
        <w:bidi w:val="0"/>
        <w:adjustRightInd/>
        <w:snapToGrid/>
        <w:spacing w:line="560" w:lineRule="exact"/>
        <w:ind w:firstLine="708"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（2）确定权重</w:t>
      </w:r>
    </w:p>
    <w:p w14:paraId="2B953E5E">
      <w:pPr>
        <w:pageBreakBefore w:val="0"/>
        <w:kinsoku/>
        <w:wordWrap/>
        <w:overflowPunct/>
        <w:topLinePunct w:val="0"/>
        <w:autoSpaceDE/>
        <w:autoSpaceDN/>
        <w:bidi w:val="0"/>
        <w:adjustRightInd/>
        <w:snapToGrid/>
        <w:spacing w:line="560" w:lineRule="exact"/>
        <w:ind w:firstLine="708" w:firstLineChars="200"/>
        <w:jc w:val="left"/>
        <w:textAlignment w:val="auto"/>
        <w:rPr>
          <w:rFonts w:hint="eastAsia" w:ascii="Times New Roman" w:hAnsi="Times New Roman" w:eastAsia="仿宋_GB2312" w:cs="Times New Roman"/>
          <w:b w:val="0"/>
          <w:bCs w:val="0"/>
          <w:color w:val="auto"/>
          <w:spacing w:val="17"/>
          <w:kern w:val="2"/>
          <w:sz w:val="32"/>
          <w:szCs w:val="32"/>
          <w:highlight w:val="none"/>
          <w:lang w:val="en-US" w:eastAsia="zh-CN" w:bidi="ar-SA"/>
        </w:rPr>
      </w:pPr>
      <w:r>
        <w:rPr>
          <w:rFonts w:ascii="Times New Roman" w:hAnsi="Times New Roman" w:eastAsia="仿宋_GB2312" w:cs="Times New Roman"/>
          <w:b w:val="0"/>
          <w:bCs w:val="0"/>
          <w:color w:val="auto"/>
          <w:spacing w:val="17"/>
          <w:kern w:val="2"/>
          <w:sz w:val="32"/>
          <w:szCs w:val="32"/>
          <w:highlight w:val="none"/>
          <w:lang w:val="en-US" w:eastAsia="zh-CN" w:bidi="ar-SA"/>
        </w:rPr>
        <w:t>确定各个指标相对于项目总体绩效的权重分值。在绩效评价指标体系中，项目决策权重为20分，项目过程权重为20分，项目产出权重为40分，项目效益权重为20分。</w:t>
      </w:r>
    </w:p>
    <w:p w14:paraId="2FE6BDB1">
      <w:pPr>
        <w:pageBreakBefore w:val="0"/>
        <w:kinsoku/>
        <w:wordWrap/>
        <w:overflowPunct/>
        <w:topLinePunct w:val="0"/>
        <w:autoSpaceDE/>
        <w:autoSpaceDN/>
        <w:bidi w:val="0"/>
        <w:adjustRightInd/>
        <w:snapToGrid/>
        <w:spacing w:line="560" w:lineRule="exact"/>
        <w:ind w:firstLine="708"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（3）确定指标标准值</w:t>
      </w:r>
    </w:p>
    <w:p w14:paraId="0CC8DCF1">
      <w:pPr>
        <w:pageBreakBefore w:val="0"/>
        <w:kinsoku/>
        <w:wordWrap/>
        <w:overflowPunct/>
        <w:topLinePunct w:val="0"/>
        <w:autoSpaceDE/>
        <w:autoSpaceDN/>
        <w:bidi w:val="0"/>
        <w:adjustRightInd/>
        <w:snapToGrid/>
        <w:spacing w:line="560" w:lineRule="exact"/>
        <w:ind w:firstLine="708" w:firstLineChars="200"/>
        <w:jc w:val="left"/>
        <w:textAlignment w:val="auto"/>
        <w:rPr>
          <w:rFonts w:ascii="Times New Roman" w:hAnsi="Times New Roman" w:eastAsia="仿宋_GB2312" w:cs="Times New Roman"/>
          <w:b w:val="0"/>
          <w:bCs w:val="0"/>
          <w:color w:val="auto"/>
          <w:spacing w:val="17"/>
          <w:kern w:val="2"/>
          <w:sz w:val="32"/>
          <w:szCs w:val="32"/>
          <w:highlight w:val="none"/>
          <w:lang w:val="en-US" w:eastAsia="zh-CN" w:bidi="ar-SA"/>
        </w:rPr>
      </w:pPr>
      <w:r>
        <w:rPr>
          <w:rFonts w:ascii="Times New Roman" w:hAnsi="Times New Roman" w:eastAsia="仿宋_GB2312" w:cs="Times New Roman"/>
          <w:b w:val="0"/>
          <w:bCs w:val="0"/>
          <w:color w:val="auto"/>
          <w:spacing w:val="17"/>
          <w:kern w:val="2"/>
          <w:sz w:val="32"/>
          <w:szCs w:val="32"/>
          <w:highlight w:val="none"/>
          <w:lang w:val="en-US" w:eastAsia="zh-CN" w:bidi="ar-SA"/>
        </w:rPr>
        <w:t>指标标准值是绩效评价指标的尺度，既要反映同类项目的先进水平，又要符合项目的实际绩效水平。具体采用计划标准等确定此次绩效评价指标标准值。</w:t>
      </w:r>
    </w:p>
    <w:p w14:paraId="38F26528">
      <w:pPr>
        <w:pStyle w:val="10"/>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14:paraId="799124B2">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3</w:t>
      </w:r>
      <w:r>
        <w:rPr>
          <w:rFonts w:hint="eastAsia"/>
          <w:b/>
          <w:bCs/>
          <w:color w:val="auto"/>
          <w:sz w:val="32"/>
          <w:szCs w:val="32"/>
          <w:highlight w:val="none"/>
          <w:lang w:eastAsia="zh-CN"/>
        </w:rPr>
        <w:t>.</w:t>
      </w:r>
      <w:r>
        <w:rPr>
          <w:rFonts w:hint="eastAsia"/>
          <w:b/>
          <w:bCs/>
          <w:color w:val="auto"/>
          <w:sz w:val="32"/>
          <w:szCs w:val="32"/>
          <w:highlight w:val="none"/>
        </w:rPr>
        <w:t>评价方法</w:t>
      </w:r>
    </w:p>
    <w:p w14:paraId="73CBB297">
      <w:pPr>
        <w:pageBreakBefore w:val="0"/>
        <w:kinsoku/>
        <w:wordWrap/>
        <w:overflowPunct/>
        <w:topLinePunct w:val="0"/>
        <w:autoSpaceDE/>
        <w:autoSpaceDN/>
        <w:bidi w:val="0"/>
        <w:adjustRightInd/>
        <w:snapToGrid/>
        <w:spacing w:line="560" w:lineRule="exact"/>
        <w:ind w:firstLine="708"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绩效评价从项目决策、项目过程、项目产出、项目效益四个维度进行评价。评价对象为项目目标实施情况，评价核心为资金的支出完成情况和项目的产出效益。</w:t>
      </w:r>
    </w:p>
    <w:p w14:paraId="5C153BFC">
      <w:pPr>
        <w:pageBreakBefore w:val="0"/>
        <w:kinsoku/>
        <w:wordWrap/>
        <w:overflowPunct/>
        <w:topLinePunct w:val="0"/>
        <w:autoSpaceDE/>
        <w:autoSpaceDN/>
        <w:bidi w:val="0"/>
        <w:adjustRightInd/>
        <w:snapToGrid/>
        <w:spacing w:line="560" w:lineRule="exact"/>
        <w:ind w:firstLine="708" w:firstLineChars="200"/>
        <w:textAlignment w:val="auto"/>
        <w:rPr>
          <w:color w:val="auto"/>
          <w:sz w:val="32"/>
          <w:szCs w:val="32"/>
          <w:highlight w:val="none"/>
        </w:rPr>
      </w:pPr>
      <w:r>
        <w:rPr>
          <w:rFonts w:eastAsia="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r>
        <w:rPr>
          <w:rFonts w:hint="eastAsia" w:ascii="仿宋_GB2312" w:hAnsi="Times New Roman" w:cs="Times New Roman"/>
          <w:color w:val="auto"/>
          <w:sz w:val="32"/>
          <w:szCs w:val="32"/>
          <w:highlight w:val="none"/>
          <w:lang w:val="zh-CN"/>
        </w:rPr>
        <w:t>采用比较法和公众评判法</w:t>
      </w:r>
      <w:r>
        <w:rPr>
          <w:rFonts w:hint="eastAsia" w:ascii="仿宋_GB2312" w:cs="Times New Roman"/>
          <w:color w:val="auto"/>
          <w:sz w:val="32"/>
          <w:szCs w:val="32"/>
          <w:highlight w:val="none"/>
          <w:lang w:val="zh-CN"/>
        </w:rPr>
        <w:t>，</w:t>
      </w:r>
      <w:r>
        <w:rPr>
          <w:rFonts w:hint="eastAsia" w:ascii="仿宋_GB2312" w:hAnsi="Times New Roman" w:cs="Times New Roman"/>
          <w:color w:val="auto"/>
          <w:sz w:val="32"/>
          <w:szCs w:val="32"/>
          <w:highlight w:val="none"/>
          <w:lang w:val="zh-CN"/>
        </w:rPr>
        <w:t>原因是：通过分析202</w:t>
      </w:r>
      <w:r>
        <w:rPr>
          <w:rFonts w:hint="eastAsia" w:ascii="仿宋_GB2312" w:cs="Times New Roman"/>
          <w:color w:val="auto"/>
          <w:sz w:val="32"/>
          <w:szCs w:val="32"/>
          <w:highlight w:val="none"/>
          <w:lang w:val="en-US" w:eastAsia="zh-CN"/>
        </w:rPr>
        <w:t>4</w:t>
      </w:r>
      <w:r>
        <w:rPr>
          <w:rFonts w:hint="eastAsia" w:ascii="仿宋_GB2312" w:hAnsi="Times New Roman" w:cs="Times New Roman"/>
          <w:color w:val="auto"/>
          <w:sz w:val="32"/>
          <w:szCs w:val="32"/>
          <w:highlight w:val="none"/>
          <w:lang w:val="zh-CN"/>
        </w:rPr>
        <w:t>年</w:t>
      </w:r>
      <w:r>
        <w:rPr>
          <w:rFonts w:hint="eastAsia" w:ascii="仿宋_GB2312" w:cs="Times New Roman"/>
          <w:color w:val="auto"/>
          <w:sz w:val="32"/>
          <w:szCs w:val="32"/>
          <w:highlight w:val="none"/>
          <w:lang w:val="en-US" w:eastAsia="zh-CN"/>
        </w:rPr>
        <w:t>特定目标类项目-保基本民生项目-城乡居民基本医疗保险项目</w:t>
      </w:r>
      <w:r>
        <w:rPr>
          <w:rFonts w:hint="eastAsia" w:ascii="Times New Roman" w:hAnsi="Times New Roman" w:cs="Times New Roman"/>
          <w:b w:val="0"/>
          <w:bCs w:val="0"/>
          <w:color w:val="auto"/>
          <w:sz w:val="32"/>
          <w:szCs w:val="32"/>
          <w:highlight w:val="none"/>
          <w:lang w:val="en-US" w:eastAsia="zh-CN"/>
        </w:rPr>
        <w:t>年初设定的</w:t>
      </w:r>
      <w:r>
        <w:rPr>
          <w:rFonts w:hint="eastAsia" w:ascii="仿宋_GB2312" w:hAnsi="Times New Roman" w:cs="Times New Roman"/>
          <w:color w:val="auto"/>
          <w:sz w:val="32"/>
          <w:szCs w:val="32"/>
          <w:highlight w:val="none"/>
          <w:lang w:val="zh-CN"/>
        </w:rPr>
        <w:t>绩效目标与实施效果、历史与当期情况的比较，综合分析绩效目标实现程度</w:t>
      </w:r>
      <w:r>
        <w:rPr>
          <w:rFonts w:hint="eastAsia" w:ascii="仿宋_GB2312" w:cs="Times New Roman"/>
          <w:color w:val="auto"/>
          <w:sz w:val="32"/>
          <w:szCs w:val="32"/>
          <w:highlight w:val="none"/>
          <w:lang w:val="zh-CN"/>
        </w:rPr>
        <w:t>，</w:t>
      </w:r>
      <w:r>
        <w:rPr>
          <w:rFonts w:hint="eastAsia" w:ascii="仿宋_GB2312" w:cs="Times New Roman"/>
          <w:color w:val="auto"/>
          <w:sz w:val="32"/>
          <w:szCs w:val="32"/>
          <w:highlight w:val="none"/>
          <w:lang w:val="en-US" w:eastAsia="zh-CN"/>
        </w:rPr>
        <w:t>不断提升绩效管理水平</w:t>
      </w:r>
      <w:r>
        <w:rPr>
          <w:rFonts w:hint="eastAsia" w:ascii="仿宋_GB2312" w:hAnsi="Times New Roman" w:cs="Times New Roman"/>
          <w:color w:val="auto"/>
          <w:sz w:val="32"/>
          <w:szCs w:val="32"/>
          <w:highlight w:val="none"/>
          <w:lang w:val="zh-CN"/>
        </w:rPr>
        <w:t>；通过对社会群众</w:t>
      </w:r>
      <w:r>
        <w:rPr>
          <w:rFonts w:hint="eastAsia" w:ascii="仿宋_GB2312" w:hAnsi="Times New Roman" w:cs="Times New Roman"/>
          <w:color w:val="auto"/>
          <w:sz w:val="32"/>
          <w:szCs w:val="32"/>
          <w:highlight w:val="none"/>
          <w:lang w:val="en-US" w:eastAsia="zh-CN"/>
        </w:rPr>
        <w:t>访谈</w:t>
      </w:r>
      <w:r>
        <w:rPr>
          <w:rFonts w:hint="eastAsia" w:ascii="仿宋_GB2312" w:hAnsi="Times New Roman" w:cs="Times New Roman"/>
          <w:color w:val="auto"/>
          <w:sz w:val="32"/>
          <w:szCs w:val="32"/>
          <w:highlight w:val="none"/>
          <w:lang w:val="zh-CN"/>
        </w:rPr>
        <w:t>及抽样调查等对财政支出效果进行评判，</w:t>
      </w:r>
      <w:r>
        <w:rPr>
          <w:rFonts w:hint="eastAsia" w:ascii="仿宋_GB2312" w:cs="Times New Roman"/>
          <w:color w:val="auto"/>
          <w:sz w:val="32"/>
          <w:szCs w:val="32"/>
          <w:highlight w:val="none"/>
          <w:lang w:val="en-US" w:eastAsia="zh-CN"/>
        </w:rPr>
        <w:t>了解直接受益群体对项目的直观感受</w:t>
      </w:r>
      <w:r>
        <w:rPr>
          <w:rFonts w:hint="eastAsia" w:ascii="仿宋_GB2312" w:cs="Times New Roman"/>
          <w:color w:val="auto"/>
          <w:sz w:val="32"/>
          <w:szCs w:val="32"/>
          <w:highlight w:val="none"/>
          <w:lang w:val="zh-CN"/>
        </w:rPr>
        <w:t>，</w:t>
      </w:r>
      <w:r>
        <w:rPr>
          <w:rFonts w:hint="eastAsia" w:ascii="仿宋_GB2312" w:hAnsi="Times New Roman" w:cs="Times New Roman"/>
          <w:color w:val="auto"/>
          <w:sz w:val="32"/>
          <w:szCs w:val="32"/>
          <w:highlight w:val="none"/>
          <w:lang w:val="zh-CN"/>
        </w:rPr>
        <w:t>评价绩效目标实现程度</w:t>
      </w:r>
      <w:r>
        <w:rPr>
          <w:rFonts w:hint="eastAsia" w:ascii="仿宋_GB2312" w:cs="Times New Roman"/>
          <w:color w:val="auto"/>
          <w:sz w:val="32"/>
          <w:szCs w:val="32"/>
          <w:highlight w:val="none"/>
          <w:lang w:val="zh-CN"/>
        </w:rPr>
        <w:t>，</w:t>
      </w:r>
      <w:r>
        <w:rPr>
          <w:rFonts w:hint="eastAsia" w:ascii="仿宋_GB2312" w:cs="Times New Roman"/>
          <w:color w:val="auto"/>
          <w:sz w:val="32"/>
          <w:szCs w:val="32"/>
          <w:highlight w:val="none"/>
          <w:lang w:val="en-US" w:eastAsia="zh-CN"/>
        </w:rPr>
        <w:t>推动了</w:t>
      </w:r>
      <w:r>
        <w:rPr>
          <w:rFonts w:hint="eastAsia" w:ascii="仿宋_GB2312"/>
          <w:color w:val="auto"/>
          <w:sz w:val="32"/>
          <w:szCs w:val="32"/>
          <w:highlight w:val="none"/>
          <w:lang w:val="en-US" w:eastAsia="zh-CN"/>
        </w:rPr>
        <w:t>参保群众看病就医结算方便程度，减少了参保群众医疗经济负担</w:t>
      </w:r>
      <w:r>
        <w:rPr>
          <w:rFonts w:hint="eastAsia" w:ascii="仿宋_GB2312"/>
          <w:color w:val="auto"/>
          <w:sz w:val="32"/>
          <w:szCs w:val="32"/>
          <w:highlight w:val="none"/>
          <w:lang w:eastAsia="zh-CN"/>
        </w:rPr>
        <w:t>。</w:t>
      </w:r>
    </w:p>
    <w:p w14:paraId="4B532907">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4</w:t>
      </w:r>
      <w:r>
        <w:rPr>
          <w:rFonts w:hint="eastAsia"/>
          <w:b/>
          <w:bCs/>
          <w:color w:val="auto"/>
          <w:sz w:val="32"/>
          <w:szCs w:val="32"/>
          <w:highlight w:val="none"/>
          <w:lang w:val="en-US" w:eastAsia="zh-CN"/>
        </w:rPr>
        <w:t>.</w:t>
      </w:r>
      <w:r>
        <w:rPr>
          <w:rFonts w:hint="eastAsia"/>
          <w:b/>
          <w:bCs/>
          <w:color w:val="auto"/>
          <w:sz w:val="32"/>
          <w:szCs w:val="32"/>
          <w:highlight w:val="none"/>
        </w:rPr>
        <w:t>评价标准</w:t>
      </w:r>
    </w:p>
    <w:p w14:paraId="4C6F563E">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Times New Roman" w:cs="Times New Roman"/>
          <w:color w:val="auto"/>
          <w:sz w:val="32"/>
          <w:szCs w:val="32"/>
          <w:highlight w:val="none"/>
          <w:lang w:val="zh-CN"/>
        </w:rPr>
      </w:pPr>
      <w:r>
        <w:rPr>
          <w:rFonts w:hint="eastAsia" w:ascii="仿宋_GB2312" w:hAnsi="Times New Roman" w:cs="Times New Roman"/>
          <w:color w:val="auto"/>
          <w:sz w:val="32"/>
          <w:szCs w:val="32"/>
          <w:highlight w:val="none"/>
          <w:lang w:val="zh-CN"/>
        </w:rPr>
        <w:t>绩效评价标准通常包括计划标准、行业标准、历史标准等，用于对绩效指标完成情况进行比较、分析、评价。本次项目支出绩效自评采用计划标准，原因是：</w:t>
      </w:r>
      <w:r>
        <w:rPr>
          <w:rFonts w:hint="eastAsia" w:ascii="仿宋_GB2312" w:hAnsi="Times New Roman" w:cs="Times New Roman"/>
          <w:color w:val="auto"/>
          <w:sz w:val="32"/>
          <w:szCs w:val="32"/>
          <w:highlight w:val="none"/>
          <w:lang w:val="en-US" w:eastAsia="zh-CN"/>
        </w:rPr>
        <w:t>通过</w:t>
      </w:r>
      <w:r>
        <w:rPr>
          <w:rFonts w:hint="eastAsia" w:ascii="仿宋_GB2312" w:hAnsi="Times New Roman" w:cs="Times New Roman"/>
          <w:color w:val="auto"/>
          <w:sz w:val="32"/>
          <w:szCs w:val="32"/>
          <w:highlight w:val="none"/>
          <w:lang w:val="zh-CN"/>
        </w:rPr>
        <w:t>预先制定的</w:t>
      </w:r>
      <w:r>
        <w:rPr>
          <w:rFonts w:hint="eastAsia" w:ascii="仿宋_GB2312" w:hAnsi="Times New Roman" w:cs="Times New Roman"/>
          <w:color w:val="auto"/>
          <w:sz w:val="32"/>
          <w:szCs w:val="32"/>
          <w:highlight w:val="none"/>
          <w:lang w:val="en-US" w:eastAsia="zh-CN"/>
        </w:rPr>
        <w:t>项目产出、效益等</w:t>
      </w:r>
      <w:r>
        <w:rPr>
          <w:rFonts w:hint="eastAsia" w:ascii="仿宋_GB2312" w:hAnsi="Times New Roman" w:cs="Times New Roman"/>
          <w:color w:val="auto"/>
          <w:sz w:val="32"/>
          <w:szCs w:val="32"/>
          <w:highlight w:val="none"/>
          <w:lang w:val="zh-CN"/>
        </w:rPr>
        <w:t>目标、</w:t>
      </w:r>
      <w:r>
        <w:rPr>
          <w:rFonts w:hint="eastAsia" w:ascii="仿宋_GB2312" w:hAnsi="Times New Roman" w:cs="Times New Roman"/>
          <w:color w:val="auto"/>
          <w:sz w:val="32"/>
          <w:szCs w:val="32"/>
          <w:highlight w:val="none"/>
          <w:lang w:val="en-US" w:eastAsia="zh-CN"/>
        </w:rPr>
        <w:t>并制定项目实施</w:t>
      </w:r>
      <w:r>
        <w:rPr>
          <w:rFonts w:hint="eastAsia" w:ascii="仿宋_GB2312" w:hAnsi="Times New Roman" w:cs="Times New Roman"/>
          <w:color w:val="auto"/>
          <w:sz w:val="32"/>
          <w:szCs w:val="32"/>
          <w:highlight w:val="none"/>
          <w:lang w:val="zh-CN"/>
        </w:rPr>
        <w:t>计划等作为评价标准</w:t>
      </w:r>
      <w:r>
        <w:rPr>
          <w:rFonts w:hint="eastAsia" w:ascii="仿宋_GB2312" w:cs="Times New Roman"/>
          <w:color w:val="auto"/>
          <w:sz w:val="32"/>
          <w:szCs w:val="32"/>
          <w:highlight w:val="none"/>
          <w:lang w:val="zh-CN"/>
        </w:rPr>
        <w:t>，</w:t>
      </w:r>
      <w:r>
        <w:rPr>
          <w:rFonts w:hint="eastAsia" w:ascii="仿宋_GB2312" w:hAnsi="Times New Roman" w:cs="Times New Roman"/>
          <w:color w:val="auto"/>
          <w:sz w:val="32"/>
          <w:szCs w:val="32"/>
          <w:highlight w:val="none"/>
          <w:lang w:val="en-US" w:eastAsia="zh-CN"/>
        </w:rPr>
        <w:t>项目实施完成后，</w:t>
      </w:r>
      <w:r>
        <w:rPr>
          <w:rFonts w:hint="eastAsia" w:ascii="仿宋_GB2312" w:hAnsi="Times New Roman" w:cs="Times New Roman"/>
          <w:color w:val="auto"/>
          <w:sz w:val="32"/>
          <w:szCs w:val="32"/>
          <w:highlight w:val="none"/>
          <w:lang w:val="zh-CN"/>
        </w:rPr>
        <w:t>对绩效指标完成情况进行比较</w:t>
      </w:r>
      <w:r>
        <w:rPr>
          <w:rFonts w:hint="eastAsia" w:ascii="仿宋_GB2312" w:hAnsi="Times New Roman" w:cs="Times New Roman"/>
          <w:color w:val="auto"/>
          <w:sz w:val="32"/>
          <w:szCs w:val="32"/>
          <w:highlight w:val="none"/>
          <w:lang w:val="zh-CN" w:eastAsia="zh-CN"/>
        </w:rPr>
        <w:t>，</w:t>
      </w:r>
      <w:r>
        <w:rPr>
          <w:rFonts w:hint="eastAsia" w:ascii="仿宋_GB2312" w:hAnsi="Times New Roman" w:cs="Times New Roman"/>
          <w:color w:val="auto"/>
          <w:sz w:val="32"/>
          <w:szCs w:val="32"/>
          <w:highlight w:val="none"/>
          <w:lang w:val="en-US" w:eastAsia="zh-CN"/>
        </w:rPr>
        <w:t>从而反映项目产出和效益情况</w:t>
      </w:r>
      <w:r>
        <w:rPr>
          <w:rFonts w:hint="eastAsia" w:ascii="仿宋_GB2312" w:hAnsi="Times New Roman" w:cs="Times New Roman"/>
          <w:color w:val="auto"/>
          <w:sz w:val="32"/>
          <w:szCs w:val="32"/>
          <w:highlight w:val="none"/>
          <w:lang w:val="zh-CN"/>
        </w:rPr>
        <w:t>。</w:t>
      </w:r>
    </w:p>
    <w:p w14:paraId="0BDB949D">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rPr>
      </w:pPr>
      <w:bookmarkStart w:id="9" w:name="_Toc68703833"/>
      <w:r>
        <w:rPr>
          <w:rFonts w:hint="eastAsia" w:ascii="仿宋_GB2312" w:eastAsia="仿宋_GB2312"/>
          <w:b/>
          <w:bCs/>
          <w:color w:val="auto"/>
          <w:sz w:val="32"/>
          <w:szCs w:val="32"/>
          <w:highlight w:val="none"/>
        </w:rPr>
        <w:t>（三）绩效评价工作过程。</w:t>
      </w:r>
      <w:bookmarkEnd w:id="9"/>
    </w:p>
    <w:p w14:paraId="112F0A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10" w:name="_Toc68703834"/>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14:paraId="50C631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087509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14:paraId="05E591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14:paraId="604C80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14:paraId="121CBE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6D497C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14:paraId="2E6189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7EE30D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14:paraId="7CF581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0AF9C0B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14:paraId="338A87D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EEACCDA">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highlight w:val="none"/>
        </w:rPr>
      </w:pPr>
      <w:r>
        <w:rPr>
          <w:rFonts w:hint="eastAsia" w:ascii="宋体" w:hAnsi="宋体" w:eastAsia="宋体"/>
          <w:color w:val="auto"/>
          <w:sz w:val="32"/>
          <w:szCs w:val="32"/>
          <w:highlight w:val="none"/>
        </w:rPr>
        <w:t>三、综合评价情况及评价结论</w:t>
      </w:r>
      <w:bookmarkEnd w:id="10"/>
    </w:p>
    <w:p w14:paraId="77E6AF3F">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lang w:eastAsia="zh-CN"/>
        </w:rPr>
      </w:pPr>
      <w:bookmarkStart w:id="11" w:name="_Toc68703835"/>
      <w:r>
        <w:rPr>
          <w:rFonts w:hint="eastAsia" w:ascii="仿宋_GB2312" w:eastAsia="仿宋_GB2312"/>
          <w:b/>
          <w:bCs/>
          <w:color w:val="auto"/>
          <w:sz w:val="32"/>
          <w:szCs w:val="32"/>
          <w:highlight w:val="none"/>
        </w:rPr>
        <w:t>（一）综合评价情况</w:t>
      </w:r>
      <w:bookmarkEnd w:id="11"/>
      <w:r>
        <w:rPr>
          <w:rFonts w:hint="eastAsia" w:ascii="仿宋_GB2312" w:eastAsia="仿宋_GB2312"/>
          <w:b/>
          <w:bCs/>
          <w:color w:val="auto"/>
          <w:sz w:val="32"/>
          <w:szCs w:val="32"/>
          <w:highlight w:val="none"/>
          <w:lang w:eastAsia="zh-CN"/>
        </w:rPr>
        <w:t>及评价结论</w:t>
      </w:r>
    </w:p>
    <w:p w14:paraId="16B0E105">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bookmarkStart w:id="12" w:name="_Toc68703836"/>
      <w:r>
        <w:rPr>
          <w:rFonts w:hint="default" w:ascii="Times New Roman" w:hAnsi="Times New Roman" w:eastAsia="仿宋_GB2312" w:cs="Times New Roman"/>
          <w:b w:val="0"/>
          <w:bCs w:val="0"/>
          <w:color w:val="auto"/>
          <w:sz w:val="32"/>
          <w:szCs w:val="32"/>
          <w:highlight w:val="none"/>
        </w:rPr>
        <w:t>本项目的综合评价基于对项目各方面绩效的深入分析与评估。从项目目标的达成情况来看，</w:t>
      </w:r>
      <w:bookmarkStart w:id="13" w:name="OLE_LINK6"/>
      <w:r>
        <w:rPr>
          <w:rFonts w:hint="eastAsia" w:ascii="Times New Roman" w:hAnsi="Times New Roman" w:cs="Times New Roman"/>
          <w:b w:val="0"/>
          <w:bCs w:val="0"/>
          <w:color w:val="auto"/>
          <w:sz w:val="32"/>
          <w:szCs w:val="32"/>
          <w:highlight w:val="none"/>
          <w:lang w:val="en-US" w:eastAsia="zh-CN"/>
        </w:rPr>
        <w:t>特定目标类项目-保基本民生项目-城乡居民基本医疗保险</w:t>
      </w:r>
      <w:bookmarkEnd w:id="13"/>
      <w:r>
        <w:rPr>
          <w:rFonts w:hint="default" w:ascii="Times New Roman" w:hAnsi="Times New Roman" w:eastAsia="仿宋_GB2312" w:cs="Times New Roman"/>
          <w:b w:val="0"/>
          <w:bCs w:val="0"/>
          <w:color w:val="auto"/>
          <w:sz w:val="32"/>
          <w:szCs w:val="32"/>
          <w:highlight w:val="none"/>
        </w:rPr>
        <w:t>在城乡居民基本医疗保险参保人数</w:t>
      </w:r>
      <w:r>
        <w:rPr>
          <w:rFonts w:hint="eastAsia" w:cs="Times New Roman"/>
          <w:b w:val="0"/>
          <w:bCs w:val="0"/>
          <w:color w:val="auto"/>
          <w:sz w:val="32"/>
          <w:szCs w:val="32"/>
          <w:highlight w:val="none"/>
          <w:lang w:eastAsia="zh-CN"/>
        </w:rPr>
        <w:t>、参保率</w:t>
      </w:r>
      <w:r>
        <w:rPr>
          <w:rFonts w:hint="default" w:ascii="Times New Roman" w:hAnsi="Times New Roman" w:eastAsia="仿宋_GB2312" w:cs="Times New Roman"/>
          <w:b w:val="0"/>
          <w:bCs w:val="0"/>
          <w:color w:val="auto"/>
          <w:sz w:val="32"/>
          <w:szCs w:val="32"/>
          <w:highlight w:val="none"/>
        </w:rPr>
        <w:t>等方面表现出色，达到了预期的标准与要求。同时，项目也在</w:t>
      </w:r>
      <w:bookmarkStart w:id="14" w:name="OLE_LINK5"/>
      <w:r>
        <w:rPr>
          <w:rFonts w:hint="eastAsia" w:cs="Times New Roman"/>
          <w:b w:val="0"/>
          <w:bCs w:val="0"/>
          <w:color w:val="auto"/>
          <w:sz w:val="32"/>
          <w:szCs w:val="32"/>
          <w:highlight w:val="none"/>
          <w:lang w:eastAsia="zh-CN"/>
        </w:rPr>
        <w:t>医疗保障领域</w:t>
      </w:r>
      <w:r>
        <w:rPr>
          <w:rFonts w:hint="default" w:ascii="Times New Roman" w:hAnsi="Times New Roman" w:eastAsia="仿宋_GB2312" w:cs="Times New Roman"/>
          <w:b w:val="0"/>
          <w:bCs w:val="0"/>
          <w:color w:val="auto"/>
          <w:sz w:val="32"/>
          <w:szCs w:val="32"/>
          <w:highlight w:val="none"/>
        </w:rPr>
        <w:t>取得了显著的成效，如城乡居民基本医疗保险参保人数达到9.54万人</w:t>
      </w:r>
      <w:r>
        <w:rPr>
          <w:rFonts w:hint="eastAsia" w:cs="Times New Roman"/>
          <w:b w:val="0"/>
          <w:bCs w:val="0"/>
          <w:color w:val="auto"/>
          <w:sz w:val="32"/>
          <w:szCs w:val="32"/>
          <w:highlight w:val="none"/>
          <w:lang w:eastAsia="zh-CN"/>
        </w:rPr>
        <w:t>、</w:t>
      </w:r>
      <w:r>
        <w:rPr>
          <w:rFonts w:hint="default" w:ascii="Times New Roman" w:hAnsi="Times New Roman" w:eastAsia="仿宋_GB2312" w:cs="Times New Roman"/>
          <w:b w:val="0"/>
          <w:bCs w:val="0"/>
          <w:color w:val="auto"/>
          <w:sz w:val="32"/>
          <w:szCs w:val="32"/>
          <w:highlight w:val="none"/>
        </w:rPr>
        <w:t>提高了群众看病就医结算方便程度等。</w:t>
      </w:r>
      <w:bookmarkEnd w:id="14"/>
    </w:p>
    <w:p w14:paraId="410A7192">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在项目管理方面，</w:t>
      </w:r>
      <w:r>
        <w:rPr>
          <w:rFonts w:hint="eastAsia" w:cs="Times New Roman"/>
          <w:b w:val="0"/>
          <w:bCs w:val="0"/>
          <w:color w:val="auto"/>
          <w:sz w:val="32"/>
          <w:szCs w:val="32"/>
          <w:highlight w:val="none"/>
          <w:lang w:val="en-US" w:eastAsia="zh-CN"/>
        </w:rPr>
        <w:t>轮台县医疗保障局</w:t>
      </w:r>
      <w:r>
        <w:rPr>
          <w:rFonts w:hint="default" w:ascii="Times New Roman" w:hAnsi="Times New Roman" w:eastAsia="仿宋_GB2312" w:cs="Times New Roman"/>
          <w:b w:val="0"/>
          <w:bCs w:val="0"/>
          <w:color w:val="auto"/>
          <w:sz w:val="32"/>
          <w:szCs w:val="32"/>
          <w:highlight w:val="none"/>
        </w:rPr>
        <w:t>通过有效的规划、组织与协调，项目得以顺利实施，并在预算与时间上保持了良好的控制。</w:t>
      </w:r>
    </w:p>
    <w:p w14:paraId="38D2DEED">
      <w:pPr>
        <w:pStyle w:val="9"/>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从项目效益的角度来看，本项目不仅实现了预期的社会效益等方面产生了积极的影响。具体而言，</w:t>
      </w:r>
      <w:r>
        <w:rPr>
          <w:rFonts w:hint="eastAsia" w:cs="Times New Roman"/>
          <w:b w:val="0"/>
          <w:bCs w:val="0"/>
          <w:color w:val="auto"/>
          <w:sz w:val="32"/>
          <w:szCs w:val="32"/>
          <w:highlight w:val="none"/>
          <w:lang w:eastAsia="zh-CN"/>
        </w:rPr>
        <w:t>提高</w:t>
      </w:r>
      <w:r>
        <w:rPr>
          <w:rFonts w:hint="default" w:ascii="Times New Roman" w:hAnsi="Times New Roman" w:eastAsia="仿宋_GB2312" w:cs="Times New Roman"/>
          <w:b w:val="0"/>
          <w:bCs w:val="0"/>
          <w:color w:val="auto"/>
          <w:sz w:val="32"/>
          <w:szCs w:val="32"/>
          <w:highlight w:val="none"/>
        </w:rPr>
        <w:t>参保群众看病就医结算方便程度、</w:t>
      </w:r>
      <w:r>
        <w:rPr>
          <w:rFonts w:hint="eastAsia" w:cs="Times New Roman"/>
          <w:b w:val="0"/>
          <w:bCs w:val="0"/>
          <w:color w:val="auto"/>
          <w:sz w:val="32"/>
          <w:szCs w:val="32"/>
          <w:highlight w:val="none"/>
          <w:lang w:eastAsia="zh-CN"/>
        </w:rPr>
        <w:t>减轻</w:t>
      </w:r>
      <w:r>
        <w:rPr>
          <w:rFonts w:hint="default" w:ascii="Times New Roman" w:hAnsi="Times New Roman" w:eastAsia="仿宋_GB2312" w:cs="Times New Roman"/>
          <w:b w:val="0"/>
          <w:bCs w:val="0"/>
          <w:color w:val="auto"/>
          <w:sz w:val="32"/>
          <w:szCs w:val="32"/>
          <w:highlight w:val="none"/>
        </w:rPr>
        <w:t>参保群众医疗经济负担等方面的提升，为项目的利益相关者带来了</w:t>
      </w:r>
      <w:r>
        <w:rPr>
          <w:rFonts w:hint="eastAsia" w:ascii="Times New Roman" w:hAnsi="Times New Roman" w:cs="Times New Roman"/>
          <w:b w:val="0"/>
          <w:bCs w:val="0"/>
          <w:color w:val="auto"/>
          <w:sz w:val="32"/>
          <w:szCs w:val="32"/>
          <w:highlight w:val="none"/>
          <w:lang w:val="en-US" w:eastAsia="zh-CN"/>
        </w:rPr>
        <w:t>切实</w:t>
      </w:r>
      <w:r>
        <w:rPr>
          <w:rFonts w:hint="default" w:ascii="Times New Roman" w:hAnsi="Times New Roman" w:eastAsia="仿宋_GB2312" w:cs="Times New Roman"/>
          <w:b w:val="0"/>
          <w:bCs w:val="0"/>
          <w:color w:val="auto"/>
          <w:sz w:val="32"/>
          <w:szCs w:val="32"/>
          <w:highlight w:val="none"/>
        </w:rPr>
        <w:t>的利益。</w:t>
      </w:r>
    </w:p>
    <w:p w14:paraId="30087735">
      <w:pPr>
        <w:pStyle w:val="3"/>
        <w:pageBreakBefore w:val="0"/>
        <w:kinsoku/>
        <w:wordWrap/>
        <w:overflowPunct/>
        <w:topLinePunct w:val="0"/>
        <w:autoSpaceDE/>
        <w:autoSpaceDN/>
        <w:bidi w:val="0"/>
        <w:adjustRightInd/>
        <w:snapToGrid/>
        <w:spacing w:before="0" w:after="0" w:line="560" w:lineRule="exact"/>
        <w:ind w:firstLine="640" w:firstLineChars="200"/>
        <w:textAlignment w:val="auto"/>
        <w:rPr>
          <w:rFonts w:hint="default" w:ascii="Times New Roman" w:hAnsi="Times New Roman" w:eastAsia="仿宋_GB2312" w:cs="Times New Roman"/>
          <w:b w:val="0"/>
          <w:bCs w:val="0"/>
          <w:color w:val="auto"/>
          <w:sz w:val="32"/>
          <w:szCs w:val="32"/>
          <w:highlight w:val="none"/>
        </w:rPr>
      </w:pPr>
      <w:r>
        <w:rPr>
          <w:rFonts w:hint="default" w:ascii="Times New Roman" w:hAnsi="Times New Roman" w:eastAsia="仿宋_GB2312" w:cs="Times New Roman"/>
          <w:b w:val="0"/>
          <w:bCs w:val="0"/>
          <w:color w:val="auto"/>
          <w:sz w:val="32"/>
          <w:szCs w:val="32"/>
          <w:highlight w:val="none"/>
        </w:rPr>
        <w:t>综上所述，</w:t>
      </w:r>
      <w:r>
        <w:rPr>
          <w:rFonts w:hint="eastAsia" w:ascii="Times New Roman" w:hAnsi="Times New Roman" w:eastAsia="仿宋_GB2312" w:cs="Times New Roman"/>
          <w:b w:val="0"/>
          <w:bCs w:val="0"/>
          <w:color w:val="auto"/>
          <w:kern w:val="0"/>
          <w:sz w:val="32"/>
          <w:szCs w:val="32"/>
          <w:highlight w:val="none"/>
          <w:lang w:val="en-US" w:eastAsia="zh-CN"/>
        </w:rPr>
        <w:t>特定目标类项目-保基本民生项目-城乡居民基本医疗保险项目</w:t>
      </w:r>
      <w:r>
        <w:rPr>
          <w:rFonts w:hint="default" w:ascii="Times New Roman" w:hAnsi="Times New Roman" w:eastAsia="仿宋_GB2312" w:cs="Times New Roman"/>
          <w:b w:val="0"/>
          <w:bCs w:val="0"/>
          <w:color w:val="auto"/>
          <w:sz w:val="32"/>
          <w:szCs w:val="32"/>
          <w:highlight w:val="none"/>
        </w:rPr>
        <w:t>在绩效评价中表现出色，达到了项目的预期目标，并在多个方面取得了显著的成效。</w:t>
      </w:r>
    </w:p>
    <w:p w14:paraId="37750711">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rPr>
      </w:pPr>
      <w:r>
        <w:rPr>
          <w:rFonts w:hint="eastAsia" w:ascii="仿宋_GB2312" w:eastAsia="仿宋_GB2312"/>
          <w:b/>
          <w:bCs/>
          <w:color w:val="auto"/>
          <w:sz w:val="32"/>
          <w:szCs w:val="32"/>
          <w:highlight w:val="none"/>
          <w:lang w:val="en-US" w:eastAsia="zh-CN"/>
        </w:rPr>
        <w:t>2.</w:t>
      </w:r>
      <w:r>
        <w:rPr>
          <w:rFonts w:hint="eastAsia" w:ascii="仿宋_GB2312" w:eastAsia="仿宋_GB2312"/>
          <w:b/>
          <w:bCs/>
          <w:color w:val="auto"/>
          <w:sz w:val="32"/>
          <w:szCs w:val="32"/>
          <w:highlight w:val="none"/>
        </w:rPr>
        <w:t>评价结论</w:t>
      </w:r>
      <w:bookmarkEnd w:id="12"/>
    </w:p>
    <w:p w14:paraId="7E77171A">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b w:val="0"/>
          <w:bCs w:val="0"/>
          <w:color w:val="auto"/>
          <w:sz w:val="32"/>
          <w:szCs w:val="32"/>
          <w:highlight w:val="none"/>
        </w:rPr>
      </w:pPr>
      <w:r>
        <w:rPr>
          <w:rFonts w:hint="eastAsia" w:ascii="Times New Roman" w:hAnsi="Times New Roman" w:eastAsia="仿宋_GB2312"/>
          <w:b w:val="0"/>
          <w:bCs w:val="0"/>
          <w:color w:val="auto"/>
          <w:sz w:val="32"/>
          <w:szCs w:val="32"/>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b w:val="0"/>
          <w:bCs w:val="0"/>
          <w:color w:val="auto"/>
          <w:sz w:val="32"/>
          <w:szCs w:val="32"/>
          <w:highlight w:val="none"/>
          <w:lang w:val="en-US" w:eastAsia="zh-CN"/>
        </w:rPr>
        <w:t>100</w:t>
      </w:r>
      <w:r>
        <w:rPr>
          <w:rFonts w:hint="eastAsia" w:ascii="Times New Roman" w:hAnsi="Times New Roman" w:eastAsia="仿宋_GB2312"/>
          <w:b w:val="0"/>
          <w:bCs w:val="0"/>
          <w:color w:val="auto"/>
          <w:sz w:val="32"/>
          <w:szCs w:val="32"/>
          <w:highlight w:val="none"/>
        </w:rPr>
        <w:t>分，属于“优”。其中，</w:t>
      </w:r>
    </w:p>
    <w:p w14:paraId="1E7A5A10">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b w:val="0"/>
          <w:bCs w:val="0"/>
          <w:color w:val="auto"/>
          <w:sz w:val="32"/>
          <w:szCs w:val="32"/>
          <w:highlight w:val="none"/>
          <w:lang w:eastAsia="zh-CN"/>
        </w:rPr>
      </w:pPr>
      <w:r>
        <w:rPr>
          <w:rFonts w:hint="eastAsia" w:ascii="Times New Roman" w:hAnsi="Times New Roman" w:eastAsia="仿宋_GB2312"/>
          <w:b w:val="0"/>
          <w:bCs w:val="0"/>
          <w:color w:val="auto"/>
          <w:sz w:val="32"/>
          <w:szCs w:val="32"/>
          <w:highlight w:val="none"/>
        </w:rPr>
        <w:t>项目决策类指标权重为20分，得分为</w:t>
      </w:r>
      <w:r>
        <w:rPr>
          <w:rFonts w:hint="eastAsia"/>
          <w:b w:val="0"/>
          <w:bCs w:val="0"/>
          <w:color w:val="auto"/>
          <w:sz w:val="32"/>
          <w:szCs w:val="32"/>
          <w:highlight w:val="none"/>
          <w:lang w:val="en-US" w:eastAsia="zh-CN"/>
        </w:rPr>
        <w:t>20</w:t>
      </w:r>
      <w:r>
        <w:rPr>
          <w:rFonts w:hint="eastAsia" w:ascii="Times New Roman" w:hAnsi="Times New Roman" w:eastAsia="仿宋_GB2312"/>
          <w:b w:val="0"/>
          <w:bCs w:val="0"/>
          <w:color w:val="auto"/>
          <w:sz w:val="32"/>
          <w:szCs w:val="32"/>
          <w:highlight w:val="none"/>
        </w:rPr>
        <w:t>分，得分率为</w:t>
      </w:r>
      <w:r>
        <w:rPr>
          <w:rFonts w:hint="eastAsia"/>
          <w:b w:val="0"/>
          <w:bCs w:val="0"/>
          <w:color w:val="auto"/>
          <w:sz w:val="32"/>
          <w:szCs w:val="32"/>
          <w:highlight w:val="none"/>
          <w:lang w:val="en-US" w:eastAsia="zh-CN"/>
        </w:rPr>
        <w:t>100</w:t>
      </w:r>
      <w:r>
        <w:rPr>
          <w:rFonts w:hint="eastAsia" w:ascii="Times New Roman" w:hAnsi="Times New Roman" w:eastAsia="仿宋_GB2312"/>
          <w:b w:val="0"/>
          <w:bCs w:val="0"/>
          <w:color w:val="auto"/>
          <w:sz w:val="32"/>
          <w:szCs w:val="32"/>
          <w:highlight w:val="none"/>
        </w:rPr>
        <w:t>%</w:t>
      </w:r>
      <w:r>
        <w:rPr>
          <w:rFonts w:hint="eastAsia"/>
          <w:b w:val="0"/>
          <w:bCs w:val="0"/>
          <w:color w:val="auto"/>
          <w:sz w:val="32"/>
          <w:szCs w:val="32"/>
          <w:highlight w:val="none"/>
          <w:lang w:eastAsia="zh-CN"/>
        </w:rPr>
        <w:t>；</w:t>
      </w:r>
    </w:p>
    <w:p w14:paraId="3A8D6A84">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b w:val="0"/>
          <w:bCs w:val="0"/>
          <w:color w:val="auto"/>
          <w:sz w:val="32"/>
          <w:szCs w:val="32"/>
          <w:highlight w:val="none"/>
          <w:lang w:eastAsia="zh-CN"/>
        </w:rPr>
      </w:pPr>
      <w:r>
        <w:rPr>
          <w:rFonts w:hint="eastAsia" w:ascii="Times New Roman" w:hAnsi="Times New Roman" w:eastAsia="仿宋_GB2312"/>
          <w:b w:val="0"/>
          <w:bCs w:val="0"/>
          <w:color w:val="auto"/>
          <w:sz w:val="32"/>
          <w:szCs w:val="32"/>
          <w:highlight w:val="none"/>
        </w:rPr>
        <w:t>项目过程类指标权重为20分，得分为</w:t>
      </w:r>
      <w:r>
        <w:rPr>
          <w:rFonts w:hint="eastAsia"/>
          <w:b w:val="0"/>
          <w:bCs w:val="0"/>
          <w:color w:val="auto"/>
          <w:sz w:val="32"/>
          <w:szCs w:val="32"/>
          <w:highlight w:val="none"/>
          <w:lang w:val="en-US" w:eastAsia="zh-CN"/>
        </w:rPr>
        <w:t>20</w:t>
      </w:r>
      <w:r>
        <w:rPr>
          <w:rFonts w:hint="eastAsia" w:ascii="Times New Roman" w:hAnsi="Times New Roman" w:eastAsia="仿宋_GB2312"/>
          <w:b w:val="0"/>
          <w:bCs w:val="0"/>
          <w:color w:val="auto"/>
          <w:sz w:val="32"/>
          <w:szCs w:val="32"/>
          <w:highlight w:val="none"/>
        </w:rPr>
        <w:t>分，得分率为</w:t>
      </w:r>
      <w:r>
        <w:rPr>
          <w:rFonts w:hint="eastAsia"/>
          <w:b w:val="0"/>
          <w:bCs w:val="0"/>
          <w:color w:val="auto"/>
          <w:sz w:val="32"/>
          <w:szCs w:val="32"/>
          <w:highlight w:val="none"/>
          <w:lang w:val="en-US" w:eastAsia="zh-CN"/>
        </w:rPr>
        <w:t>100</w:t>
      </w:r>
      <w:r>
        <w:rPr>
          <w:rFonts w:hint="eastAsia" w:ascii="Times New Roman" w:hAnsi="Times New Roman" w:eastAsia="仿宋_GB2312"/>
          <w:b w:val="0"/>
          <w:bCs w:val="0"/>
          <w:color w:val="auto"/>
          <w:sz w:val="32"/>
          <w:szCs w:val="32"/>
          <w:highlight w:val="none"/>
        </w:rPr>
        <w:t>%</w:t>
      </w:r>
      <w:r>
        <w:rPr>
          <w:rFonts w:hint="eastAsia"/>
          <w:b w:val="0"/>
          <w:bCs w:val="0"/>
          <w:color w:val="auto"/>
          <w:sz w:val="32"/>
          <w:szCs w:val="32"/>
          <w:highlight w:val="none"/>
          <w:lang w:eastAsia="zh-CN"/>
        </w:rPr>
        <w:t>；</w:t>
      </w:r>
    </w:p>
    <w:p w14:paraId="0B123D81">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b w:val="0"/>
          <w:bCs w:val="0"/>
          <w:color w:val="auto"/>
          <w:sz w:val="32"/>
          <w:szCs w:val="32"/>
          <w:highlight w:val="none"/>
          <w:lang w:eastAsia="zh-CN"/>
        </w:rPr>
      </w:pPr>
      <w:r>
        <w:rPr>
          <w:rFonts w:hint="eastAsia" w:ascii="Times New Roman" w:hAnsi="Times New Roman" w:eastAsia="仿宋_GB2312"/>
          <w:b w:val="0"/>
          <w:bCs w:val="0"/>
          <w:color w:val="auto"/>
          <w:sz w:val="32"/>
          <w:szCs w:val="32"/>
          <w:highlight w:val="none"/>
        </w:rPr>
        <w:t>项目产出类指标权重为40分，得分为</w:t>
      </w:r>
      <w:r>
        <w:rPr>
          <w:rFonts w:hint="eastAsia"/>
          <w:b w:val="0"/>
          <w:bCs w:val="0"/>
          <w:color w:val="auto"/>
          <w:sz w:val="32"/>
          <w:szCs w:val="32"/>
          <w:highlight w:val="none"/>
          <w:lang w:val="en-US" w:eastAsia="zh-CN"/>
        </w:rPr>
        <w:t>40</w:t>
      </w:r>
      <w:r>
        <w:rPr>
          <w:rFonts w:hint="eastAsia" w:ascii="Times New Roman" w:hAnsi="Times New Roman" w:eastAsia="仿宋_GB2312"/>
          <w:b w:val="0"/>
          <w:bCs w:val="0"/>
          <w:color w:val="auto"/>
          <w:sz w:val="32"/>
          <w:szCs w:val="32"/>
          <w:highlight w:val="none"/>
        </w:rPr>
        <w:t>分，得分率为</w:t>
      </w:r>
      <w:r>
        <w:rPr>
          <w:rFonts w:hint="eastAsia"/>
          <w:b w:val="0"/>
          <w:bCs w:val="0"/>
          <w:color w:val="auto"/>
          <w:sz w:val="32"/>
          <w:szCs w:val="32"/>
          <w:highlight w:val="none"/>
          <w:lang w:val="en-US" w:eastAsia="zh-CN"/>
        </w:rPr>
        <w:t>100</w:t>
      </w:r>
      <w:r>
        <w:rPr>
          <w:rFonts w:hint="eastAsia" w:ascii="Times New Roman" w:hAnsi="Times New Roman" w:eastAsia="仿宋_GB2312"/>
          <w:b w:val="0"/>
          <w:bCs w:val="0"/>
          <w:color w:val="auto"/>
          <w:sz w:val="32"/>
          <w:szCs w:val="32"/>
          <w:highlight w:val="none"/>
        </w:rPr>
        <w:t>%</w:t>
      </w:r>
      <w:r>
        <w:rPr>
          <w:rFonts w:hint="eastAsia"/>
          <w:b w:val="0"/>
          <w:bCs w:val="0"/>
          <w:color w:val="auto"/>
          <w:sz w:val="32"/>
          <w:szCs w:val="32"/>
          <w:highlight w:val="none"/>
          <w:lang w:eastAsia="zh-CN"/>
        </w:rPr>
        <w:t>；</w:t>
      </w:r>
    </w:p>
    <w:p w14:paraId="1CB9721A">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b w:val="0"/>
          <w:bCs w:val="0"/>
          <w:color w:val="auto"/>
          <w:sz w:val="32"/>
          <w:szCs w:val="32"/>
          <w:highlight w:val="none"/>
        </w:rPr>
      </w:pPr>
      <w:r>
        <w:rPr>
          <w:rFonts w:hint="eastAsia" w:ascii="Times New Roman" w:hAnsi="Times New Roman" w:eastAsia="仿宋_GB2312"/>
          <w:b w:val="0"/>
          <w:bCs w:val="0"/>
          <w:color w:val="auto"/>
          <w:sz w:val="32"/>
          <w:szCs w:val="32"/>
          <w:highlight w:val="none"/>
        </w:rPr>
        <w:t>项目效益类指标权重为20分，得分为</w:t>
      </w:r>
      <w:r>
        <w:rPr>
          <w:rFonts w:hint="eastAsia"/>
          <w:b w:val="0"/>
          <w:bCs w:val="0"/>
          <w:color w:val="auto"/>
          <w:sz w:val="32"/>
          <w:szCs w:val="32"/>
          <w:highlight w:val="none"/>
          <w:lang w:val="en-US" w:eastAsia="zh-CN"/>
        </w:rPr>
        <w:t>20</w:t>
      </w:r>
      <w:r>
        <w:rPr>
          <w:rFonts w:hint="eastAsia" w:ascii="Times New Roman" w:hAnsi="Times New Roman" w:eastAsia="仿宋_GB2312"/>
          <w:b w:val="0"/>
          <w:bCs w:val="0"/>
          <w:color w:val="auto"/>
          <w:sz w:val="32"/>
          <w:szCs w:val="32"/>
          <w:highlight w:val="none"/>
        </w:rPr>
        <w:t>分，得分率为</w:t>
      </w:r>
      <w:r>
        <w:rPr>
          <w:rFonts w:hint="eastAsia"/>
          <w:b w:val="0"/>
          <w:bCs w:val="0"/>
          <w:color w:val="auto"/>
          <w:sz w:val="32"/>
          <w:szCs w:val="32"/>
          <w:highlight w:val="none"/>
          <w:lang w:val="en-US" w:eastAsia="zh-CN"/>
        </w:rPr>
        <w:t>100</w:t>
      </w:r>
      <w:r>
        <w:rPr>
          <w:rFonts w:hint="eastAsia" w:ascii="Times New Roman" w:hAnsi="Times New Roman" w:eastAsia="仿宋_GB2312"/>
          <w:b w:val="0"/>
          <w:bCs w:val="0"/>
          <w:color w:val="auto"/>
          <w:sz w:val="32"/>
          <w:szCs w:val="32"/>
          <w:highlight w:val="none"/>
        </w:rPr>
        <w:t>%</w:t>
      </w:r>
      <w:r>
        <w:rPr>
          <w:rFonts w:hint="eastAsia"/>
          <w:b w:val="0"/>
          <w:bCs w:val="0"/>
          <w:color w:val="auto"/>
          <w:sz w:val="32"/>
          <w:szCs w:val="32"/>
          <w:highlight w:val="none"/>
          <w:lang w:eastAsia="zh-CN"/>
        </w:rPr>
        <w:t>；</w:t>
      </w:r>
    </w:p>
    <w:p w14:paraId="3EC15204">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b w:val="0"/>
          <w:bCs w:val="0"/>
          <w:color w:val="auto"/>
          <w:sz w:val="32"/>
          <w:szCs w:val="32"/>
          <w:highlight w:val="none"/>
          <w:lang w:eastAsia="zh-CN"/>
        </w:rPr>
      </w:pPr>
      <w:r>
        <w:rPr>
          <w:rFonts w:hint="eastAsia" w:ascii="Times New Roman" w:hAnsi="Times New Roman" w:eastAsia="仿宋_GB2312"/>
          <w:b w:val="0"/>
          <w:bCs w:val="0"/>
          <w:color w:val="auto"/>
          <w:sz w:val="32"/>
          <w:szCs w:val="32"/>
          <w:highlight w:val="none"/>
        </w:rPr>
        <w:t>具体打分情况详见：</w:t>
      </w:r>
      <w:r>
        <w:rPr>
          <w:rFonts w:hint="default" w:ascii="Times New Roman" w:hAnsi="Times New Roman" w:eastAsia="仿宋_GB2312" w:cs="Times New Roman"/>
          <w:b w:val="0"/>
          <w:bCs w:val="0"/>
          <w:color w:val="auto"/>
          <w:highlight w:val="none"/>
        </w:rPr>
        <w:t>附件1综合评分表</w:t>
      </w:r>
      <w:r>
        <w:rPr>
          <w:rFonts w:hint="eastAsia"/>
          <w:b w:val="0"/>
          <w:bCs w:val="0"/>
          <w:color w:val="auto"/>
          <w:sz w:val="32"/>
          <w:szCs w:val="32"/>
          <w:highlight w:val="none"/>
          <w:lang w:eastAsia="zh-CN"/>
        </w:rPr>
        <w:t>：</w:t>
      </w:r>
    </w:p>
    <w:p w14:paraId="0FCC5548">
      <w:pPr>
        <w:pageBreakBefore w:val="0"/>
        <w:kinsoku/>
        <w:wordWrap/>
        <w:overflowPunct/>
        <w:topLinePunct w:val="0"/>
        <w:autoSpaceDE/>
        <w:autoSpaceDN/>
        <w:bidi w:val="0"/>
        <w:adjustRightInd/>
        <w:snapToGrid/>
        <w:spacing w:line="560" w:lineRule="exact"/>
        <w:ind w:firstLine="643" w:firstLineChars="200"/>
        <w:jc w:val="center"/>
        <w:textAlignment w:val="auto"/>
        <w:rPr>
          <w:b/>
          <w:bCs/>
          <w:color w:val="auto"/>
          <w:sz w:val="32"/>
          <w:szCs w:val="32"/>
          <w:highlight w:val="none"/>
        </w:rPr>
      </w:pPr>
      <w:r>
        <w:rPr>
          <w:rFonts w:hint="eastAsia"/>
          <w:b/>
          <w:bCs/>
          <w:color w:val="auto"/>
          <w:sz w:val="32"/>
          <w:szCs w:val="32"/>
          <w:highlight w:val="none"/>
        </w:rPr>
        <w:t>特定目标类项目-保基本民生项目-城乡居民基本医疗保险评价得分情况</w:t>
      </w:r>
    </w:p>
    <w:tbl>
      <w:tblPr>
        <w:tblStyle w:val="11"/>
        <w:tblW w:w="7583" w:type="dxa"/>
        <w:jc w:val="center"/>
        <w:tblLayout w:type="fixed"/>
        <w:tblCellMar>
          <w:top w:w="0" w:type="dxa"/>
          <w:left w:w="108" w:type="dxa"/>
          <w:bottom w:w="0" w:type="dxa"/>
          <w:right w:w="108" w:type="dxa"/>
        </w:tblCellMar>
      </w:tblPr>
      <w:tblGrid>
        <w:gridCol w:w="3137"/>
        <w:gridCol w:w="2168"/>
        <w:gridCol w:w="2278"/>
      </w:tblGrid>
      <w:tr w14:paraId="468DDE3E">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vAlign w:val="center"/>
          </w:tcPr>
          <w:p w14:paraId="088521CD">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vAlign w:val="center"/>
          </w:tcPr>
          <w:p w14:paraId="6227E912">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vAlign w:val="center"/>
          </w:tcPr>
          <w:p w14:paraId="445C4FB4">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得分</w:t>
            </w:r>
          </w:p>
        </w:tc>
      </w:tr>
      <w:tr w14:paraId="249954B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61AA597">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bookmarkStart w:id="15" w:name="OLE_LINK8" w:colFirst="1" w:colLast="1"/>
            <w:r>
              <w:rPr>
                <w:rFonts w:hint="eastAsia"/>
                <w:color w:val="auto"/>
                <w:sz w:val="32"/>
                <w:szCs w:val="3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14:paraId="7EE55A0C">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0F8B368">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lang w:val="en-US" w:eastAsia="zh-CN"/>
              </w:rPr>
              <w:t>20</w:t>
            </w:r>
          </w:p>
        </w:tc>
      </w:tr>
      <w:tr w14:paraId="73C68C8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8A5D4BA">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14:paraId="74655B81">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6E726D1">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lang w:val="en-US" w:eastAsia="zh-CN"/>
              </w:rPr>
              <w:t>20</w:t>
            </w:r>
          </w:p>
        </w:tc>
      </w:tr>
      <w:tr w14:paraId="6ED5FB9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5B0157C">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14:paraId="5F2C1C10">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552AF7C3">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lang w:val="en-US" w:eastAsia="zh-CN"/>
              </w:rPr>
              <w:t>40</w:t>
            </w:r>
          </w:p>
        </w:tc>
      </w:tr>
      <w:tr w14:paraId="0029920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3027376">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14:paraId="296CF9C9">
            <w:pPr>
              <w:pageBreakBefore w:val="0"/>
              <w:kinsoku/>
              <w:wordWrap/>
              <w:overflowPunct/>
              <w:topLinePunct w:val="0"/>
              <w:autoSpaceDE/>
              <w:autoSpaceDN/>
              <w:bidi w:val="0"/>
              <w:adjustRightInd/>
              <w:snapToGrid/>
              <w:spacing w:line="560" w:lineRule="exact"/>
              <w:jc w:val="center"/>
              <w:textAlignment w:val="auto"/>
              <w:rPr>
                <w:rFonts w:hint="default" w:eastAsia="仿宋_GB2312"/>
                <w:color w:val="auto"/>
                <w:sz w:val="32"/>
                <w:szCs w:val="32"/>
                <w:highlight w:val="none"/>
                <w:lang w:val="en-US" w:eastAsia="zh-CN"/>
              </w:rPr>
            </w:pPr>
            <w:r>
              <w:rPr>
                <w:rFonts w:hint="eastAsia"/>
                <w:color w:val="auto"/>
                <w:sz w:val="32"/>
                <w:szCs w:val="32"/>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EECF53C">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lang w:val="en-US" w:eastAsia="zh-CN"/>
              </w:rPr>
              <w:t>20</w:t>
            </w:r>
          </w:p>
        </w:tc>
      </w:tr>
      <w:tr w14:paraId="6A0B7BAF">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D342BFB">
            <w:pPr>
              <w:pageBreakBefore w:val="0"/>
              <w:kinsoku/>
              <w:wordWrap/>
              <w:overflowPunct/>
              <w:topLinePunct w:val="0"/>
              <w:autoSpaceDE/>
              <w:autoSpaceDN/>
              <w:bidi w:val="0"/>
              <w:adjustRightInd/>
              <w:snapToGrid/>
              <w:spacing w:line="560" w:lineRule="exact"/>
              <w:jc w:val="center"/>
              <w:textAlignment w:val="auto"/>
              <w:rPr>
                <w:rFonts w:cs="宋体"/>
                <w:b/>
                <w:bCs/>
                <w:color w:val="auto"/>
                <w:sz w:val="32"/>
                <w:szCs w:val="32"/>
                <w:highlight w:val="none"/>
              </w:rPr>
            </w:pPr>
            <w:r>
              <w:rPr>
                <w:rFonts w:hint="eastAsia" w:cs="宋体"/>
                <w:b/>
                <w:bCs/>
                <w:color w:val="auto"/>
                <w:sz w:val="32"/>
                <w:szCs w:val="32"/>
                <w:highlight w:val="none"/>
              </w:rPr>
              <w:t>合计</w:t>
            </w:r>
          </w:p>
        </w:tc>
        <w:tc>
          <w:tcPr>
            <w:tcW w:w="2168" w:type="dxa"/>
            <w:tcBorders>
              <w:top w:val="nil"/>
              <w:left w:val="nil"/>
              <w:bottom w:val="single" w:color="auto" w:sz="4" w:space="0"/>
              <w:right w:val="single" w:color="auto" w:sz="4" w:space="0"/>
            </w:tcBorders>
            <w:shd w:val="clear" w:color="auto" w:fill="auto"/>
            <w:vAlign w:val="center"/>
          </w:tcPr>
          <w:p w14:paraId="43C6E504">
            <w:pPr>
              <w:pageBreakBefore w:val="0"/>
              <w:kinsoku/>
              <w:wordWrap/>
              <w:overflowPunct/>
              <w:topLinePunct w:val="0"/>
              <w:autoSpaceDE/>
              <w:autoSpaceDN/>
              <w:bidi w:val="0"/>
              <w:adjustRightInd/>
              <w:snapToGrid/>
              <w:spacing w:line="560" w:lineRule="exact"/>
              <w:jc w:val="center"/>
              <w:textAlignment w:val="auto"/>
              <w:rPr>
                <w:rFonts w:hint="default" w:eastAsia="仿宋_GB2312"/>
                <w:b/>
                <w:bCs/>
                <w:color w:val="auto"/>
                <w:sz w:val="32"/>
                <w:szCs w:val="32"/>
                <w:highlight w:val="none"/>
                <w:lang w:val="en-US" w:eastAsia="zh-CN"/>
              </w:rPr>
            </w:pPr>
            <w:r>
              <w:rPr>
                <w:rFonts w:hint="eastAsia"/>
                <w:b/>
                <w:bCs/>
                <w:color w:val="auto"/>
                <w:sz w:val="32"/>
                <w:szCs w:val="32"/>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43FB5D23">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lang w:val="en-US" w:eastAsia="zh-CN"/>
              </w:rPr>
              <w:t>100</w:t>
            </w:r>
            <w:bookmarkEnd w:id="15"/>
          </w:p>
        </w:tc>
      </w:tr>
    </w:tbl>
    <w:p w14:paraId="55DE8AEA">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highlight w:val="none"/>
        </w:rPr>
      </w:pPr>
      <w:bookmarkStart w:id="16" w:name="_Toc68703837"/>
      <w:r>
        <w:rPr>
          <w:rFonts w:hint="eastAsia" w:ascii="宋体" w:hAnsi="宋体" w:eastAsia="宋体"/>
          <w:color w:val="auto"/>
          <w:sz w:val="32"/>
          <w:szCs w:val="32"/>
          <w:highlight w:val="none"/>
        </w:rPr>
        <w:t>四、绩效评价指标分析</w:t>
      </w:r>
      <w:bookmarkEnd w:id="16"/>
    </w:p>
    <w:p w14:paraId="3C5D9789">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rPr>
      </w:pPr>
      <w:bookmarkStart w:id="17" w:name="_Toc68703838"/>
      <w:r>
        <w:rPr>
          <w:rFonts w:hint="eastAsia" w:ascii="仿宋_GB2312" w:eastAsia="仿宋_GB2312"/>
          <w:b/>
          <w:bCs/>
          <w:color w:val="auto"/>
          <w:sz w:val="32"/>
          <w:szCs w:val="32"/>
          <w:highlight w:val="none"/>
        </w:rPr>
        <w:t>（一）项目决策情况。</w:t>
      </w:r>
      <w:bookmarkEnd w:id="17"/>
    </w:p>
    <w:p w14:paraId="19E3C470">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2B11D71A">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1</w:t>
      </w:r>
      <w:r>
        <w:rPr>
          <w:rFonts w:hint="eastAsia"/>
          <w:b/>
          <w:bCs/>
          <w:color w:val="auto"/>
          <w:sz w:val="32"/>
          <w:szCs w:val="32"/>
          <w:highlight w:val="none"/>
          <w:lang w:val="en-US" w:eastAsia="zh-CN"/>
        </w:rPr>
        <w:t>.</w:t>
      </w:r>
      <w:r>
        <w:rPr>
          <w:rFonts w:hint="eastAsia"/>
          <w:b/>
          <w:bCs/>
          <w:color w:val="auto"/>
          <w:sz w:val="32"/>
          <w:szCs w:val="32"/>
          <w:highlight w:val="none"/>
        </w:rPr>
        <w:t>立项依据充分性</w:t>
      </w:r>
    </w:p>
    <w:p w14:paraId="6488982D">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color w:val="auto"/>
          <w:sz w:val="32"/>
          <w:szCs w:val="32"/>
          <w:highlight w:val="none"/>
        </w:rPr>
        <w:t>项目</w:t>
      </w:r>
      <w:r>
        <w:rPr>
          <w:rFonts w:hint="eastAsia"/>
          <w:color w:val="auto"/>
          <w:sz w:val="32"/>
          <w:szCs w:val="32"/>
          <w:highlight w:val="none"/>
          <w:lang w:val="en-US" w:eastAsia="zh-CN"/>
        </w:rPr>
        <w:t>依据《关于做好2023年我区城乡居民基本医疗保障工作的通知》（新医保发〔2023〕48号）文件设立，立项符合国家法律法规、国民经济发展规划和相关政策，符合行业发展规划和政策要求，与部门职责范围相符，属干部门医疗保障职能范围及公共财政支持范围，符合中央、地方事权支出责任划分原则，与部门同类项目或部门内部相关项目未重复，</w:t>
      </w:r>
      <w:r>
        <w:rPr>
          <w:rFonts w:hint="default" w:ascii="Times New Roman" w:hAnsi="Times New Roman" w:eastAsia="仿宋_GB2312" w:cs="Times New Roman"/>
          <w:color w:val="auto"/>
          <w:sz w:val="32"/>
          <w:szCs w:val="32"/>
          <w:highlight w:val="none"/>
          <w:lang w:val="en-US" w:eastAsia="zh-CN"/>
        </w:rPr>
        <w:t>部门发展规划及职能文件等归档完整</w:t>
      </w:r>
      <w:r>
        <w:rPr>
          <w:rFonts w:hint="eastAsia" w:ascii="Times New Roman" w:hAnsi="Times New Roman" w:cs="Times New Roman"/>
          <w:color w:val="auto"/>
          <w:sz w:val="32"/>
          <w:szCs w:val="32"/>
          <w:highlight w:val="none"/>
          <w:lang w:val="en-US" w:eastAsia="zh-CN"/>
        </w:rPr>
        <w:t>，</w:t>
      </w:r>
      <w:r>
        <w:rPr>
          <w:rFonts w:hint="eastAsia"/>
          <w:color w:val="auto"/>
          <w:sz w:val="32"/>
          <w:szCs w:val="32"/>
          <w:highlight w:val="none"/>
          <w:lang w:val="en-US" w:eastAsia="zh-CN"/>
        </w:rPr>
        <w:t>项目立项依据充分</w:t>
      </w:r>
      <w:r>
        <w:rPr>
          <w:rFonts w:hint="eastAsia"/>
          <w:color w:val="auto"/>
          <w:sz w:val="32"/>
          <w:szCs w:val="32"/>
          <w:highlight w:val="none"/>
        </w:rPr>
        <w:t>。</w:t>
      </w:r>
    </w:p>
    <w:p w14:paraId="61BD8D17">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此项权重分3分，得分3分。</w:t>
      </w:r>
    </w:p>
    <w:p w14:paraId="68F9AE59">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val="en-US" w:eastAsia="zh-CN"/>
        </w:rPr>
        <w:t>.</w:t>
      </w:r>
      <w:r>
        <w:rPr>
          <w:rFonts w:hint="eastAsia"/>
          <w:b/>
          <w:bCs/>
          <w:color w:val="auto"/>
          <w:sz w:val="32"/>
          <w:szCs w:val="32"/>
          <w:highlight w:val="none"/>
        </w:rPr>
        <w:t>立项程序规范性</w:t>
      </w:r>
    </w:p>
    <w:p w14:paraId="69360879">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1DF475E5">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此项权重分3分，得分3分。</w:t>
      </w:r>
    </w:p>
    <w:p w14:paraId="557F6437">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3</w:t>
      </w:r>
      <w:r>
        <w:rPr>
          <w:rFonts w:hint="eastAsia"/>
          <w:b/>
          <w:bCs/>
          <w:color w:val="auto"/>
          <w:sz w:val="32"/>
          <w:szCs w:val="32"/>
          <w:highlight w:val="none"/>
          <w:lang w:val="en-US" w:eastAsia="zh-CN"/>
        </w:rPr>
        <w:t>.</w:t>
      </w:r>
      <w:r>
        <w:rPr>
          <w:rFonts w:hint="eastAsia"/>
          <w:b/>
          <w:bCs/>
          <w:color w:val="auto"/>
          <w:sz w:val="32"/>
          <w:szCs w:val="32"/>
          <w:highlight w:val="none"/>
        </w:rPr>
        <w:t>绩效目标合理性</w:t>
      </w:r>
    </w:p>
    <w:p w14:paraId="6AFB2CFB">
      <w:pPr>
        <w:pageBreakBefore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7F25E1B">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此项权重分3分，得分3分。</w:t>
      </w:r>
    </w:p>
    <w:p w14:paraId="48CD357D">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4</w:t>
      </w:r>
      <w:r>
        <w:rPr>
          <w:rFonts w:hint="eastAsia"/>
          <w:b/>
          <w:bCs/>
          <w:color w:val="auto"/>
          <w:sz w:val="32"/>
          <w:szCs w:val="32"/>
          <w:highlight w:val="none"/>
          <w:lang w:val="en-US" w:eastAsia="zh-CN"/>
        </w:rPr>
        <w:t>.</w:t>
      </w:r>
      <w:r>
        <w:rPr>
          <w:rFonts w:hint="eastAsia"/>
          <w:b/>
          <w:bCs/>
          <w:color w:val="auto"/>
          <w:sz w:val="32"/>
          <w:szCs w:val="32"/>
          <w:highlight w:val="none"/>
        </w:rPr>
        <w:t>绩效指标明确性</w:t>
      </w:r>
    </w:p>
    <w:p w14:paraId="45567454">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bookmarkStart w:id="18" w:name="_Hlk68699917"/>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r>
        <w:rPr>
          <w:rFonts w:hint="eastAsia" w:ascii="Times New Roman" w:hAnsi="Times New Roman" w:cs="Times New Roman"/>
          <w:color w:val="auto"/>
          <w:sz w:val="32"/>
          <w:szCs w:val="32"/>
          <w:highlight w:val="none"/>
          <w:lang w:val="en-US" w:eastAsia="zh-CN"/>
        </w:rPr>
        <w:t>，其中</w:t>
      </w:r>
      <w:r>
        <w:rPr>
          <w:rFonts w:hint="eastAsia"/>
          <w:color w:val="auto"/>
          <w:sz w:val="32"/>
          <w:szCs w:val="32"/>
          <w:highlight w:val="none"/>
          <w:lang w:eastAsia="zh-CN"/>
        </w:rPr>
        <w:t>：</w:t>
      </w:r>
      <w:r>
        <w:rPr>
          <w:rFonts w:hint="eastAsia"/>
          <w:color w:val="auto"/>
          <w:sz w:val="32"/>
          <w:szCs w:val="32"/>
          <w:highlight w:val="none"/>
        </w:rPr>
        <w:t>一级指标</w:t>
      </w:r>
      <w:r>
        <w:rPr>
          <w:rFonts w:hint="eastAsia" w:cs="Times New Roman"/>
          <w:b w:val="0"/>
          <w:bCs w:val="0"/>
          <w:color w:val="auto"/>
          <w:kern w:val="2"/>
          <w:sz w:val="32"/>
          <w:szCs w:val="32"/>
          <w:highlight w:val="none"/>
          <w:lang w:val="en-US" w:eastAsia="zh-CN" w:bidi="ar-SA"/>
        </w:rPr>
        <w:t>4</w:t>
      </w:r>
      <w:r>
        <w:rPr>
          <w:rFonts w:hint="eastAsia"/>
          <w:color w:val="auto"/>
          <w:sz w:val="32"/>
          <w:szCs w:val="32"/>
          <w:highlight w:val="none"/>
        </w:rPr>
        <w:t>条，二级指标</w:t>
      </w:r>
      <w:r>
        <w:rPr>
          <w:rFonts w:hint="eastAsia" w:cs="Times New Roman"/>
          <w:b w:val="0"/>
          <w:bCs w:val="0"/>
          <w:color w:val="auto"/>
          <w:kern w:val="2"/>
          <w:sz w:val="32"/>
          <w:szCs w:val="32"/>
          <w:highlight w:val="none"/>
          <w:lang w:val="en-US" w:eastAsia="zh-CN" w:bidi="ar-SA"/>
        </w:rPr>
        <w:t>6</w:t>
      </w:r>
      <w:r>
        <w:rPr>
          <w:rFonts w:hint="eastAsia"/>
          <w:color w:val="auto"/>
          <w:sz w:val="32"/>
          <w:szCs w:val="32"/>
          <w:highlight w:val="none"/>
        </w:rPr>
        <w:t>条，三级指标</w:t>
      </w:r>
      <w:r>
        <w:rPr>
          <w:rFonts w:hint="eastAsia" w:cs="Times New Roman"/>
          <w:b w:val="0"/>
          <w:bCs w:val="0"/>
          <w:color w:val="auto"/>
          <w:kern w:val="2"/>
          <w:sz w:val="32"/>
          <w:szCs w:val="32"/>
          <w:highlight w:val="none"/>
          <w:lang w:val="en-US" w:eastAsia="zh-CN" w:bidi="ar-SA"/>
        </w:rPr>
        <w:t>7</w:t>
      </w:r>
      <w:r>
        <w:rPr>
          <w:rFonts w:hint="eastAsia"/>
          <w:color w:val="auto"/>
          <w:sz w:val="32"/>
          <w:szCs w:val="32"/>
          <w:highlight w:val="none"/>
        </w:rPr>
        <w:t>条，量化指标</w:t>
      </w:r>
      <w:r>
        <w:rPr>
          <w:rFonts w:hint="eastAsia"/>
          <w:color w:val="auto"/>
          <w:sz w:val="32"/>
          <w:szCs w:val="32"/>
          <w:highlight w:val="none"/>
          <w:lang w:val="en-US" w:eastAsia="zh-CN"/>
        </w:rPr>
        <w:t>5</w:t>
      </w:r>
      <w:r>
        <w:rPr>
          <w:rFonts w:hint="eastAsia"/>
          <w:color w:val="auto"/>
          <w:sz w:val="32"/>
          <w:szCs w:val="32"/>
          <w:highlight w:val="none"/>
        </w:rPr>
        <w:t>条，</w:t>
      </w:r>
      <w:r>
        <w:rPr>
          <w:rFonts w:hint="eastAsia"/>
          <w:color w:val="auto"/>
          <w:sz w:val="32"/>
          <w:szCs w:val="32"/>
          <w:highlight w:val="none"/>
          <w:lang w:val="en-US" w:eastAsia="zh-CN"/>
        </w:rPr>
        <w:t>量化率71.43%</w:t>
      </w:r>
      <w:r>
        <w:rPr>
          <w:rFonts w:hint="eastAsia"/>
          <w:color w:val="auto"/>
          <w:sz w:val="32"/>
          <w:szCs w:val="32"/>
          <w:highlight w:val="none"/>
        </w:rPr>
        <w:t>。</w:t>
      </w:r>
      <w:bookmarkEnd w:id="18"/>
    </w:p>
    <w:p w14:paraId="625F1D19">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此项权重分3分，得分3分。</w:t>
      </w:r>
    </w:p>
    <w:p w14:paraId="3F9DBC55">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5</w:t>
      </w:r>
      <w:r>
        <w:rPr>
          <w:rFonts w:hint="eastAsia"/>
          <w:b/>
          <w:bCs/>
          <w:color w:val="auto"/>
          <w:sz w:val="32"/>
          <w:szCs w:val="32"/>
          <w:highlight w:val="none"/>
          <w:lang w:val="en-US" w:eastAsia="zh-CN"/>
        </w:rPr>
        <w:t>.</w:t>
      </w:r>
      <w:r>
        <w:rPr>
          <w:rFonts w:hint="eastAsia"/>
          <w:b/>
          <w:bCs/>
          <w:color w:val="auto"/>
          <w:sz w:val="32"/>
          <w:szCs w:val="32"/>
          <w:highlight w:val="none"/>
        </w:rPr>
        <w:t>预算编制科学性</w:t>
      </w:r>
    </w:p>
    <w:p w14:paraId="35A080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3830CC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3E7AA850">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此项权重分4分，得分4分。</w:t>
      </w:r>
    </w:p>
    <w:p w14:paraId="7DB358CF">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6</w:t>
      </w:r>
      <w:r>
        <w:rPr>
          <w:rFonts w:hint="eastAsia"/>
          <w:b/>
          <w:bCs/>
          <w:color w:val="auto"/>
          <w:sz w:val="32"/>
          <w:szCs w:val="32"/>
          <w:highlight w:val="none"/>
          <w:lang w:val="en-US" w:eastAsia="zh-CN"/>
        </w:rPr>
        <w:t>.</w:t>
      </w:r>
      <w:r>
        <w:rPr>
          <w:rFonts w:hint="eastAsia"/>
          <w:b/>
          <w:bCs/>
          <w:color w:val="auto"/>
          <w:sz w:val="32"/>
          <w:szCs w:val="32"/>
          <w:highlight w:val="none"/>
        </w:rPr>
        <w:t>资金分配合理性</w:t>
      </w:r>
    </w:p>
    <w:p w14:paraId="3BE406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bookmarkStart w:id="19" w:name="_Toc68703839"/>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70152D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4BA37B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48C1EC5C">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eastAsia="仿宋_GB2312"/>
          <w:b/>
          <w:bCs/>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此项权重分4分，得分4分。</w:t>
      </w:r>
    </w:p>
    <w:p w14:paraId="17B12A66">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rPr>
      </w:pPr>
      <w:r>
        <w:rPr>
          <w:rFonts w:hint="eastAsia" w:ascii="仿宋_GB2312" w:eastAsia="仿宋_GB2312"/>
          <w:b/>
          <w:bCs/>
          <w:color w:val="auto"/>
          <w:sz w:val="32"/>
          <w:szCs w:val="32"/>
          <w:highlight w:val="none"/>
        </w:rPr>
        <w:t>（二）项目过程情况。</w:t>
      </w:r>
      <w:bookmarkEnd w:id="19"/>
    </w:p>
    <w:p w14:paraId="73CB5A14">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190C7630">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1</w:t>
      </w:r>
      <w:r>
        <w:rPr>
          <w:rFonts w:hint="eastAsia"/>
          <w:b/>
          <w:bCs/>
          <w:color w:val="auto"/>
          <w:sz w:val="32"/>
          <w:szCs w:val="32"/>
          <w:highlight w:val="none"/>
          <w:lang w:val="en-US" w:eastAsia="zh-CN"/>
        </w:rPr>
        <w:t>.</w:t>
      </w:r>
      <w:r>
        <w:rPr>
          <w:rFonts w:hint="eastAsia"/>
          <w:b/>
          <w:bCs/>
          <w:color w:val="auto"/>
          <w:sz w:val="32"/>
          <w:szCs w:val="32"/>
          <w:highlight w:val="none"/>
        </w:rPr>
        <w:t>资金到位率：</w:t>
      </w:r>
    </w:p>
    <w:p w14:paraId="0596F84C">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本项目总投资1718.73万元，财政资金及时足额到位，到位率</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14:paraId="59B1EBAB">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此项权重分4分，得分4分。</w:t>
      </w:r>
    </w:p>
    <w:p w14:paraId="47248D21">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2</w:t>
      </w:r>
      <w:r>
        <w:rPr>
          <w:rFonts w:hint="eastAsia"/>
          <w:b/>
          <w:bCs/>
          <w:color w:val="auto"/>
          <w:sz w:val="32"/>
          <w:szCs w:val="32"/>
          <w:highlight w:val="none"/>
          <w:lang w:val="en-US" w:eastAsia="zh-CN"/>
        </w:rPr>
        <w:t>.</w:t>
      </w:r>
      <w:r>
        <w:rPr>
          <w:rFonts w:hint="eastAsia"/>
          <w:b/>
          <w:bCs/>
          <w:color w:val="auto"/>
          <w:sz w:val="32"/>
          <w:szCs w:val="32"/>
          <w:highlight w:val="none"/>
        </w:rPr>
        <w:t>预算执行率</w:t>
      </w:r>
    </w:p>
    <w:p w14:paraId="355D3C27">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预算编制较为详细，项目资金支出总体能够按照预算执行，预算资金支出1718.73万元，预算执行率为</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7721FC7A">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此项权重分4分，得分4分。</w:t>
      </w:r>
    </w:p>
    <w:p w14:paraId="69A59F98">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3</w:t>
      </w:r>
      <w:r>
        <w:rPr>
          <w:rFonts w:hint="eastAsia"/>
          <w:b/>
          <w:bCs/>
          <w:color w:val="auto"/>
          <w:sz w:val="32"/>
          <w:szCs w:val="32"/>
          <w:highlight w:val="none"/>
          <w:lang w:val="en-US" w:eastAsia="zh-CN"/>
        </w:rPr>
        <w:t>.</w:t>
      </w:r>
      <w:r>
        <w:rPr>
          <w:rFonts w:hint="eastAsia"/>
          <w:b/>
          <w:bCs/>
          <w:color w:val="auto"/>
          <w:sz w:val="32"/>
          <w:szCs w:val="32"/>
          <w:highlight w:val="none"/>
        </w:rPr>
        <w:t>资金使用合规性</w:t>
      </w:r>
    </w:p>
    <w:p w14:paraId="01BD0F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6A630A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sz w:val="32"/>
          <w:szCs w:val="32"/>
          <w:highlight w:val="none"/>
          <w:lang w:eastAsia="zh-CN"/>
        </w:rPr>
      </w:pPr>
      <w:r>
        <w:rPr>
          <w:rFonts w:hint="default" w:ascii="Times New Roman" w:hAnsi="Times New Roman" w:eastAsia="仿宋_GB2312" w:cs="Times New Roman"/>
          <w:b w:val="0"/>
          <w:bCs w:val="0"/>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32534C5B">
      <w:pPr>
        <w:pStyle w:val="10"/>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default" w:ascii="Times New Roman" w:hAnsi="Times New Roman" w:eastAsia="仿宋_GB2312" w:cs="Times New Roman"/>
          <w:b w:val="0"/>
          <w:bCs w:val="0"/>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1DE2BA8B">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此项权重分4分，得分4分。</w:t>
      </w:r>
    </w:p>
    <w:p w14:paraId="4B6CD5DF">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4</w:t>
      </w:r>
      <w:r>
        <w:rPr>
          <w:rFonts w:hint="eastAsia"/>
          <w:b/>
          <w:bCs/>
          <w:color w:val="auto"/>
          <w:sz w:val="32"/>
          <w:szCs w:val="32"/>
          <w:highlight w:val="none"/>
          <w:lang w:val="en-US" w:eastAsia="zh-CN"/>
        </w:rPr>
        <w:t>.</w:t>
      </w:r>
      <w:r>
        <w:rPr>
          <w:rFonts w:hint="eastAsia"/>
          <w:b/>
          <w:bCs/>
          <w:color w:val="auto"/>
          <w:sz w:val="32"/>
          <w:szCs w:val="32"/>
          <w:highlight w:val="none"/>
        </w:rPr>
        <w:t>管理制度健全性</w:t>
      </w:r>
    </w:p>
    <w:p w14:paraId="7FDA6B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1254AB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14:paraId="483CEC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498470E2">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7278E78D">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此项权重分4分，得分4分。</w:t>
      </w:r>
    </w:p>
    <w:p w14:paraId="57E5B0EB">
      <w:pPr>
        <w:pageBreakBefore w:val="0"/>
        <w:kinsoku/>
        <w:wordWrap/>
        <w:overflowPunct/>
        <w:topLinePunct w:val="0"/>
        <w:autoSpaceDE/>
        <w:autoSpaceDN/>
        <w:bidi w:val="0"/>
        <w:adjustRightInd/>
        <w:snapToGrid/>
        <w:spacing w:line="560" w:lineRule="exact"/>
        <w:ind w:firstLine="643" w:firstLineChars="200"/>
        <w:jc w:val="left"/>
        <w:textAlignment w:val="auto"/>
        <w:rPr>
          <w:rFonts w:hint="eastAsia"/>
          <w:b/>
          <w:bCs/>
          <w:color w:val="auto"/>
          <w:sz w:val="32"/>
          <w:szCs w:val="32"/>
          <w:highlight w:val="none"/>
        </w:rPr>
      </w:pPr>
      <w:r>
        <w:rPr>
          <w:rFonts w:hint="eastAsia"/>
          <w:b/>
          <w:bCs/>
          <w:color w:val="auto"/>
          <w:sz w:val="32"/>
          <w:szCs w:val="32"/>
          <w:highlight w:val="none"/>
        </w:rPr>
        <w:t>5</w:t>
      </w:r>
      <w:r>
        <w:rPr>
          <w:rFonts w:hint="eastAsia"/>
          <w:b/>
          <w:bCs/>
          <w:color w:val="auto"/>
          <w:sz w:val="32"/>
          <w:szCs w:val="32"/>
          <w:highlight w:val="none"/>
          <w:lang w:val="en-US" w:eastAsia="zh-CN"/>
        </w:rPr>
        <w:t>.</w:t>
      </w:r>
      <w:r>
        <w:rPr>
          <w:rFonts w:hint="eastAsia"/>
          <w:b/>
          <w:bCs/>
          <w:color w:val="auto"/>
          <w:sz w:val="32"/>
          <w:szCs w:val="32"/>
          <w:highlight w:val="none"/>
        </w:rPr>
        <w:t>制度执行有效性</w:t>
      </w:r>
    </w:p>
    <w:p w14:paraId="15463C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14:paraId="4AFC0A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4CB92D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14:paraId="5600B881">
      <w:pPr>
        <w:pStyle w:val="23"/>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b w:val="0"/>
          <w:bCs w:val="0"/>
          <w:color w:val="auto"/>
          <w:sz w:val="32"/>
          <w:szCs w:val="32"/>
          <w:highlight w:val="none"/>
        </w:rPr>
      </w:pPr>
      <w:r>
        <w:rPr>
          <w:rFonts w:hint="eastAsia"/>
          <w:color w:val="auto"/>
          <w:sz w:val="32"/>
          <w:szCs w:val="32"/>
          <w:highlight w:val="none"/>
          <w:lang w:val="en-US" w:eastAsia="zh-CN"/>
        </w:rPr>
        <w:t>本项指标满分4分，得4分。</w:t>
      </w:r>
    </w:p>
    <w:p w14:paraId="7F6BF397">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bCs/>
          <w:color w:val="auto"/>
          <w:sz w:val="32"/>
          <w:szCs w:val="32"/>
          <w:highlight w:val="none"/>
        </w:rPr>
      </w:pPr>
      <w:bookmarkStart w:id="20" w:name="_Toc68703840"/>
      <w:r>
        <w:rPr>
          <w:rFonts w:hint="eastAsia"/>
          <w:b/>
          <w:bCs/>
          <w:color w:val="auto"/>
          <w:sz w:val="32"/>
          <w:szCs w:val="32"/>
          <w:highlight w:val="none"/>
          <w:lang w:val="en-US" w:eastAsia="zh-CN"/>
        </w:rPr>
        <w:t>（三）</w:t>
      </w:r>
      <w:r>
        <w:rPr>
          <w:rFonts w:hint="eastAsia" w:ascii="仿宋_GB2312" w:eastAsia="仿宋_GB2312"/>
          <w:b/>
          <w:bCs/>
          <w:color w:val="auto"/>
          <w:sz w:val="32"/>
          <w:szCs w:val="32"/>
          <w:highlight w:val="none"/>
        </w:rPr>
        <w:t>项目产出情况。</w:t>
      </w:r>
      <w:bookmarkEnd w:id="20"/>
    </w:p>
    <w:p w14:paraId="1FD2E825">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14:paraId="73B1112A">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1.</w:t>
      </w:r>
      <w:r>
        <w:rPr>
          <w:rFonts w:hint="eastAsia"/>
          <w:b/>
          <w:bCs/>
          <w:color w:val="auto"/>
          <w:sz w:val="32"/>
          <w:szCs w:val="32"/>
          <w:highlight w:val="none"/>
        </w:rPr>
        <w:t>数量指标</w:t>
      </w:r>
      <w:r>
        <w:rPr>
          <w:rFonts w:hint="eastAsia"/>
          <w:b/>
          <w:bCs/>
          <w:color w:val="auto"/>
          <w:sz w:val="32"/>
          <w:szCs w:val="32"/>
          <w:highlight w:val="none"/>
          <w:lang w:eastAsia="zh-CN"/>
        </w:rPr>
        <w:t>完成情况</w:t>
      </w:r>
      <w:r>
        <w:rPr>
          <w:rFonts w:hint="eastAsia"/>
          <w:b/>
          <w:bCs/>
          <w:color w:val="auto"/>
          <w:sz w:val="32"/>
          <w:szCs w:val="32"/>
          <w:highlight w:val="none"/>
        </w:rPr>
        <w:t>：</w:t>
      </w:r>
    </w:p>
    <w:p w14:paraId="3496EDA1">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指标1：</w:t>
      </w:r>
      <w:r>
        <w:rPr>
          <w:rFonts w:hint="eastAsia"/>
          <w:color w:val="auto"/>
          <w:sz w:val="32"/>
          <w:szCs w:val="32"/>
          <w:highlight w:val="none"/>
          <w:lang w:val="en-US" w:eastAsia="zh-CN"/>
        </w:rPr>
        <w:t>城乡居民基本医疗保险参保人数</w:t>
      </w:r>
      <w:r>
        <w:rPr>
          <w:rFonts w:hint="eastAsia"/>
          <w:color w:val="auto"/>
          <w:sz w:val="32"/>
          <w:szCs w:val="32"/>
          <w:highlight w:val="none"/>
        </w:rPr>
        <w:t>，指标值：≥9.54万人，实际完成值</w:t>
      </w:r>
      <w:r>
        <w:rPr>
          <w:rFonts w:hint="eastAsia"/>
          <w:color w:val="auto"/>
          <w:sz w:val="32"/>
          <w:szCs w:val="32"/>
          <w:highlight w:val="none"/>
          <w:lang w:eastAsia="zh-CN"/>
        </w:rPr>
        <w:t>：9.54万人</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%，偏差原因：</w:t>
      </w:r>
      <w:r>
        <w:rPr>
          <w:rFonts w:hint="eastAsia"/>
          <w:color w:val="auto"/>
          <w:sz w:val="32"/>
          <w:szCs w:val="32"/>
          <w:highlight w:val="none"/>
          <w:lang w:eastAsia="zh-CN"/>
        </w:rPr>
        <w:t>无。</w:t>
      </w:r>
    </w:p>
    <w:p w14:paraId="0369A5A4">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此项权重分10分，得分10分。</w:t>
      </w:r>
    </w:p>
    <w:p w14:paraId="2285BECB">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2.</w:t>
      </w:r>
      <w:r>
        <w:rPr>
          <w:rFonts w:hint="eastAsia"/>
          <w:b/>
          <w:bCs/>
          <w:color w:val="auto"/>
          <w:sz w:val="32"/>
          <w:szCs w:val="32"/>
          <w:highlight w:val="none"/>
        </w:rPr>
        <w:t>质量指标</w:t>
      </w:r>
      <w:r>
        <w:rPr>
          <w:rFonts w:hint="eastAsia"/>
          <w:b/>
          <w:bCs/>
          <w:color w:val="auto"/>
          <w:sz w:val="32"/>
          <w:szCs w:val="32"/>
          <w:highlight w:val="none"/>
          <w:lang w:eastAsia="zh-CN"/>
        </w:rPr>
        <w:t>完成情况</w:t>
      </w:r>
      <w:r>
        <w:rPr>
          <w:rFonts w:hint="eastAsia"/>
          <w:b/>
          <w:bCs/>
          <w:color w:val="auto"/>
          <w:sz w:val="32"/>
          <w:szCs w:val="32"/>
          <w:highlight w:val="none"/>
        </w:rPr>
        <w:t>：</w:t>
      </w:r>
    </w:p>
    <w:p w14:paraId="1CF24377">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指标1：</w:t>
      </w:r>
      <w:r>
        <w:rPr>
          <w:rFonts w:hint="eastAsia"/>
          <w:color w:val="auto"/>
          <w:sz w:val="32"/>
          <w:szCs w:val="32"/>
          <w:highlight w:val="none"/>
          <w:lang w:val="en-US" w:eastAsia="zh-CN"/>
        </w:rPr>
        <w:t>城乡居民基本医疗保险参保率</w:t>
      </w:r>
      <w:r>
        <w:rPr>
          <w:rFonts w:hint="eastAsia"/>
          <w:color w:val="auto"/>
          <w:sz w:val="32"/>
          <w:szCs w:val="32"/>
          <w:highlight w:val="none"/>
        </w:rPr>
        <w:t>，指标值：≥95%，实际完成值</w:t>
      </w:r>
      <w:r>
        <w:rPr>
          <w:rFonts w:hint="eastAsia"/>
          <w:color w:val="auto"/>
          <w:sz w:val="32"/>
          <w:szCs w:val="32"/>
          <w:highlight w:val="none"/>
          <w:lang w:eastAsia="zh-CN"/>
        </w:rPr>
        <w:t>：95%</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%，偏差原因：</w:t>
      </w:r>
      <w:r>
        <w:rPr>
          <w:rFonts w:hint="eastAsia"/>
          <w:color w:val="auto"/>
          <w:sz w:val="32"/>
          <w:szCs w:val="32"/>
          <w:highlight w:val="none"/>
          <w:lang w:eastAsia="zh-CN"/>
        </w:rPr>
        <w:t>无。</w:t>
      </w:r>
    </w:p>
    <w:p w14:paraId="5E59E9F0">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此项权重分10分，得分10分。</w:t>
      </w:r>
    </w:p>
    <w:p w14:paraId="3EB30A35">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3.时效</w:t>
      </w:r>
      <w:r>
        <w:rPr>
          <w:rFonts w:hint="eastAsia"/>
          <w:b/>
          <w:bCs/>
          <w:color w:val="auto"/>
          <w:sz w:val="32"/>
          <w:szCs w:val="32"/>
          <w:highlight w:val="none"/>
        </w:rPr>
        <w:t>指标</w:t>
      </w:r>
      <w:r>
        <w:rPr>
          <w:rFonts w:hint="eastAsia"/>
          <w:b/>
          <w:bCs/>
          <w:color w:val="auto"/>
          <w:sz w:val="32"/>
          <w:szCs w:val="32"/>
          <w:highlight w:val="none"/>
          <w:lang w:eastAsia="zh-CN"/>
        </w:rPr>
        <w:t>完成情况</w:t>
      </w:r>
      <w:r>
        <w:rPr>
          <w:rFonts w:hint="eastAsia"/>
          <w:b/>
          <w:bCs/>
          <w:color w:val="auto"/>
          <w:sz w:val="32"/>
          <w:szCs w:val="32"/>
          <w:highlight w:val="none"/>
        </w:rPr>
        <w:t>：</w:t>
      </w:r>
    </w:p>
    <w:p w14:paraId="477AB936">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bCs w:val="0"/>
          <w:color w:val="auto"/>
          <w:kern w:val="2"/>
          <w:sz w:val="32"/>
          <w:szCs w:val="32"/>
          <w:highlight w:val="none"/>
          <w:lang w:val="en-US" w:eastAsia="zh-CN" w:bidi="ar-SA"/>
        </w:rPr>
      </w:pPr>
      <w:r>
        <w:rPr>
          <w:rFonts w:hint="eastAsia"/>
          <w:color w:val="auto"/>
          <w:sz w:val="32"/>
          <w:szCs w:val="32"/>
          <w:highlight w:val="none"/>
        </w:rPr>
        <w:t>指标1：</w:t>
      </w:r>
      <w:r>
        <w:rPr>
          <w:rFonts w:hint="eastAsia"/>
          <w:color w:val="auto"/>
          <w:sz w:val="32"/>
          <w:szCs w:val="32"/>
          <w:highlight w:val="none"/>
          <w:lang w:val="en-US" w:eastAsia="zh-CN"/>
        </w:rPr>
        <w:t>城乡居民基本医疗保险参保及时率</w:t>
      </w:r>
      <w:r>
        <w:rPr>
          <w:rFonts w:hint="eastAsia"/>
          <w:color w:val="auto"/>
          <w:sz w:val="32"/>
          <w:szCs w:val="32"/>
          <w:highlight w:val="none"/>
        </w:rPr>
        <w:t>，指标值：≥98%，实际完成值</w:t>
      </w:r>
      <w:r>
        <w:rPr>
          <w:rFonts w:hint="eastAsia"/>
          <w:color w:val="auto"/>
          <w:sz w:val="32"/>
          <w:szCs w:val="32"/>
          <w:highlight w:val="none"/>
          <w:lang w:eastAsia="zh-CN"/>
        </w:rPr>
        <w:t>：</w:t>
      </w:r>
      <w:r>
        <w:rPr>
          <w:rFonts w:hint="eastAsia"/>
          <w:color w:val="auto"/>
          <w:sz w:val="32"/>
          <w:szCs w:val="32"/>
          <w:highlight w:val="none"/>
          <w:lang w:val="en-US" w:eastAsia="zh-CN"/>
        </w:rPr>
        <w:t>98%</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%，偏差原因：</w:t>
      </w:r>
      <w:r>
        <w:rPr>
          <w:rFonts w:hint="eastAsia"/>
          <w:color w:val="auto"/>
          <w:sz w:val="32"/>
          <w:szCs w:val="32"/>
          <w:highlight w:val="none"/>
          <w:lang w:eastAsia="zh-CN"/>
        </w:rPr>
        <w:t>无。</w:t>
      </w:r>
    </w:p>
    <w:p w14:paraId="0D9BDF62">
      <w:pPr>
        <w:pStyle w:val="10"/>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eastAsia="仿宋_GB2312" w:cs="Times New Roman"/>
          <w:b w:val="0"/>
          <w:bCs w:val="0"/>
          <w:color w:val="auto"/>
          <w:kern w:val="2"/>
          <w:sz w:val="32"/>
          <w:szCs w:val="32"/>
          <w:highlight w:val="none"/>
          <w:lang w:val="en-US" w:eastAsia="zh-CN" w:bidi="ar-SA"/>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此项权重分10分，得分10分。</w:t>
      </w:r>
    </w:p>
    <w:p w14:paraId="1E573503">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4.成本</w:t>
      </w:r>
      <w:r>
        <w:rPr>
          <w:rFonts w:hint="eastAsia"/>
          <w:b/>
          <w:bCs/>
          <w:color w:val="auto"/>
          <w:sz w:val="32"/>
          <w:szCs w:val="32"/>
          <w:highlight w:val="none"/>
        </w:rPr>
        <w:t>指标</w:t>
      </w:r>
      <w:r>
        <w:rPr>
          <w:rFonts w:hint="eastAsia"/>
          <w:b/>
          <w:bCs/>
          <w:color w:val="auto"/>
          <w:sz w:val="32"/>
          <w:szCs w:val="32"/>
          <w:highlight w:val="none"/>
          <w:lang w:eastAsia="zh-CN"/>
        </w:rPr>
        <w:t>完成情况</w:t>
      </w:r>
      <w:r>
        <w:rPr>
          <w:rFonts w:hint="eastAsia"/>
          <w:b/>
          <w:bCs/>
          <w:color w:val="auto"/>
          <w:sz w:val="32"/>
          <w:szCs w:val="32"/>
          <w:highlight w:val="none"/>
        </w:rPr>
        <w:t>：</w:t>
      </w:r>
    </w:p>
    <w:p w14:paraId="0DFE3572">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指标1：</w:t>
      </w:r>
      <w:r>
        <w:rPr>
          <w:rFonts w:hint="eastAsia"/>
          <w:color w:val="auto"/>
          <w:sz w:val="32"/>
          <w:szCs w:val="32"/>
          <w:highlight w:val="none"/>
          <w:lang w:val="en-US" w:eastAsia="zh-CN"/>
        </w:rPr>
        <w:t>城乡居民基本医疗保险县级财政补助资金总额</w:t>
      </w:r>
      <w:r>
        <w:rPr>
          <w:rFonts w:hint="eastAsia"/>
          <w:color w:val="auto"/>
          <w:sz w:val="32"/>
          <w:szCs w:val="32"/>
          <w:highlight w:val="none"/>
        </w:rPr>
        <w:t>，指标值：≤180元/人，实际完成值</w:t>
      </w:r>
      <w:r>
        <w:rPr>
          <w:rFonts w:hint="eastAsia"/>
          <w:color w:val="auto"/>
          <w:sz w:val="32"/>
          <w:szCs w:val="32"/>
          <w:highlight w:val="none"/>
          <w:lang w:eastAsia="zh-CN"/>
        </w:rPr>
        <w:t>：</w:t>
      </w:r>
      <w:r>
        <w:rPr>
          <w:rFonts w:hint="eastAsia"/>
          <w:color w:val="auto"/>
          <w:sz w:val="32"/>
          <w:szCs w:val="32"/>
          <w:highlight w:val="none"/>
          <w:lang w:val="en-US" w:eastAsia="zh-CN"/>
        </w:rPr>
        <w:t>180元/人</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%，偏差原因：</w:t>
      </w:r>
      <w:r>
        <w:rPr>
          <w:rFonts w:hint="eastAsia"/>
          <w:color w:val="auto"/>
          <w:sz w:val="32"/>
          <w:szCs w:val="32"/>
          <w:highlight w:val="none"/>
          <w:lang w:eastAsia="zh-CN"/>
        </w:rPr>
        <w:t>无。</w:t>
      </w:r>
    </w:p>
    <w:p w14:paraId="45CB2243">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w:t>
      </w:r>
      <w:r>
        <w:rPr>
          <w:rFonts w:hint="eastAsia" w:cs="Times New Roman"/>
          <w:b w:val="0"/>
          <w:bCs w:val="0"/>
          <w:color w:val="auto"/>
          <w:kern w:val="2"/>
          <w:sz w:val="32"/>
          <w:szCs w:val="32"/>
          <w:highlight w:val="none"/>
          <w:lang w:val="en-US" w:eastAsia="zh-CN" w:bidi="ar-SA"/>
        </w:rPr>
        <w:t>10</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39488801">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bCs/>
          <w:color w:val="auto"/>
          <w:sz w:val="32"/>
          <w:szCs w:val="32"/>
          <w:highlight w:val="none"/>
        </w:rPr>
      </w:pPr>
      <w:bookmarkStart w:id="21" w:name="_Toc68703841"/>
      <w:r>
        <w:rPr>
          <w:rFonts w:hint="eastAsia" w:ascii="仿宋_GB2312" w:eastAsia="仿宋_GB2312"/>
          <w:b/>
          <w:bCs/>
          <w:color w:val="auto"/>
          <w:sz w:val="32"/>
          <w:szCs w:val="32"/>
          <w:highlight w:val="none"/>
        </w:rPr>
        <w:t>（</w:t>
      </w:r>
      <w:r>
        <w:rPr>
          <w:rFonts w:hint="eastAsia" w:ascii="仿宋_GB2312" w:eastAsia="仿宋_GB2312"/>
          <w:b/>
          <w:bCs/>
          <w:color w:val="auto"/>
          <w:sz w:val="32"/>
          <w:szCs w:val="32"/>
          <w:highlight w:val="none"/>
          <w:lang w:eastAsia="zh-CN"/>
        </w:rPr>
        <w:t>四</w:t>
      </w:r>
      <w:r>
        <w:rPr>
          <w:rFonts w:hint="eastAsia" w:ascii="仿宋_GB2312" w:eastAsia="仿宋_GB2312"/>
          <w:b/>
          <w:bCs/>
          <w:color w:val="auto"/>
          <w:sz w:val="32"/>
          <w:szCs w:val="32"/>
          <w:highlight w:val="none"/>
        </w:rPr>
        <w:t>）项目效益情况。</w:t>
      </w:r>
      <w:bookmarkEnd w:id="21"/>
    </w:p>
    <w:p w14:paraId="5C8EFD4C">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1.社会效益</w:t>
      </w:r>
      <w:r>
        <w:rPr>
          <w:rFonts w:hint="eastAsia"/>
          <w:b/>
          <w:bCs/>
          <w:color w:val="auto"/>
          <w:sz w:val="32"/>
          <w:szCs w:val="32"/>
          <w:highlight w:val="none"/>
        </w:rPr>
        <w:t>指标</w:t>
      </w:r>
      <w:r>
        <w:rPr>
          <w:rFonts w:hint="eastAsia"/>
          <w:b/>
          <w:bCs/>
          <w:color w:val="auto"/>
          <w:sz w:val="32"/>
          <w:szCs w:val="32"/>
          <w:highlight w:val="none"/>
          <w:lang w:eastAsia="zh-CN"/>
        </w:rPr>
        <w:t>完成情况</w:t>
      </w:r>
      <w:r>
        <w:rPr>
          <w:rFonts w:hint="eastAsia"/>
          <w:b/>
          <w:bCs/>
          <w:color w:val="auto"/>
          <w:sz w:val="32"/>
          <w:szCs w:val="32"/>
          <w:highlight w:val="none"/>
        </w:rPr>
        <w:t>：</w:t>
      </w:r>
    </w:p>
    <w:p w14:paraId="602534DE">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bookmarkStart w:id="22" w:name="OLE_LINK7"/>
      <w:r>
        <w:rPr>
          <w:rFonts w:hint="eastAsia"/>
          <w:color w:val="auto"/>
          <w:sz w:val="32"/>
          <w:szCs w:val="32"/>
          <w:highlight w:val="none"/>
        </w:rPr>
        <w:t>指标1：</w:t>
      </w:r>
      <w:r>
        <w:rPr>
          <w:rFonts w:hint="eastAsia"/>
          <w:color w:val="auto"/>
          <w:sz w:val="32"/>
          <w:szCs w:val="32"/>
          <w:highlight w:val="none"/>
          <w:lang w:val="en-US" w:eastAsia="zh-CN"/>
        </w:rPr>
        <w:t>参保群众看病就医结算方便程度</w:t>
      </w:r>
      <w:r>
        <w:rPr>
          <w:rFonts w:hint="eastAsia"/>
          <w:color w:val="auto"/>
          <w:sz w:val="32"/>
          <w:szCs w:val="32"/>
          <w:highlight w:val="none"/>
        </w:rPr>
        <w:t>，指标值：显著提高，实际完成值</w:t>
      </w:r>
      <w:r>
        <w:rPr>
          <w:rFonts w:hint="eastAsia"/>
          <w:color w:val="auto"/>
          <w:sz w:val="32"/>
          <w:szCs w:val="32"/>
          <w:highlight w:val="none"/>
          <w:lang w:eastAsia="zh-CN"/>
        </w:rPr>
        <w:t>：达成目标</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%，偏差原因：</w:t>
      </w:r>
      <w:r>
        <w:rPr>
          <w:rFonts w:hint="eastAsia"/>
          <w:color w:val="auto"/>
          <w:sz w:val="32"/>
          <w:szCs w:val="32"/>
          <w:highlight w:val="none"/>
          <w:lang w:eastAsia="zh-CN"/>
        </w:rPr>
        <w:t>无</w:t>
      </w:r>
      <w:bookmarkEnd w:id="22"/>
      <w:r>
        <w:rPr>
          <w:rFonts w:hint="eastAsia"/>
          <w:color w:val="auto"/>
          <w:sz w:val="32"/>
          <w:szCs w:val="32"/>
          <w:highlight w:val="none"/>
          <w:lang w:eastAsia="zh-CN"/>
        </w:rPr>
        <w:t>；</w:t>
      </w:r>
    </w:p>
    <w:p w14:paraId="01010EAD">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指标</w:t>
      </w:r>
      <w:r>
        <w:rPr>
          <w:rFonts w:hint="eastAsia"/>
          <w:color w:val="auto"/>
          <w:sz w:val="32"/>
          <w:szCs w:val="32"/>
          <w:highlight w:val="none"/>
          <w:lang w:val="en-US" w:eastAsia="zh-CN"/>
        </w:rPr>
        <w:t>2</w:t>
      </w:r>
      <w:r>
        <w:rPr>
          <w:rFonts w:hint="eastAsia"/>
          <w:color w:val="auto"/>
          <w:sz w:val="32"/>
          <w:szCs w:val="32"/>
          <w:highlight w:val="none"/>
        </w:rPr>
        <w:t>：</w:t>
      </w:r>
      <w:r>
        <w:rPr>
          <w:rFonts w:hint="eastAsia"/>
          <w:color w:val="auto"/>
          <w:sz w:val="32"/>
          <w:szCs w:val="32"/>
          <w:highlight w:val="none"/>
          <w:lang w:val="en-US" w:eastAsia="zh-CN"/>
        </w:rPr>
        <w:t>参保群众医疗经济负担</w:t>
      </w:r>
      <w:r>
        <w:rPr>
          <w:rFonts w:hint="eastAsia"/>
          <w:color w:val="auto"/>
          <w:sz w:val="32"/>
          <w:szCs w:val="32"/>
          <w:highlight w:val="none"/>
        </w:rPr>
        <w:t>，指标值：有效减轻，实际完成值</w:t>
      </w:r>
      <w:r>
        <w:rPr>
          <w:rFonts w:hint="eastAsia"/>
          <w:color w:val="auto"/>
          <w:sz w:val="32"/>
          <w:szCs w:val="32"/>
          <w:highlight w:val="none"/>
          <w:lang w:eastAsia="zh-CN"/>
        </w:rPr>
        <w:t>：达成目标</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%，偏差原因：</w:t>
      </w:r>
      <w:r>
        <w:rPr>
          <w:rFonts w:hint="eastAsia"/>
          <w:color w:val="auto"/>
          <w:sz w:val="32"/>
          <w:szCs w:val="32"/>
          <w:highlight w:val="none"/>
          <w:lang w:eastAsia="zh-CN"/>
        </w:rPr>
        <w:t>无。</w:t>
      </w:r>
    </w:p>
    <w:p w14:paraId="39613182">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w:t>
      </w:r>
      <w:r>
        <w:rPr>
          <w:rFonts w:hint="eastAsia" w:cs="Times New Roman"/>
          <w:b w:val="0"/>
          <w:bCs w:val="0"/>
          <w:color w:val="auto"/>
          <w:kern w:val="2"/>
          <w:sz w:val="32"/>
          <w:szCs w:val="32"/>
          <w:highlight w:val="none"/>
          <w:lang w:val="en-US" w:eastAsia="zh-CN" w:bidi="ar-SA"/>
        </w:rPr>
        <w:t>10</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53A17E6A">
      <w:pPr>
        <w:pageBreakBefore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2.满意度</w:t>
      </w:r>
      <w:r>
        <w:rPr>
          <w:rFonts w:hint="eastAsia"/>
          <w:b/>
          <w:bCs/>
          <w:color w:val="auto"/>
          <w:sz w:val="32"/>
          <w:szCs w:val="32"/>
          <w:highlight w:val="none"/>
        </w:rPr>
        <w:t>指标</w:t>
      </w:r>
      <w:r>
        <w:rPr>
          <w:rFonts w:hint="eastAsia"/>
          <w:b/>
          <w:bCs/>
          <w:color w:val="auto"/>
          <w:sz w:val="32"/>
          <w:szCs w:val="32"/>
          <w:highlight w:val="none"/>
          <w:lang w:eastAsia="zh-CN"/>
        </w:rPr>
        <w:t>完成情况</w:t>
      </w:r>
      <w:r>
        <w:rPr>
          <w:rFonts w:hint="eastAsia"/>
          <w:b/>
          <w:bCs/>
          <w:color w:val="auto"/>
          <w:sz w:val="32"/>
          <w:szCs w:val="32"/>
          <w:highlight w:val="none"/>
        </w:rPr>
        <w:t>：</w:t>
      </w:r>
    </w:p>
    <w:p w14:paraId="7BDC1EFE">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指标1：</w:t>
      </w:r>
      <w:r>
        <w:rPr>
          <w:rFonts w:hint="eastAsia"/>
          <w:color w:val="auto"/>
          <w:sz w:val="32"/>
          <w:szCs w:val="32"/>
          <w:highlight w:val="none"/>
          <w:lang w:val="en-US" w:eastAsia="zh-CN"/>
        </w:rPr>
        <w:t>参保群众满意度</w:t>
      </w:r>
      <w:r>
        <w:rPr>
          <w:rFonts w:hint="eastAsia"/>
          <w:color w:val="auto"/>
          <w:sz w:val="32"/>
          <w:szCs w:val="32"/>
          <w:highlight w:val="none"/>
        </w:rPr>
        <w:t>，指标值：≥95%，实际完成值</w:t>
      </w:r>
      <w:r>
        <w:rPr>
          <w:rFonts w:hint="eastAsia"/>
          <w:color w:val="auto"/>
          <w:sz w:val="32"/>
          <w:szCs w:val="32"/>
          <w:highlight w:val="none"/>
          <w:lang w:eastAsia="zh-CN"/>
        </w:rPr>
        <w:t>：</w:t>
      </w:r>
      <w:r>
        <w:rPr>
          <w:rFonts w:hint="eastAsia"/>
          <w:color w:val="auto"/>
          <w:sz w:val="32"/>
          <w:szCs w:val="32"/>
          <w:highlight w:val="none"/>
          <w:lang w:val="en-US" w:eastAsia="zh-CN"/>
        </w:rPr>
        <w:t>95%</w:t>
      </w:r>
      <w:r>
        <w:rPr>
          <w:rFonts w:hint="eastAsia"/>
          <w:color w:val="auto"/>
          <w:sz w:val="32"/>
          <w:szCs w:val="32"/>
          <w:highlight w:val="none"/>
        </w:rPr>
        <w:t>，指标完成率</w:t>
      </w:r>
      <w:r>
        <w:rPr>
          <w:rFonts w:hint="eastAsia"/>
          <w:color w:val="auto"/>
          <w:sz w:val="32"/>
          <w:szCs w:val="32"/>
          <w:highlight w:val="none"/>
          <w:lang w:val="en-US" w:eastAsia="zh-CN"/>
        </w:rPr>
        <w:t>100</w:t>
      </w:r>
      <w:r>
        <w:rPr>
          <w:rFonts w:hint="eastAsia"/>
          <w:color w:val="auto"/>
          <w:sz w:val="32"/>
          <w:szCs w:val="32"/>
          <w:highlight w:val="none"/>
        </w:rPr>
        <w:t>%，偏差原因：</w:t>
      </w:r>
      <w:r>
        <w:rPr>
          <w:rFonts w:hint="eastAsia"/>
          <w:color w:val="auto"/>
          <w:sz w:val="32"/>
          <w:szCs w:val="32"/>
          <w:highlight w:val="none"/>
          <w:lang w:eastAsia="zh-CN"/>
        </w:rPr>
        <w:t>无。</w:t>
      </w:r>
    </w:p>
    <w:p w14:paraId="55664F22">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ascii="Times New Roman" w:hAnsi="Times New Roman" w:eastAsia="仿宋_GB2312" w:cs="Times New Roman"/>
          <w:b w:val="0"/>
          <w:bCs w:val="0"/>
          <w:color w:val="auto"/>
          <w:kern w:val="2"/>
          <w:sz w:val="32"/>
          <w:szCs w:val="32"/>
          <w:highlight w:val="none"/>
          <w:lang w:val="en-US" w:eastAsia="zh-CN" w:bidi="ar-SA"/>
        </w:rPr>
        <w:t>此项权重分10分，得分</w:t>
      </w:r>
      <w:r>
        <w:rPr>
          <w:rFonts w:hint="eastAsia" w:cs="Times New Roman"/>
          <w:b w:val="0"/>
          <w:bCs w:val="0"/>
          <w:color w:val="auto"/>
          <w:kern w:val="2"/>
          <w:sz w:val="32"/>
          <w:szCs w:val="32"/>
          <w:highlight w:val="none"/>
          <w:lang w:val="en-US" w:eastAsia="zh-CN" w:bidi="ar-SA"/>
        </w:rPr>
        <w:t>10</w:t>
      </w:r>
      <w:r>
        <w:rPr>
          <w:rFonts w:hint="eastAsia" w:ascii="Times New Roman" w:hAnsi="Times New Roman" w:eastAsia="仿宋_GB2312" w:cs="Times New Roman"/>
          <w:b w:val="0"/>
          <w:bCs w:val="0"/>
          <w:color w:val="auto"/>
          <w:kern w:val="2"/>
          <w:sz w:val="32"/>
          <w:szCs w:val="32"/>
          <w:highlight w:val="none"/>
          <w:lang w:val="en-US" w:eastAsia="zh-CN" w:bidi="ar-SA"/>
        </w:rPr>
        <w:t>分。</w:t>
      </w:r>
    </w:p>
    <w:p w14:paraId="1AAA7623">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hAnsiTheme="majorHAnsi" w:cstheme="majorBidi"/>
          <w:b/>
          <w:bCs/>
          <w:color w:val="auto"/>
          <w:kern w:val="2"/>
          <w:sz w:val="32"/>
          <w:szCs w:val="32"/>
          <w:highlight w:val="none"/>
          <w:lang w:val="en-US" w:bidi="ar-SA"/>
        </w:rPr>
      </w:pPr>
      <w:bookmarkStart w:id="23" w:name="_Toc68703842"/>
      <w:r>
        <w:rPr>
          <w:rFonts w:hint="eastAsia" w:ascii="仿宋_GB2312" w:eastAsia="仿宋_GB2312" w:hAnsiTheme="majorHAnsi" w:cstheme="majorBidi"/>
          <w:b/>
          <w:bCs/>
          <w:color w:val="auto"/>
          <w:kern w:val="2"/>
          <w:sz w:val="32"/>
          <w:szCs w:val="32"/>
          <w:highlight w:val="none"/>
          <w:lang w:val="en-US" w:eastAsia="zh-CN" w:bidi="ar-SA"/>
        </w:rPr>
        <w:t>（</w:t>
      </w:r>
      <w:r>
        <w:rPr>
          <w:rFonts w:hint="eastAsia" w:ascii="仿宋_GB2312" w:eastAsia="仿宋_GB2312" w:hAnsiTheme="majorHAnsi" w:cstheme="majorBidi"/>
          <w:b/>
          <w:bCs/>
          <w:color w:val="auto"/>
          <w:kern w:val="2"/>
          <w:sz w:val="32"/>
          <w:szCs w:val="32"/>
          <w:highlight w:val="none"/>
          <w:lang w:val="en-US" w:bidi="ar-SA"/>
        </w:rPr>
        <w:t>五</w:t>
      </w:r>
      <w:r>
        <w:rPr>
          <w:rFonts w:hint="eastAsia" w:ascii="仿宋_GB2312" w:eastAsia="仿宋_GB2312" w:hAnsiTheme="majorHAnsi" w:cstheme="majorBidi"/>
          <w:b/>
          <w:bCs/>
          <w:color w:val="auto"/>
          <w:kern w:val="2"/>
          <w:sz w:val="32"/>
          <w:szCs w:val="32"/>
          <w:highlight w:val="none"/>
          <w:lang w:val="en-US" w:eastAsia="zh-CN" w:bidi="ar-SA"/>
        </w:rPr>
        <w:t>）</w:t>
      </w:r>
      <w:r>
        <w:rPr>
          <w:rFonts w:hint="eastAsia" w:ascii="仿宋_GB2312" w:eastAsia="仿宋_GB2312" w:hAnsiTheme="majorHAnsi" w:cstheme="majorBidi"/>
          <w:b/>
          <w:bCs/>
          <w:color w:val="auto"/>
          <w:kern w:val="2"/>
          <w:sz w:val="32"/>
          <w:szCs w:val="32"/>
          <w:highlight w:val="none"/>
          <w:lang w:val="en-US" w:bidi="ar-SA"/>
        </w:rPr>
        <w:t>、预算执行进度与绩效指标总体完成率偏差</w:t>
      </w:r>
    </w:p>
    <w:p w14:paraId="749DC9AF">
      <w:pPr>
        <w:pStyle w:val="22"/>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kern w:val="2"/>
          <w:sz w:val="32"/>
          <w:szCs w:val="32"/>
          <w:highlight w:val="none"/>
          <w:lang w:val="en-US" w:eastAsia="zh-CN" w:bidi="ar-SA"/>
        </w:rPr>
        <w:t>特定目标类项目-保基本民生项目-城乡居民基本医疗保险项目年初预算1718.73万元，全年预算1718.73万元，实际支出1718.73万元，预算执行率为</w:t>
      </w:r>
      <w:r>
        <w:rPr>
          <w:rFonts w:hint="eastAsia" w:cs="Times New Roman"/>
          <w:color w:val="auto"/>
          <w:kern w:val="2"/>
          <w:sz w:val="32"/>
          <w:szCs w:val="32"/>
          <w:highlight w:val="none"/>
          <w:lang w:val="en-US" w:eastAsia="zh-CN" w:bidi="ar-SA"/>
        </w:rPr>
        <w:t>100</w:t>
      </w:r>
      <w:r>
        <w:rPr>
          <w:rFonts w:hint="eastAsia" w:ascii="Times New Roman" w:hAnsi="Times New Roman" w:eastAsia="仿宋_GB2312" w:cs="Times New Roman"/>
          <w:color w:val="auto"/>
          <w:kern w:val="2"/>
          <w:sz w:val="32"/>
          <w:szCs w:val="32"/>
          <w:highlight w:val="none"/>
          <w:lang w:val="en-US" w:eastAsia="zh-CN" w:bidi="ar-SA"/>
        </w:rPr>
        <w:t>%，项目绩效指标总体完成率为</w:t>
      </w:r>
      <w:r>
        <w:rPr>
          <w:rFonts w:hint="eastAsia" w:cs="Times New Roman"/>
          <w:color w:val="auto"/>
          <w:kern w:val="2"/>
          <w:sz w:val="32"/>
          <w:szCs w:val="32"/>
          <w:highlight w:val="none"/>
          <w:lang w:val="en-US" w:eastAsia="zh-CN" w:bidi="ar-SA"/>
        </w:rPr>
        <w:t>100</w:t>
      </w:r>
      <w:r>
        <w:rPr>
          <w:rFonts w:hint="eastAsia" w:ascii="Times New Roman"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bidi="ar-SA"/>
        </w:rPr>
        <w:t>总体</w:t>
      </w:r>
      <w:r>
        <w:rPr>
          <w:rFonts w:hint="eastAsia" w:ascii="Times New Roman" w:hAnsi="Times New Roman" w:eastAsia="仿宋_GB2312" w:cs="Times New Roman"/>
          <w:color w:val="auto"/>
          <w:kern w:val="2"/>
          <w:sz w:val="32"/>
          <w:szCs w:val="32"/>
          <w:highlight w:val="none"/>
          <w:lang w:val="en-US" w:eastAsia="zh-CN" w:bidi="ar-SA"/>
        </w:rPr>
        <w:t>偏差率为</w:t>
      </w:r>
      <w:r>
        <w:rPr>
          <w:rFonts w:hint="eastAsia" w:cs="Times New Roman"/>
          <w:color w:val="auto"/>
          <w:kern w:val="2"/>
          <w:sz w:val="32"/>
          <w:szCs w:val="32"/>
          <w:highlight w:val="none"/>
          <w:lang w:val="en-US" w:eastAsia="zh-CN" w:bidi="ar-SA"/>
        </w:rPr>
        <w:t>0</w:t>
      </w:r>
      <w:r>
        <w:rPr>
          <w:rFonts w:hint="eastAsia" w:ascii="Times New Roman" w:hAnsi="Times New Roman" w:eastAsia="仿宋_GB2312" w:cs="Times New Roman"/>
          <w:color w:val="auto"/>
          <w:kern w:val="2"/>
          <w:sz w:val="32"/>
          <w:szCs w:val="32"/>
          <w:highlight w:val="none"/>
          <w:lang w:val="en-US" w:eastAsia="zh-CN" w:bidi="ar-SA"/>
        </w:rPr>
        <w:t>%,</w:t>
      </w:r>
      <w:r>
        <w:rPr>
          <w:rFonts w:hint="eastAsia"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bidi="ar-SA"/>
        </w:rPr>
        <w:t>偏差</w:t>
      </w:r>
      <w:r>
        <w:rPr>
          <w:rFonts w:hint="eastAsia" w:ascii="Times New Roman" w:hAnsi="Times New Roman" w:eastAsia="仿宋_GB2312" w:cs="Times New Roman"/>
          <w:color w:val="auto"/>
          <w:kern w:val="2"/>
          <w:sz w:val="32"/>
          <w:szCs w:val="32"/>
          <w:highlight w:val="none"/>
          <w:lang w:val="en-US" w:eastAsia="zh-CN" w:bidi="ar-SA"/>
        </w:rPr>
        <w:t>原因</w:t>
      </w:r>
      <w:r>
        <w:rPr>
          <w:rFonts w:hint="eastAsia" w:cs="Times New Roman"/>
          <w:color w:val="auto"/>
          <w:kern w:val="2"/>
          <w:sz w:val="32"/>
          <w:szCs w:val="32"/>
          <w:highlight w:val="none"/>
          <w:lang w:val="en-US" w:eastAsia="zh-CN" w:bidi="ar-SA"/>
        </w:rPr>
        <w:t>：无</w:t>
      </w:r>
      <w:r>
        <w:rPr>
          <w:rFonts w:hint="eastAsia" w:ascii="Times New Roman"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bidi="ar-SA"/>
        </w:rPr>
        <w:t>改进</w:t>
      </w:r>
      <w:r>
        <w:rPr>
          <w:rFonts w:hint="eastAsia" w:ascii="Times New Roman" w:hAnsi="Times New Roman" w:eastAsia="仿宋_GB2312" w:cs="Times New Roman"/>
          <w:color w:val="auto"/>
          <w:kern w:val="2"/>
          <w:sz w:val="32"/>
          <w:szCs w:val="32"/>
          <w:highlight w:val="none"/>
          <w:lang w:val="en-US" w:eastAsia="zh-CN" w:bidi="ar-SA"/>
        </w:rPr>
        <w:t>措施</w:t>
      </w:r>
      <w:r>
        <w:rPr>
          <w:rFonts w:hint="eastAsia" w:cs="Times New Roman"/>
          <w:color w:val="auto"/>
          <w:kern w:val="2"/>
          <w:sz w:val="32"/>
          <w:szCs w:val="32"/>
          <w:highlight w:val="none"/>
          <w:lang w:val="en-US" w:eastAsia="zh-CN" w:bidi="ar-SA"/>
        </w:rPr>
        <w:t>：无</w:t>
      </w:r>
      <w:r>
        <w:rPr>
          <w:rFonts w:hint="eastAsia" w:ascii="Times New Roman" w:hAnsi="Times New Roman" w:eastAsia="仿宋_GB2312" w:cs="Times New Roman"/>
          <w:color w:val="auto"/>
          <w:kern w:val="2"/>
          <w:sz w:val="32"/>
          <w:szCs w:val="32"/>
          <w:highlight w:val="none"/>
          <w:lang w:val="en-US" w:eastAsia="zh-CN" w:bidi="ar-SA"/>
        </w:rPr>
        <w:t>。</w:t>
      </w:r>
    </w:p>
    <w:p w14:paraId="6E8493D6">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highlight w:val="none"/>
        </w:rPr>
      </w:pPr>
      <w:r>
        <w:rPr>
          <w:rFonts w:hint="eastAsia" w:ascii="宋体" w:hAnsi="宋体" w:eastAsia="宋体"/>
          <w:color w:val="auto"/>
          <w:sz w:val="32"/>
          <w:szCs w:val="32"/>
          <w:highlight w:val="none"/>
          <w:lang w:val="en-US" w:eastAsia="zh-CN"/>
        </w:rPr>
        <w:t>五</w:t>
      </w:r>
      <w:r>
        <w:rPr>
          <w:rFonts w:hint="eastAsia" w:ascii="宋体" w:hAnsi="宋体" w:eastAsia="宋体"/>
          <w:color w:val="auto"/>
          <w:sz w:val="32"/>
          <w:szCs w:val="32"/>
          <w:highlight w:val="none"/>
        </w:rPr>
        <w:t>、主要经验及做法、存在的问题及原因分析</w:t>
      </w:r>
      <w:bookmarkEnd w:id="23"/>
    </w:p>
    <w:p w14:paraId="2DC27597">
      <w:pPr>
        <w:pageBreakBefore w:val="0"/>
        <w:kinsoku/>
        <w:wordWrap/>
        <w:overflowPunct/>
        <w:topLinePunct w:val="0"/>
        <w:autoSpaceDE/>
        <w:autoSpaceDN/>
        <w:bidi w:val="0"/>
        <w:adjustRightInd/>
        <w:snapToGrid/>
        <w:spacing w:line="560" w:lineRule="exact"/>
        <w:ind w:firstLine="643" w:firstLineChars="200"/>
        <w:textAlignment w:val="auto"/>
        <w:rPr>
          <w:rFonts w:hint="eastAsia" w:ascii="仿宋_GB2312" w:eastAsia="仿宋_GB2312"/>
          <w:b w:val="0"/>
          <w:bCs w:val="0"/>
          <w:color w:val="auto"/>
          <w:sz w:val="32"/>
          <w:szCs w:val="32"/>
          <w:highlight w:val="none"/>
        </w:rPr>
      </w:pPr>
      <w:bookmarkStart w:id="24" w:name="_Toc68703843"/>
      <w:r>
        <w:rPr>
          <w:rFonts w:hint="eastAsia" w:ascii="仿宋_GB2312" w:eastAsia="仿宋_GB2312"/>
          <w:b/>
          <w:bCs/>
          <w:color w:val="auto"/>
          <w:sz w:val="32"/>
          <w:szCs w:val="32"/>
          <w:highlight w:val="none"/>
        </w:rPr>
        <w:t>（一）主要经验及做法</w:t>
      </w:r>
      <w:bookmarkEnd w:id="24"/>
    </w:p>
    <w:p w14:paraId="638BB496">
      <w:pPr>
        <w:pageBreakBefore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b w:val="0"/>
          <w:color w:val="auto"/>
          <w:kern w:val="2"/>
          <w:sz w:val="32"/>
          <w:szCs w:val="32"/>
          <w:highlight w:val="none"/>
          <w:lang w:val="en-US" w:eastAsia="zh-CN" w:bidi="ar-SA"/>
        </w:rPr>
      </w:pPr>
      <w:r>
        <w:rPr>
          <w:rFonts w:hint="eastAsia"/>
          <w:color w:val="auto"/>
          <w:sz w:val="32"/>
          <w:szCs w:val="32"/>
          <w:highlight w:val="none"/>
          <w:lang w:val="en-US" w:eastAsia="zh-CN"/>
        </w:rPr>
        <w:t>1.</w:t>
      </w:r>
      <w:r>
        <w:rPr>
          <w:rFonts w:hint="eastAsia"/>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bookmarkStart w:id="25" w:name="_Toc68703844"/>
    </w:p>
    <w:p w14:paraId="502674E0">
      <w:pPr>
        <w:pStyle w:val="4"/>
        <w:pageBreakBefore w:val="0"/>
        <w:kinsoku/>
        <w:wordWrap/>
        <w:overflowPunct/>
        <w:topLinePunct w:val="0"/>
        <w:autoSpaceDE/>
        <w:autoSpaceDN/>
        <w:bidi w:val="0"/>
        <w:adjustRightInd/>
        <w:snapToGrid/>
        <w:spacing w:beforeLines="0" w:afterLines="0" w:line="560" w:lineRule="exact"/>
        <w:ind w:firstLine="640" w:firstLineChars="200"/>
        <w:textAlignment w:val="auto"/>
        <w:rPr>
          <w:rFonts w:hint="default" w:ascii="Times New Roman" w:hAnsi="Times New Roman" w:eastAsia="仿宋_GB2312" w:cs="Times New Roman"/>
          <w:b w:val="0"/>
          <w:color w:val="auto"/>
          <w:kern w:val="2"/>
          <w:sz w:val="32"/>
          <w:szCs w:val="32"/>
          <w:highlight w:val="none"/>
          <w:lang w:val="en-US" w:eastAsia="zh-CN" w:bidi="ar-SA"/>
        </w:rPr>
      </w:pPr>
      <w:r>
        <w:rPr>
          <w:rFonts w:hint="eastAsia" w:cs="Times New Roman"/>
          <w:b w:val="0"/>
          <w:color w:val="auto"/>
          <w:kern w:val="2"/>
          <w:sz w:val="32"/>
          <w:szCs w:val="32"/>
          <w:highlight w:val="none"/>
          <w:lang w:val="en-US" w:eastAsia="zh-CN" w:bidi="ar-SA"/>
        </w:rPr>
        <w:t>2</w:t>
      </w:r>
      <w:r>
        <w:rPr>
          <w:rFonts w:hint="eastAsia" w:ascii="Times New Roman" w:hAnsi="Times New Roman" w:eastAsia="仿宋_GB2312" w:cs="Times New Roman"/>
          <w:b w:val="0"/>
          <w:color w:val="auto"/>
          <w:kern w:val="2"/>
          <w:sz w:val="32"/>
          <w:szCs w:val="32"/>
          <w:highlight w:val="none"/>
          <w:lang w:val="en-US" w:eastAsia="zh-CN" w:bidi="ar-SA"/>
        </w:rPr>
        <w:t>.制定绩效考核制度，推动项目高效落地。根据实施方案，合理的设置绩效考核指标，注重定量指标和定性指标的配比，用量化的指标来体现项目的完成情况；二是做好预算支出管理，优化资金使用效率。建立预算管理考评机制,将预算管理情况作为领导晋升考核、资金发放的标准，调动人员执行预算管理积极性。有效提高资金管理水平和使用效率。</w:t>
      </w:r>
    </w:p>
    <w:p w14:paraId="08475D1B">
      <w:pPr>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b w:val="0"/>
          <w:bCs w:val="0"/>
          <w:color w:val="auto"/>
          <w:sz w:val="32"/>
          <w:szCs w:val="32"/>
          <w:highlight w:val="none"/>
        </w:rPr>
      </w:pPr>
      <w:r>
        <w:rPr>
          <w:rFonts w:hint="eastAsia"/>
          <w:color w:val="auto"/>
          <w:sz w:val="32"/>
          <w:szCs w:val="32"/>
          <w:highlight w:val="none"/>
          <w:lang w:val="en-US" w:eastAsia="zh-CN"/>
        </w:rPr>
        <w:t>3</w:t>
      </w:r>
      <w:r>
        <w:rPr>
          <w:rFonts w:hint="eastAsia"/>
          <w:color w:val="auto"/>
          <w:sz w:val="32"/>
          <w:szCs w:val="32"/>
          <w:highlight w:val="none"/>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32BA5A17">
      <w:pPr>
        <w:pStyle w:val="3"/>
        <w:pageBreakBefore w:val="0"/>
        <w:kinsoku/>
        <w:wordWrap/>
        <w:overflowPunct/>
        <w:topLinePunct w:val="0"/>
        <w:autoSpaceDE/>
        <w:autoSpaceDN/>
        <w:bidi w:val="0"/>
        <w:adjustRightInd/>
        <w:snapToGrid/>
        <w:spacing w:before="0" w:after="0" w:line="560" w:lineRule="exact"/>
        <w:ind w:firstLine="643" w:firstLineChars="200"/>
        <w:textAlignment w:val="auto"/>
        <w:rPr>
          <w:rFonts w:hint="eastAsia" w:ascii="仿宋_GB2312" w:eastAsia="仿宋_GB2312"/>
          <w:b w:val="0"/>
          <w:bCs w:val="0"/>
          <w:color w:val="auto"/>
          <w:sz w:val="32"/>
          <w:szCs w:val="32"/>
          <w:highlight w:val="none"/>
          <w:lang w:eastAsia="zh-CN"/>
        </w:rPr>
      </w:pPr>
      <w:r>
        <w:rPr>
          <w:rFonts w:hint="eastAsia" w:ascii="仿宋_GB2312" w:eastAsia="仿宋_GB2312"/>
          <w:b/>
          <w:bCs/>
          <w:color w:val="auto"/>
          <w:sz w:val="32"/>
          <w:szCs w:val="32"/>
          <w:highlight w:val="none"/>
        </w:rPr>
        <w:t>（二）存在的问题及原因分析</w:t>
      </w:r>
      <w:bookmarkEnd w:id="25"/>
    </w:p>
    <w:p w14:paraId="217C5555">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709236DC">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lang w:val="en-US" w:eastAsia="zh-CN"/>
        </w:rPr>
        <w:t>2.</w:t>
      </w:r>
      <w:r>
        <w:rPr>
          <w:rFonts w:hint="eastAsia"/>
          <w:color w:val="auto"/>
          <w:sz w:val="32"/>
          <w:szCs w:val="32"/>
          <w:highlight w:val="none"/>
        </w:rPr>
        <w:t>因轮岗、调动、等因素使我单位绩效工作人员流动频繁，造成了工作衔接不到位的情况。</w:t>
      </w:r>
    </w:p>
    <w:p w14:paraId="674C3F9F">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bookmarkStart w:id="26" w:name="_Toc68703845"/>
      <w:r>
        <w:rPr>
          <w:rFonts w:hint="eastAsia"/>
          <w:color w:val="auto"/>
          <w:sz w:val="32"/>
          <w:szCs w:val="32"/>
          <w:highlight w:val="none"/>
          <w:lang w:val="en-US" w:eastAsia="zh-CN"/>
        </w:rPr>
        <w:t>3.</w:t>
      </w:r>
      <w:r>
        <w:rPr>
          <w:rFonts w:hint="eastAsia"/>
          <w:color w:val="auto"/>
          <w:sz w:val="32"/>
          <w:szCs w:val="32"/>
          <w:highlight w:val="none"/>
        </w:rPr>
        <w:t>对项目绩效的认识还不够深入，相关知识了解还不够、掌握还不够多，把绩效管理简单等同于工作目标、工作考核和业务管理。</w:t>
      </w:r>
    </w:p>
    <w:p w14:paraId="713BF10C">
      <w:pPr>
        <w:pageBreakBefore w:val="0"/>
        <w:kinsoku/>
        <w:wordWrap/>
        <w:overflowPunct/>
        <w:topLinePunct w:val="0"/>
        <w:autoSpaceDE/>
        <w:autoSpaceDN/>
        <w:bidi w:val="0"/>
        <w:adjustRightInd/>
        <w:snapToGrid/>
        <w:spacing w:line="560" w:lineRule="exact"/>
        <w:ind w:firstLine="643" w:firstLineChars="200"/>
        <w:textAlignment w:val="auto"/>
        <w:rPr>
          <w:rFonts w:eastAsia="黑体"/>
          <w:color w:val="auto"/>
          <w:sz w:val="32"/>
          <w:szCs w:val="32"/>
          <w:highlight w:val="none"/>
        </w:rPr>
      </w:pPr>
      <w:r>
        <w:rPr>
          <w:rFonts w:hint="eastAsia" w:ascii="宋体" w:hAnsi="宋体" w:eastAsia="宋体"/>
          <w:b/>
          <w:bCs/>
          <w:color w:val="auto"/>
          <w:sz w:val="32"/>
          <w:szCs w:val="32"/>
          <w:highlight w:val="none"/>
          <w:lang w:val="en-US" w:eastAsia="zh-CN"/>
        </w:rPr>
        <w:t>六</w:t>
      </w:r>
      <w:r>
        <w:rPr>
          <w:rFonts w:hint="eastAsia" w:ascii="宋体" w:hAnsi="宋体" w:eastAsia="宋体"/>
          <w:b/>
          <w:bCs/>
          <w:color w:val="auto"/>
          <w:sz w:val="32"/>
          <w:szCs w:val="32"/>
          <w:highlight w:val="none"/>
        </w:rPr>
        <w:t>、有关建议</w:t>
      </w:r>
      <w:bookmarkEnd w:id="26"/>
    </w:p>
    <w:p w14:paraId="1B6CB674">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1.多进行有关绩效管理工作方面的培训。积极组织第三方开展绩效管理工作培训，进一步夯实业务基础，提高我单位绩效人员水平。</w:t>
      </w:r>
    </w:p>
    <w:p w14:paraId="5C82669D">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进一步加强对绩效管理工作的组织领导，提高对预算绩效管理工作重要性的认识，总结经验查找问题，抓紧研究制定更全面更完善的绩效评价管理办法。建立绩效工作考核制度，加大全局对全面实施预算绩效管理和绩效管理工作的学习力度，让“花钱必问效，无效必问责”的理念深入工作每个环节。</w:t>
      </w:r>
    </w:p>
    <w:p w14:paraId="452F1DCD">
      <w:pPr>
        <w:pStyle w:val="2"/>
        <w:pageBreakBefore w:val="0"/>
        <w:kinsoku/>
        <w:wordWrap/>
        <w:overflowPunct/>
        <w:topLinePunct w:val="0"/>
        <w:autoSpaceDE/>
        <w:autoSpaceDN/>
        <w:bidi w:val="0"/>
        <w:adjustRightInd/>
        <w:snapToGrid/>
        <w:spacing w:before="0" w:after="0" w:line="560" w:lineRule="exact"/>
        <w:ind w:firstLine="643" w:firstLineChars="200"/>
        <w:textAlignment w:val="auto"/>
        <w:rPr>
          <w:rFonts w:ascii="宋体" w:hAnsi="宋体" w:eastAsia="宋体"/>
          <w:color w:val="auto"/>
          <w:sz w:val="32"/>
          <w:szCs w:val="32"/>
          <w:highlight w:val="none"/>
        </w:rPr>
      </w:pPr>
      <w:bookmarkStart w:id="27" w:name="_Toc68703846"/>
      <w:r>
        <w:rPr>
          <w:rFonts w:hint="eastAsia" w:ascii="宋体" w:hAnsi="宋体" w:eastAsia="宋体"/>
          <w:color w:val="auto"/>
          <w:sz w:val="32"/>
          <w:szCs w:val="32"/>
          <w:highlight w:val="none"/>
          <w:lang w:val="en-US" w:eastAsia="zh-CN"/>
        </w:rPr>
        <w:t>七</w:t>
      </w:r>
      <w:r>
        <w:rPr>
          <w:rFonts w:hint="eastAsia" w:ascii="宋体" w:hAnsi="宋体" w:eastAsia="宋体"/>
          <w:color w:val="auto"/>
          <w:sz w:val="32"/>
          <w:szCs w:val="32"/>
          <w:highlight w:val="none"/>
        </w:rPr>
        <w:t>、其他需要说明的问题</w:t>
      </w:r>
      <w:bookmarkEnd w:id="27"/>
    </w:p>
    <w:p w14:paraId="135EC05B">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cs="Times New Roman"/>
          <w:color w:val="auto"/>
          <w:sz w:val="32"/>
          <w:szCs w:val="32"/>
          <w:highlight w:val="none"/>
          <w:lang w:eastAsia="zh-CN"/>
        </w:rPr>
        <w:sectPr>
          <w:pgSz w:w="11906" w:h="16838"/>
          <w:pgMar w:top="1928" w:right="1531" w:bottom="1701" w:left="1531" w:header="737" w:footer="851" w:gutter="0"/>
          <w:cols w:space="720" w:num="1"/>
          <w:docGrid w:type="lines" w:linePitch="408" w:charSpace="0"/>
        </w:sectPr>
      </w:pPr>
      <w:r>
        <w:rPr>
          <w:rFonts w:hint="default" w:ascii="Times New Roman" w:hAnsi="Times New Roman" w:eastAsia="仿宋_GB2312" w:cs="Times New Roman"/>
          <w:color w:val="auto"/>
          <w:sz w:val="32"/>
          <w:szCs w:val="32"/>
          <w:highlight w:val="none"/>
        </w:rPr>
        <w:t>本项目无其他需说明的问题</w:t>
      </w:r>
      <w:r>
        <w:rPr>
          <w:rFonts w:hint="eastAsia" w:ascii="Times New Roman" w:hAnsi="Times New Roman" w:cs="Times New Roman"/>
          <w:color w:val="auto"/>
          <w:sz w:val="32"/>
          <w:szCs w:val="32"/>
          <w:highlight w:val="none"/>
          <w:lang w:eastAsia="zh-CN"/>
        </w:rPr>
        <w:t>。</w:t>
      </w:r>
    </w:p>
    <w:p w14:paraId="3A7DB6FF">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14:paraId="29A86850">
      <w:pPr>
        <w:pStyle w:val="22"/>
        <w:ind w:firstLine="562"/>
        <w:jc w:val="center"/>
        <w:rPr>
          <w:rFonts w:hint="eastAsia" w:ascii="仿宋_GB2312" w:hAnsi="仿宋_GB2312" w:eastAsia="仿宋_GB2312" w:cs="仿宋_GB2312"/>
          <w:color w:val="auto"/>
          <w:sz w:val="28"/>
          <w:szCs w:val="40"/>
          <w:highlight w:val="none"/>
        </w:rPr>
      </w:pPr>
      <w:bookmarkStart w:id="28" w:name="_Toc30064_WPSOffice_Level1"/>
      <w:bookmarkStart w:id="29" w:name="_Toc26499_WPSOffice_Level2"/>
      <w:r>
        <w:rPr>
          <w:rFonts w:hint="eastAsia" w:ascii="仿宋_GB2312" w:hAnsi="仿宋_GB2312" w:eastAsia="仿宋_GB2312" w:cs="仿宋_GB2312"/>
          <w:b/>
          <w:bCs/>
          <w:color w:val="auto"/>
          <w:sz w:val="28"/>
          <w:szCs w:val="40"/>
          <w:highlight w:val="none"/>
          <w:lang w:val="en-US" w:eastAsia="zh-CN"/>
        </w:rPr>
        <w:t>特定目标类项目-保基本民生项目-城乡居民基本医疗保险</w:t>
      </w:r>
      <w:r>
        <w:rPr>
          <w:rFonts w:hint="eastAsia" w:ascii="仿宋_GB2312" w:hAnsi="仿宋_GB2312" w:eastAsia="仿宋_GB2312" w:cs="仿宋_GB2312"/>
          <w:b/>
          <w:bCs/>
          <w:color w:val="auto"/>
          <w:sz w:val="28"/>
          <w:szCs w:val="40"/>
          <w:highlight w:val="none"/>
        </w:rPr>
        <w:t>绩效评价指标体系及综合评分表</w:t>
      </w:r>
      <w:bookmarkEnd w:id="28"/>
      <w:bookmarkEnd w:id="29"/>
    </w:p>
    <w:tbl>
      <w:tblPr>
        <w:tblStyle w:val="11"/>
        <w:tblW w:w="4474"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52"/>
        <w:gridCol w:w="947"/>
        <w:gridCol w:w="1014"/>
        <w:gridCol w:w="1635"/>
        <w:gridCol w:w="4940"/>
        <w:gridCol w:w="1231"/>
        <w:gridCol w:w="1294"/>
      </w:tblGrid>
      <w:tr w14:paraId="596776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14:paraId="7A25FE58">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394" w:type="pct"/>
            <w:shd w:val="clear" w:color="auto" w:fill="FFFFFF"/>
            <w:vAlign w:val="center"/>
          </w:tcPr>
          <w:p w14:paraId="31489CC9">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422" w:type="pct"/>
            <w:shd w:val="clear" w:color="auto" w:fill="FFFFFF"/>
            <w:vAlign w:val="center"/>
          </w:tcPr>
          <w:p w14:paraId="77467DCA">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680" w:type="pct"/>
            <w:shd w:val="clear" w:color="auto" w:fill="FFFFFF"/>
            <w:vAlign w:val="center"/>
          </w:tcPr>
          <w:p w14:paraId="69C1127A">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2055" w:type="pct"/>
            <w:shd w:val="clear" w:color="auto" w:fill="FFFFFF"/>
            <w:vAlign w:val="center"/>
          </w:tcPr>
          <w:p w14:paraId="6635213B">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512" w:type="pct"/>
            <w:shd w:val="clear" w:color="auto" w:fill="FFFFFF"/>
            <w:vAlign w:val="center"/>
          </w:tcPr>
          <w:p w14:paraId="1F8F6D4A">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538" w:type="pct"/>
            <w:shd w:val="clear" w:color="auto" w:fill="FFFFFF"/>
            <w:vAlign w:val="center"/>
          </w:tcPr>
          <w:p w14:paraId="5F3B8FA7">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14:paraId="68D9F4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14:paraId="3136A4D0">
            <w:pPr>
              <w:widowControl/>
              <w:spacing w:line="0" w:lineRule="atLeast"/>
              <w:jc w:val="center"/>
              <w:rPr>
                <w:rFonts w:hint="default" w:ascii="Times New Roman" w:hAnsi="Times New Roman" w:eastAsia="仿宋_GB2312" w:cs="Times New Roman"/>
                <w:color w:val="auto"/>
                <w:kern w:val="0"/>
                <w:sz w:val="18"/>
                <w:szCs w:val="18"/>
                <w:highlight w:val="none"/>
              </w:rPr>
            </w:pPr>
          </w:p>
          <w:p w14:paraId="13968AB8">
            <w:pPr>
              <w:widowControl/>
              <w:spacing w:line="0" w:lineRule="atLeast"/>
              <w:jc w:val="center"/>
              <w:rPr>
                <w:rFonts w:hint="default" w:ascii="Times New Roman" w:hAnsi="Times New Roman" w:eastAsia="仿宋_GB2312" w:cs="Times New Roman"/>
                <w:color w:val="auto"/>
                <w:kern w:val="0"/>
                <w:sz w:val="18"/>
                <w:szCs w:val="18"/>
                <w:highlight w:val="none"/>
              </w:rPr>
            </w:pPr>
          </w:p>
          <w:p w14:paraId="21B1F263">
            <w:pPr>
              <w:widowControl/>
              <w:spacing w:line="0" w:lineRule="atLeast"/>
              <w:jc w:val="center"/>
              <w:rPr>
                <w:rFonts w:hint="default" w:ascii="Times New Roman" w:hAnsi="Times New Roman" w:eastAsia="仿宋_GB2312" w:cs="Times New Roman"/>
                <w:color w:val="auto"/>
                <w:kern w:val="0"/>
                <w:sz w:val="18"/>
                <w:szCs w:val="18"/>
                <w:highlight w:val="none"/>
              </w:rPr>
            </w:pPr>
          </w:p>
          <w:p w14:paraId="239BA711">
            <w:pPr>
              <w:widowControl/>
              <w:spacing w:line="0" w:lineRule="atLeast"/>
              <w:jc w:val="center"/>
              <w:rPr>
                <w:rFonts w:hint="default" w:ascii="Times New Roman" w:hAnsi="Times New Roman" w:eastAsia="仿宋_GB2312" w:cs="Times New Roman"/>
                <w:color w:val="auto"/>
                <w:kern w:val="0"/>
                <w:sz w:val="18"/>
                <w:szCs w:val="18"/>
                <w:highlight w:val="none"/>
              </w:rPr>
            </w:pPr>
          </w:p>
          <w:p w14:paraId="7297D349">
            <w:pPr>
              <w:widowControl/>
              <w:spacing w:line="0" w:lineRule="atLeast"/>
              <w:jc w:val="center"/>
              <w:rPr>
                <w:rFonts w:hint="default" w:ascii="Times New Roman" w:hAnsi="Times New Roman" w:eastAsia="仿宋_GB2312" w:cs="Times New Roman"/>
                <w:color w:val="auto"/>
                <w:kern w:val="0"/>
                <w:sz w:val="18"/>
                <w:szCs w:val="18"/>
                <w:highlight w:val="none"/>
              </w:rPr>
            </w:pPr>
          </w:p>
          <w:p w14:paraId="7A33110B">
            <w:pPr>
              <w:widowControl/>
              <w:spacing w:line="0" w:lineRule="atLeast"/>
              <w:jc w:val="center"/>
              <w:rPr>
                <w:rFonts w:hint="default" w:ascii="Times New Roman" w:hAnsi="Times New Roman" w:eastAsia="仿宋_GB2312" w:cs="Times New Roman"/>
                <w:color w:val="auto"/>
                <w:kern w:val="0"/>
                <w:sz w:val="18"/>
                <w:szCs w:val="18"/>
                <w:highlight w:val="none"/>
              </w:rPr>
            </w:pPr>
          </w:p>
          <w:p w14:paraId="29A411B5">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394" w:type="pct"/>
            <w:vMerge w:val="restart"/>
            <w:shd w:val="clear" w:color="auto" w:fill="FFFFFF"/>
            <w:vAlign w:val="center"/>
          </w:tcPr>
          <w:p w14:paraId="5EED83F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422" w:type="pct"/>
            <w:shd w:val="clear" w:color="auto" w:fill="FFFFFF"/>
            <w:vAlign w:val="center"/>
          </w:tcPr>
          <w:p w14:paraId="7DE86F1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14:paraId="1D5F0F2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680" w:type="pct"/>
            <w:shd w:val="clear" w:color="auto" w:fill="FFFFFF"/>
            <w:vAlign w:val="center"/>
          </w:tcPr>
          <w:p w14:paraId="217D4A0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14:paraId="605AAE6A">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512" w:type="pct"/>
            <w:shd w:val="clear" w:color="auto" w:fill="FFFFFF"/>
            <w:vAlign w:val="center"/>
          </w:tcPr>
          <w:p w14:paraId="5B8FA25D">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14:paraId="5E607C26">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3</w:t>
            </w:r>
          </w:p>
        </w:tc>
      </w:tr>
      <w:tr w14:paraId="513FFF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3112E7C9">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6062477A">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2CD14A7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14:paraId="4F49996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680" w:type="pct"/>
            <w:shd w:val="clear" w:color="auto" w:fill="FFFFFF"/>
            <w:vAlign w:val="center"/>
          </w:tcPr>
          <w:p w14:paraId="05BCD001">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2055" w:type="pct"/>
            <w:shd w:val="clear" w:color="auto" w:fill="FFFFFF"/>
            <w:vAlign w:val="center"/>
          </w:tcPr>
          <w:p w14:paraId="60761FAF">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512" w:type="pct"/>
            <w:shd w:val="clear" w:color="auto" w:fill="FFFFFF"/>
            <w:vAlign w:val="center"/>
          </w:tcPr>
          <w:p w14:paraId="5D72DB3B">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auto" w:fill="FFFFFF"/>
            <w:vAlign w:val="center"/>
          </w:tcPr>
          <w:p w14:paraId="2B79CE89">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3</w:t>
            </w:r>
          </w:p>
        </w:tc>
      </w:tr>
      <w:tr w14:paraId="38CCE8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14:paraId="7466C880">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14:paraId="361CF66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422" w:type="pct"/>
            <w:shd w:val="clear" w:color="auto" w:fill="FFFFFF"/>
            <w:vAlign w:val="center"/>
          </w:tcPr>
          <w:p w14:paraId="1F89D42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14:paraId="2A71895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000000" w:fill="FFFFFF"/>
            <w:vAlign w:val="center"/>
          </w:tcPr>
          <w:p w14:paraId="7EECF97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14:paraId="2534784B">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14:paraId="01CB9940">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512" w:type="pct"/>
            <w:shd w:val="clear" w:color="000000" w:fill="FFFFFF"/>
            <w:vAlign w:val="center"/>
          </w:tcPr>
          <w:p w14:paraId="662EA0FD">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14:paraId="2A27D736">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3</w:t>
            </w:r>
          </w:p>
        </w:tc>
      </w:tr>
      <w:tr w14:paraId="58D54A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14:paraId="7C520001">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1CA73081">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6F9C295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14:paraId="5A625A10">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680" w:type="pct"/>
            <w:shd w:val="clear" w:color="000000" w:fill="FFFFFF"/>
            <w:vAlign w:val="center"/>
          </w:tcPr>
          <w:p w14:paraId="213EA91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14:paraId="0E535D0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512" w:type="pct"/>
            <w:shd w:val="clear" w:color="000000" w:fill="FFFFFF"/>
            <w:vAlign w:val="center"/>
          </w:tcPr>
          <w:p w14:paraId="59C6F44D">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3</w:t>
            </w:r>
          </w:p>
        </w:tc>
        <w:tc>
          <w:tcPr>
            <w:tcW w:w="538" w:type="pct"/>
            <w:shd w:val="clear" w:color="000000" w:fill="FFFFFF"/>
            <w:vAlign w:val="center"/>
          </w:tcPr>
          <w:p w14:paraId="65E51A60">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3</w:t>
            </w:r>
          </w:p>
        </w:tc>
      </w:tr>
      <w:tr w14:paraId="38756E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14:paraId="0BB7FC3C">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14:paraId="5FFBFFE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14:paraId="0945EE98">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14:paraId="71BDEF3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14:paraId="01668078">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680" w:type="pct"/>
            <w:shd w:val="clear" w:color="auto" w:fill="FFFFFF"/>
            <w:vAlign w:val="center"/>
          </w:tcPr>
          <w:p w14:paraId="32A63487">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14:paraId="245E137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512" w:type="pct"/>
            <w:shd w:val="clear" w:color="auto" w:fill="FFFFFF"/>
            <w:vAlign w:val="center"/>
          </w:tcPr>
          <w:p w14:paraId="38325DE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14:paraId="2BD5156C">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eastAsia" w:cs="Times New Roman"/>
                <w:b/>
                <w:bCs/>
                <w:color w:val="auto"/>
                <w:kern w:val="0"/>
                <w:sz w:val="18"/>
                <w:szCs w:val="18"/>
                <w:highlight w:val="none"/>
                <w:lang w:val="en-US" w:eastAsia="zh-CN"/>
              </w:rPr>
              <w:t>4</w:t>
            </w:r>
          </w:p>
        </w:tc>
      </w:tr>
      <w:tr w14:paraId="358004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14:paraId="229CBA6F">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7B69F860">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1EC2663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14:paraId="10D09A6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680" w:type="pct"/>
            <w:shd w:val="clear" w:color="auto" w:fill="FFFFFF"/>
            <w:vAlign w:val="center"/>
          </w:tcPr>
          <w:p w14:paraId="7742E05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14:paraId="59739324">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512" w:type="pct"/>
            <w:shd w:val="clear" w:color="auto" w:fill="FFFFFF"/>
            <w:vAlign w:val="center"/>
          </w:tcPr>
          <w:p w14:paraId="367D1371">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auto" w:fill="FFFFFF"/>
            <w:vAlign w:val="center"/>
          </w:tcPr>
          <w:p w14:paraId="300CB099">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14:paraId="00AD2E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14:paraId="1E4807A3">
            <w:pPr>
              <w:spacing w:line="0" w:lineRule="atLeast"/>
              <w:jc w:val="center"/>
              <w:rPr>
                <w:rFonts w:hint="default" w:ascii="Times New Roman" w:hAnsi="Times New Roman" w:eastAsia="仿宋_GB2312" w:cs="Times New Roman"/>
                <w:color w:val="auto"/>
                <w:kern w:val="0"/>
                <w:sz w:val="18"/>
                <w:szCs w:val="18"/>
                <w:highlight w:val="none"/>
              </w:rPr>
            </w:pPr>
          </w:p>
          <w:p w14:paraId="34CA02EC">
            <w:pPr>
              <w:spacing w:line="0" w:lineRule="atLeast"/>
              <w:jc w:val="center"/>
              <w:rPr>
                <w:rFonts w:hint="default" w:ascii="Times New Roman" w:hAnsi="Times New Roman" w:eastAsia="仿宋_GB2312" w:cs="Times New Roman"/>
                <w:color w:val="auto"/>
                <w:kern w:val="0"/>
                <w:sz w:val="18"/>
                <w:szCs w:val="18"/>
                <w:highlight w:val="none"/>
              </w:rPr>
            </w:pPr>
          </w:p>
          <w:p w14:paraId="6A26F4AA">
            <w:pPr>
              <w:spacing w:line="0" w:lineRule="atLeast"/>
              <w:jc w:val="center"/>
              <w:rPr>
                <w:rFonts w:hint="default" w:ascii="Times New Roman" w:hAnsi="Times New Roman" w:eastAsia="仿宋_GB2312" w:cs="Times New Roman"/>
                <w:color w:val="auto"/>
                <w:kern w:val="0"/>
                <w:sz w:val="18"/>
                <w:szCs w:val="18"/>
                <w:highlight w:val="none"/>
              </w:rPr>
            </w:pPr>
          </w:p>
          <w:p w14:paraId="52C962D3">
            <w:pPr>
              <w:spacing w:line="0" w:lineRule="atLeast"/>
              <w:jc w:val="center"/>
              <w:rPr>
                <w:rFonts w:hint="default" w:ascii="Times New Roman" w:hAnsi="Times New Roman" w:eastAsia="仿宋_GB2312" w:cs="Times New Roman"/>
                <w:color w:val="auto"/>
                <w:kern w:val="0"/>
                <w:sz w:val="18"/>
                <w:szCs w:val="18"/>
                <w:highlight w:val="none"/>
              </w:rPr>
            </w:pPr>
          </w:p>
          <w:p w14:paraId="38BC582E">
            <w:pPr>
              <w:spacing w:line="0" w:lineRule="atLeast"/>
              <w:jc w:val="center"/>
              <w:rPr>
                <w:rFonts w:hint="default" w:ascii="Times New Roman" w:hAnsi="Times New Roman" w:eastAsia="仿宋_GB2312" w:cs="Times New Roman"/>
                <w:color w:val="auto"/>
                <w:kern w:val="0"/>
                <w:sz w:val="18"/>
                <w:szCs w:val="18"/>
                <w:highlight w:val="none"/>
              </w:rPr>
            </w:pPr>
          </w:p>
          <w:p w14:paraId="0E135CB6">
            <w:pPr>
              <w:spacing w:line="0" w:lineRule="atLeast"/>
              <w:jc w:val="center"/>
              <w:rPr>
                <w:rFonts w:hint="default" w:ascii="Times New Roman" w:hAnsi="Times New Roman" w:eastAsia="仿宋_GB2312" w:cs="Times New Roman"/>
                <w:color w:val="auto"/>
                <w:kern w:val="0"/>
                <w:sz w:val="18"/>
                <w:szCs w:val="18"/>
                <w:highlight w:val="none"/>
              </w:rPr>
            </w:pPr>
          </w:p>
          <w:p w14:paraId="27077F50">
            <w:pPr>
              <w:spacing w:line="0" w:lineRule="atLeast"/>
              <w:jc w:val="center"/>
              <w:rPr>
                <w:rFonts w:hint="default" w:ascii="Times New Roman" w:hAnsi="Times New Roman" w:eastAsia="仿宋_GB2312" w:cs="Times New Roman"/>
                <w:color w:val="auto"/>
                <w:kern w:val="0"/>
                <w:sz w:val="18"/>
                <w:szCs w:val="18"/>
                <w:highlight w:val="none"/>
              </w:rPr>
            </w:pPr>
          </w:p>
          <w:p w14:paraId="22CEF5F3">
            <w:pPr>
              <w:spacing w:line="0" w:lineRule="atLeast"/>
              <w:jc w:val="center"/>
              <w:rPr>
                <w:rFonts w:hint="default" w:ascii="Times New Roman" w:hAnsi="Times New Roman" w:eastAsia="仿宋_GB2312" w:cs="Times New Roman"/>
                <w:color w:val="auto"/>
                <w:kern w:val="0"/>
                <w:sz w:val="18"/>
                <w:szCs w:val="18"/>
                <w:highlight w:val="none"/>
              </w:rPr>
            </w:pPr>
          </w:p>
          <w:p w14:paraId="6C436320">
            <w:pPr>
              <w:spacing w:line="0" w:lineRule="atLeast"/>
              <w:jc w:val="center"/>
              <w:rPr>
                <w:rFonts w:hint="default" w:ascii="Times New Roman" w:hAnsi="Times New Roman" w:eastAsia="仿宋_GB2312" w:cs="Times New Roman"/>
                <w:color w:val="auto"/>
                <w:kern w:val="0"/>
                <w:sz w:val="18"/>
                <w:szCs w:val="18"/>
                <w:highlight w:val="none"/>
              </w:rPr>
            </w:pPr>
          </w:p>
          <w:p w14:paraId="477846C5">
            <w:pPr>
              <w:spacing w:line="0" w:lineRule="atLeast"/>
              <w:jc w:val="center"/>
              <w:rPr>
                <w:rFonts w:hint="default" w:ascii="Times New Roman" w:hAnsi="Times New Roman" w:eastAsia="仿宋_GB2312" w:cs="Times New Roman"/>
                <w:color w:val="auto"/>
                <w:kern w:val="0"/>
                <w:sz w:val="18"/>
                <w:szCs w:val="18"/>
                <w:highlight w:val="none"/>
              </w:rPr>
            </w:pPr>
          </w:p>
          <w:p w14:paraId="0D577E3A">
            <w:pPr>
              <w:spacing w:line="0" w:lineRule="atLeast"/>
              <w:jc w:val="center"/>
              <w:rPr>
                <w:rFonts w:hint="default" w:ascii="Times New Roman" w:hAnsi="Times New Roman" w:eastAsia="仿宋_GB2312" w:cs="Times New Roman"/>
                <w:color w:val="auto"/>
                <w:kern w:val="0"/>
                <w:sz w:val="18"/>
                <w:szCs w:val="18"/>
                <w:highlight w:val="none"/>
              </w:rPr>
            </w:pPr>
          </w:p>
          <w:p w14:paraId="7DBDDE43">
            <w:pPr>
              <w:spacing w:line="0" w:lineRule="atLeast"/>
              <w:jc w:val="center"/>
              <w:rPr>
                <w:rFonts w:hint="default" w:ascii="Times New Roman" w:hAnsi="Times New Roman" w:eastAsia="仿宋_GB2312" w:cs="Times New Roman"/>
                <w:color w:val="auto"/>
                <w:kern w:val="0"/>
                <w:sz w:val="18"/>
                <w:szCs w:val="18"/>
                <w:highlight w:val="none"/>
              </w:rPr>
            </w:pPr>
          </w:p>
          <w:p w14:paraId="1F0347A7">
            <w:pPr>
              <w:spacing w:line="0" w:lineRule="atLeast"/>
              <w:jc w:val="center"/>
              <w:rPr>
                <w:rFonts w:hint="default" w:ascii="Times New Roman" w:hAnsi="Times New Roman" w:eastAsia="仿宋_GB2312" w:cs="Times New Roman"/>
                <w:color w:val="auto"/>
                <w:kern w:val="0"/>
                <w:sz w:val="18"/>
                <w:szCs w:val="18"/>
                <w:highlight w:val="none"/>
              </w:rPr>
            </w:pPr>
          </w:p>
          <w:p w14:paraId="6B62F1BE">
            <w:pPr>
              <w:spacing w:line="0" w:lineRule="atLeast"/>
              <w:jc w:val="center"/>
              <w:rPr>
                <w:rFonts w:hint="default" w:ascii="Times New Roman" w:hAnsi="Times New Roman" w:eastAsia="仿宋_GB2312" w:cs="Times New Roman"/>
                <w:color w:val="auto"/>
                <w:kern w:val="0"/>
                <w:sz w:val="18"/>
                <w:szCs w:val="18"/>
                <w:highlight w:val="none"/>
              </w:rPr>
            </w:pPr>
          </w:p>
          <w:p w14:paraId="02AD44DF">
            <w:pPr>
              <w:spacing w:line="0" w:lineRule="atLeast"/>
              <w:jc w:val="center"/>
              <w:rPr>
                <w:rFonts w:hint="default" w:ascii="Times New Roman" w:hAnsi="Times New Roman" w:eastAsia="仿宋_GB2312" w:cs="Times New Roman"/>
                <w:color w:val="auto"/>
                <w:kern w:val="0"/>
                <w:sz w:val="18"/>
                <w:szCs w:val="18"/>
                <w:highlight w:val="none"/>
              </w:rPr>
            </w:pPr>
          </w:p>
          <w:p w14:paraId="1B87DCC2">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14:paraId="07C097AF">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394" w:type="pct"/>
            <w:vMerge w:val="restart"/>
            <w:shd w:val="clear" w:color="auto" w:fill="FFFFFF"/>
            <w:vAlign w:val="center"/>
          </w:tcPr>
          <w:p w14:paraId="64695FC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14:paraId="6956DD0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680" w:type="pct"/>
            <w:shd w:val="clear" w:color="000000" w:fill="FFFFFF"/>
            <w:vAlign w:val="center"/>
          </w:tcPr>
          <w:p w14:paraId="0169F98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14:paraId="2722337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14:paraId="3CC5BD74">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14:paraId="7960F54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512" w:type="pct"/>
            <w:shd w:val="clear" w:color="000000" w:fill="FFFFFF"/>
            <w:vAlign w:val="center"/>
          </w:tcPr>
          <w:p w14:paraId="2F6AEC7A">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51E0C6AA">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14:paraId="36EEB5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14:paraId="3557EF06">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4E96F5D6">
            <w:pPr>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05208FF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680" w:type="pct"/>
            <w:shd w:val="clear" w:color="auto" w:fill="FFFFFF"/>
            <w:vAlign w:val="center"/>
          </w:tcPr>
          <w:p w14:paraId="2FB0D717">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2055" w:type="pct"/>
            <w:shd w:val="clear" w:color="auto" w:fill="FFFFFF"/>
            <w:vAlign w:val="center"/>
          </w:tcPr>
          <w:p w14:paraId="6FC2A38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512" w:type="pct"/>
            <w:shd w:val="clear" w:color="auto" w:fill="FFFFFF"/>
            <w:vAlign w:val="center"/>
          </w:tcPr>
          <w:p w14:paraId="781DA602">
            <w:pPr>
              <w:widowControl/>
              <w:spacing w:line="0" w:lineRule="atLeast"/>
              <w:jc w:val="center"/>
              <w:rPr>
                <w:rFonts w:hint="default" w:ascii="Times New Roman" w:hAnsi="Times New Roman" w:eastAsia="仿宋_GB2312" w:cs="Times New Roman"/>
                <w:b/>
                <w:bCs/>
                <w:color w:val="auto"/>
                <w:kern w:val="0"/>
                <w:sz w:val="18"/>
                <w:szCs w:val="18"/>
                <w:highlight w:val="none"/>
              </w:rPr>
            </w:pPr>
            <w:bookmarkStart w:id="30" w:name="OLE_LINK2"/>
            <w:r>
              <w:rPr>
                <w:rFonts w:hint="default" w:ascii="Times New Roman" w:hAnsi="Times New Roman" w:eastAsia="仿宋_GB2312" w:cs="Times New Roman"/>
                <w:b/>
                <w:bCs/>
                <w:color w:val="auto"/>
                <w:kern w:val="0"/>
                <w:sz w:val="18"/>
                <w:szCs w:val="18"/>
                <w:highlight w:val="none"/>
              </w:rPr>
              <w:t>4</w:t>
            </w:r>
            <w:bookmarkEnd w:id="30"/>
          </w:p>
        </w:tc>
        <w:tc>
          <w:tcPr>
            <w:tcW w:w="538" w:type="pct"/>
            <w:shd w:val="clear" w:color="auto" w:fill="FFFFFF"/>
            <w:vAlign w:val="center"/>
          </w:tcPr>
          <w:p w14:paraId="38D68797">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default" w:ascii="Times New Roman" w:hAnsi="Times New Roman" w:eastAsia="仿宋_GB2312" w:cs="Times New Roman"/>
                <w:b/>
                <w:bCs/>
                <w:color w:val="auto"/>
                <w:kern w:val="0"/>
                <w:sz w:val="18"/>
                <w:szCs w:val="18"/>
                <w:highlight w:val="none"/>
              </w:rPr>
              <w:t>4</w:t>
            </w:r>
          </w:p>
        </w:tc>
      </w:tr>
      <w:tr w14:paraId="311C8F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3B0D115F">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6845095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422" w:type="pct"/>
            <w:shd w:val="clear" w:color="auto" w:fill="FFFFFF"/>
            <w:vAlign w:val="center"/>
          </w:tcPr>
          <w:p w14:paraId="2A85B58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14:paraId="5D0843A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680" w:type="pct"/>
            <w:shd w:val="clear" w:color="000000" w:fill="FFFFFF"/>
            <w:vAlign w:val="center"/>
          </w:tcPr>
          <w:p w14:paraId="0BAD38C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14:paraId="285945A3">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512" w:type="pct"/>
            <w:shd w:val="clear" w:color="000000" w:fill="FFFFFF"/>
            <w:vAlign w:val="center"/>
          </w:tcPr>
          <w:p w14:paraId="3F9CC9DE">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5A11C9AF">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14:paraId="6F434B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14:paraId="0514E0AB">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restart"/>
            <w:shd w:val="clear" w:color="auto" w:fill="FFFFFF"/>
            <w:vAlign w:val="center"/>
          </w:tcPr>
          <w:p w14:paraId="692F5A1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14:paraId="7C56B2D0">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422" w:type="pct"/>
            <w:shd w:val="clear" w:color="auto" w:fill="FFFFFF"/>
            <w:vAlign w:val="center"/>
          </w:tcPr>
          <w:p w14:paraId="3AD9A53A">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14:paraId="22CD9C37">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680" w:type="pct"/>
            <w:shd w:val="clear" w:color="000000" w:fill="FFFFFF"/>
            <w:vAlign w:val="center"/>
          </w:tcPr>
          <w:p w14:paraId="449E0846">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14:paraId="09DA5E9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512" w:type="pct"/>
            <w:shd w:val="clear" w:color="000000" w:fill="FFFFFF"/>
            <w:vAlign w:val="center"/>
          </w:tcPr>
          <w:p w14:paraId="1E08F12B">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5BB17B0A">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14:paraId="5C2F40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14:paraId="4D18F9A5">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2EBB6B70">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640C4C7D">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14:paraId="0A01B82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680" w:type="pct"/>
            <w:shd w:val="clear" w:color="000000" w:fill="FFFFFF"/>
            <w:vAlign w:val="center"/>
          </w:tcPr>
          <w:p w14:paraId="1AD68ED1">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2055" w:type="pct"/>
            <w:shd w:val="clear" w:color="000000" w:fill="FFFFFF"/>
            <w:vAlign w:val="center"/>
          </w:tcPr>
          <w:p w14:paraId="0DC79CBA">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512" w:type="pct"/>
            <w:shd w:val="clear" w:color="000000" w:fill="FFFFFF"/>
            <w:vAlign w:val="center"/>
          </w:tcPr>
          <w:p w14:paraId="5EF7F13F">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4</w:t>
            </w:r>
          </w:p>
        </w:tc>
        <w:tc>
          <w:tcPr>
            <w:tcW w:w="538" w:type="pct"/>
            <w:shd w:val="clear" w:color="000000" w:fill="FFFFFF"/>
            <w:vAlign w:val="center"/>
          </w:tcPr>
          <w:p w14:paraId="7DD5404A">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cs="Times New Roman"/>
                <w:b/>
                <w:bCs/>
                <w:color w:val="auto"/>
                <w:kern w:val="0"/>
                <w:sz w:val="18"/>
                <w:szCs w:val="18"/>
                <w:highlight w:val="none"/>
                <w:lang w:val="en-US" w:eastAsia="zh-CN"/>
              </w:rPr>
              <w:t>4</w:t>
            </w:r>
          </w:p>
        </w:tc>
      </w:tr>
      <w:tr w14:paraId="0C6AD9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14:paraId="7594F3A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394" w:type="pct"/>
            <w:shd w:val="clear" w:color="auto" w:fill="FFFFFF"/>
            <w:vAlign w:val="center"/>
          </w:tcPr>
          <w:p w14:paraId="036A2971">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422" w:type="pct"/>
            <w:shd w:val="clear" w:color="auto" w:fill="FFFFFF"/>
            <w:vAlign w:val="center"/>
          </w:tcPr>
          <w:p w14:paraId="1EF0E2E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680" w:type="pct"/>
            <w:shd w:val="clear" w:color="000000" w:fill="FFFFFF"/>
            <w:vAlign w:val="center"/>
          </w:tcPr>
          <w:p w14:paraId="27C8154E">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14:paraId="09C05FB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14:paraId="3CA36C72">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0AFE1734">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r w14:paraId="4BB66D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14:paraId="7CF09F6D">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6F7563D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422" w:type="pct"/>
            <w:shd w:val="clear" w:color="auto" w:fill="FFFFFF"/>
            <w:vAlign w:val="center"/>
          </w:tcPr>
          <w:p w14:paraId="1CFA2323">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680" w:type="pct"/>
            <w:shd w:val="clear" w:color="000000" w:fill="FFFFFF"/>
            <w:vAlign w:val="center"/>
          </w:tcPr>
          <w:p w14:paraId="0F50CE87">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14:paraId="32F3F029">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14:paraId="414BC2E5">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4B2A354A">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12963F5E">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r w14:paraId="2718DE6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14:paraId="6B1FFB6E">
            <w:pPr>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01D27942">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422" w:type="pct"/>
            <w:shd w:val="clear" w:color="auto" w:fill="FFFFFF"/>
            <w:vAlign w:val="center"/>
          </w:tcPr>
          <w:p w14:paraId="57E2AF82">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680" w:type="pct"/>
            <w:shd w:val="clear" w:color="000000" w:fill="FFFFFF"/>
            <w:vAlign w:val="center"/>
          </w:tcPr>
          <w:p w14:paraId="7D5EE66F">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14:paraId="0B3A9CA2">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512" w:type="pct"/>
            <w:shd w:val="clear" w:color="000000" w:fill="FFFFFF"/>
            <w:vAlign w:val="center"/>
          </w:tcPr>
          <w:p w14:paraId="329DE77D">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0CBD053C">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r w14:paraId="30360F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14:paraId="56B4D7EE">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shd w:val="clear" w:color="auto" w:fill="FFFFFF"/>
            <w:vAlign w:val="center"/>
          </w:tcPr>
          <w:p w14:paraId="776102F4">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422" w:type="pct"/>
            <w:shd w:val="clear" w:color="auto" w:fill="FFFFFF"/>
            <w:vAlign w:val="center"/>
          </w:tcPr>
          <w:p w14:paraId="7728E6D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680" w:type="pct"/>
            <w:shd w:val="clear" w:color="000000" w:fill="FFFFFF"/>
            <w:vAlign w:val="center"/>
          </w:tcPr>
          <w:p w14:paraId="692CCFE9">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14:paraId="3CCFDC50">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512" w:type="pct"/>
            <w:shd w:val="clear" w:color="000000" w:fill="FFFFFF"/>
            <w:vAlign w:val="center"/>
          </w:tcPr>
          <w:p w14:paraId="7BD2E720">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3B5883C7">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r w14:paraId="506FC4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14:paraId="0CC753E6">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394" w:type="pct"/>
            <w:vMerge w:val="restart"/>
            <w:shd w:val="clear" w:color="auto" w:fill="FFFFFF"/>
            <w:vAlign w:val="center"/>
          </w:tcPr>
          <w:p w14:paraId="78EC950E">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422" w:type="pct"/>
            <w:shd w:val="clear" w:color="auto" w:fill="FFFFFF"/>
            <w:vAlign w:val="center"/>
          </w:tcPr>
          <w:p w14:paraId="7AD2F46B">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680" w:type="pct"/>
            <w:shd w:val="clear" w:color="auto" w:fill="FFFFFF"/>
            <w:vAlign w:val="center"/>
          </w:tcPr>
          <w:p w14:paraId="6559C974">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2055" w:type="pct"/>
            <w:shd w:val="clear" w:color="auto" w:fill="FFFFFF"/>
            <w:vAlign w:val="center"/>
          </w:tcPr>
          <w:p w14:paraId="67B991F8">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14:paraId="58BBFD26">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auto" w:fill="FFFFFF"/>
            <w:vAlign w:val="center"/>
          </w:tcPr>
          <w:p w14:paraId="73253676">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r w14:paraId="09FDD5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14:paraId="7FE4307D">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394" w:type="pct"/>
            <w:vMerge w:val="continue"/>
            <w:shd w:val="clear" w:color="auto" w:fill="FFFFFF"/>
            <w:vAlign w:val="center"/>
          </w:tcPr>
          <w:p w14:paraId="469C6D52">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422" w:type="pct"/>
            <w:shd w:val="clear" w:color="auto" w:fill="FFFFFF"/>
            <w:vAlign w:val="center"/>
          </w:tcPr>
          <w:p w14:paraId="7F5CFFBC">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680" w:type="pct"/>
            <w:shd w:val="clear" w:color="000000" w:fill="FFFFFF"/>
            <w:vAlign w:val="center"/>
          </w:tcPr>
          <w:p w14:paraId="55574FFC">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2055" w:type="pct"/>
            <w:shd w:val="clear" w:color="000000" w:fill="FFFFFF"/>
            <w:vAlign w:val="center"/>
          </w:tcPr>
          <w:p w14:paraId="2BA5546D">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14:paraId="06904629">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538" w:type="pct"/>
            <w:shd w:val="clear" w:color="000000" w:fill="FFFFFF"/>
            <w:vAlign w:val="center"/>
          </w:tcPr>
          <w:p w14:paraId="48CA5A5D">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cs="Times New Roman"/>
                <w:b/>
                <w:bCs/>
                <w:color w:val="auto"/>
                <w:kern w:val="0"/>
                <w:sz w:val="18"/>
                <w:szCs w:val="18"/>
                <w:highlight w:val="none"/>
                <w:lang w:val="en-US" w:eastAsia="zh-CN"/>
              </w:rPr>
              <w:t>10</w:t>
            </w:r>
          </w:p>
        </w:tc>
      </w:tr>
    </w:tbl>
    <w:p w14:paraId="0E83E7C0">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hint="eastAsia" w:ascii="Times New Roman" w:hAnsi="Times New Roman" w:cs="Times New Roman"/>
          <w:color w:val="auto"/>
          <w:sz w:val="32"/>
          <w:szCs w:val="32"/>
          <w:highlight w:val="none"/>
          <w:lang w:val="en-US" w:eastAsia="zh-CN"/>
        </w:rPr>
      </w:pPr>
    </w:p>
    <w:p w14:paraId="5E798CA3">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p>
    <w:p w14:paraId="7113E261">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sectPr>
          <w:pgSz w:w="16838" w:h="11906" w:orient="landscape"/>
          <w:pgMar w:top="1531" w:right="1928" w:bottom="1531" w:left="1701" w:header="737" w:footer="851" w:gutter="0"/>
          <w:cols w:space="720" w:num="1"/>
          <w:docGrid w:type="lines" w:linePitch="408" w:charSpace="0"/>
        </w:sectPr>
      </w:pPr>
    </w:p>
    <w:p w14:paraId="055190A7">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2</w:t>
      </w:r>
    </w:p>
    <w:p w14:paraId="544B4727">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rPr>
      </w:pPr>
      <w:r>
        <w:rPr>
          <w:rFonts w:hint="eastAsia" w:ascii="仿宋_GB2312" w:hAnsi="仿宋_GB2312" w:eastAsia="仿宋_GB2312" w:cs="仿宋_GB2312"/>
          <w:b/>
          <w:bCs/>
          <w:i w:val="0"/>
          <w:iCs w:val="0"/>
          <w:color w:val="auto"/>
          <w:kern w:val="0"/>
          <w:sz w:val="28"/>
          <w:szCs w:val="28"/>
          <w:highlight w:val="none"/>
          <w:u w:val="none"/>
          <w:lang w:val="en-US" w:eastAsia="zh-CN"/>
        </w:rPr>
        <w:t>项目支出绩效自评表</w:t>
      </w:r>
    </w:p>
    <w:p w14:paraId="026D974A">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auto"/>
          <w:kern w:val="0"/>
          <w:sz w:val="22"/>
          <w:szCs w:val="22"/>
          <w:highlight w:val="none"/>
          <w:u w:val="none"/>
          <w:lang w:val="en-US" w:eastAsia="zh-CN"/>
        </w:rPr>
      </w:pPr>
      <w:r>
        <w:rPr>
          <w:rFonts w:hint="default" w:ascii="Times New Roman" w:hAnsi="Times New Roman" w:eastAsia="仿宋_GB2312" w:cs="Times New Roman"/>
          <w:b/>
          <w:bCs/>
          <w:i w:val="0"/>
          <w:iCs w:val="0"/>
          <w:color w:val="auto"/>
          <w:kern w:val="0"/>
          <w:sz w:val="22"/>
          <w:szCs w:val="22"/>
          <w:highlight w:val="none"/>
          <w:u w:val="none"/>
          <w:lang w:val="en-US" w:eastAsia="zh-CN"/>
        </w:rPr>
        <w:t>（ 2024年度）</w:t>
      </w:r>
    </w:p>
    <w:tbl>
      <w:tblPr>
        <w:tblStyle w:val="11"/>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78"/>
        <w:gridCol w:w="695"/>
        <w:gridCol w:w="743"/>
        <w:gridCol w:w="1421"/>
        <w:gridCol w:w="1281"/>
        <w:gridCol w:w="878"/>
        <w:gridCol w:w="737"/>
        <w:gridCol w:w="824"/>
        <w:gridCol w:w="791"/>
        <w:gridCol w:w="664"/>
        <w:gridCol w:w="999"/>
        <w:gridCol w:w="827"/>
        <w:gridCol w:w="1763"/>
        <w:gridCol w:w="1028"/>
      </w:tblGrid>
      <w:tr w14:paraId="16B85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0" w:type="auto"/>
            <w:gridSpan w:val="14"/>
            <w:tcBorders>
              <w:top w:val="nil"/>
              <w:left w:val="nil"/>
              <w:bottom w:val="nil"/>
              <w:right w:val="nil"/>
            </w:tcBorders>
            <w:shd w:val="clear" w:color="auto" w:fill="auto"/>
            <w:vAlign w:val="center"/>
          </w:tcPr>
          <w:p w14:paraId="40FEF711">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项目支出绩效自评表（参考模板）</w:t>
            </w:r>
          </w:p>
        </w:tc>
      </w:tr>
      <w:tr w14:paraId="6A33C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0" w:type="auto"/>
            <w:gridSpan w:val="14"/>
            <w:tcBorders>
              <w:top w:val="nil"/>
              <w:left w:val="nil"/>
              <w:bottom w:val="nil"/>
              <w:right w:val="nil"/>
            </w:tcBorders>
            <w:shd w:val="clear" w:color="auto" w:fill="auto"/>
            <w:vAlign w:val="center"/>
          </w:tcPr>
          <w:p w14:paraId="4339E4B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rPr>
              <w:t>（2024年度）</w:t>
            </w:r>
          </w:p>
        </w:tc>
      </w:tr>
      <w:tr w14:paraId="4A131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722CC5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项目名称</w:t>
            </w:r>
          </w:p>
        </w:tc>
        <w:tc>
          <w:tcPr>
            <w:tcW w:w="0" w:type="auto"/>
            <w:gridSpan w:val="12"/>
            <w:tcBorders>
              <w:top w:val="single" w:color="auto" w:sz="4" w:space="0"/>
              <w:left w:val="single" w:color="auto" w:sz="4" w:space="0"/>
              <w:bottom w:val="single" w:color="auto" w:sz="4" w:space="0"/>
              <w:right w:val="single" w:color="auto" w:sz="4" w:space="0"/>
            </w:tcBorders>
            <w:shd w:val="clear" w:color="auto" w:fill="auto"/>
            <w:vAlign w:val="center"/>
          </w:tcPr>
          <w:p w14:paraId="27B537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特定目标类项目-保基本民生项目-城乡居民基本医疗保险</w:t>
            </w:r>
          </w:p>
        </w:tc>
      </w:tr>
      <w:tr w14:paraId="430CC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73FEB1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主管部门</w:t>
            </w:r>
          </w:p>
        </w:tc>
        <w:tc>
          <w:tcPr>
            <w:tcW w:w="0" w:type="auto"/>
            <w:gridSpan w:val="5"/>
            <w:tcBorders>
              <w:top w:val="single" w:color="auto" w:sz="4" w:space="0"/>
              <w:left w:val="single" w:color="auto" w:sz="4" w:space="0"/>
              <w:bottom w:val="single" w:color="auto" w:sz="4" w:space="0"/>
              <w:right w:val="single" w:color="auto" w:sz="4" w:space="0"/>
            </w:tcBorders>
            <w:shd w:val="clear" w:color="auto" w:fill="auto"/>
            <w:vAlign w:val="center"/>
          </w:tcPr>
          <w:p w14:paraId="205D48D6">
            <w:pPr>
              <w:jc w:val="center"/>
              <w:rPr>
                <w:rFonts w:hint="eastAsia" w:ascii="宋体" w:hAnsi="宋体" w:eastAsia="宋体" w:cs="宋体"/>
                <w:i w:val="0"/>
                <w:iCs w:val="0"/>
                <w:color w:val="auto"/>
                <w:sz w:val="24"/>
                <w:szCs w:val="24"/>
                <w:u w:val="none"/>
              </w:rPr>
            </w:pP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37BCF3E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实施单位</w:t>
            </w:r>
          </w:p>
        </w:tc>
        <w:tc>
          <w:tcPr>
            <w:tcW w:w="0" w:type="auto"/>
            <w:gridSpan w:val="5"/>
            <w:tcBorders>
              <w:top w:val="single" w:color="auto" w:sz="4" w:space="0"/>
              <w:left w:val="single" w:color="auto" w:sz="4" w:space="0"/>
              <w:bottom w:val="single" w:color="auto" w:sz="4" w:space="0"/>
              <w:right w:val="single" w:color="auto" w:sz="4" w:space="0"/>
            </w:tcBorders>
            <w:shd w:val="clear" w:color="auto" w:fill="auto"/>
            <w:vAlign w:val="center"/>
          </w:tcPr>
          <w:p w14:paraId="02F44B7A">
            <w:pPr>
              <w:jc w:val="center"/>
              <w:rPr>
                <w:rFonts w:hint="eastAsia" w:ascii="宋体" w:hAnsi="宋体" w:eastAsia="宋体" w:cs="宋体"/>
                <w:i w:val="0"/>
                <w:iCs w:val="0"/>
                <w:color w:val="auto"/>
                <w:sz w:val="24"/>
                <w:szCs w:val="24"/>
                <w:u w:val="none"/>
              </w:rPr>
            </w:pPr>
          </w:p>
        </w:tc>
      </w:tr>
      <w:tr w14:paraId="028AE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D689D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项目资金</w:t>
            </w:r>
            <w:r>
              <w:rPr>
                <w:rFonts w:hint="eastAsia" w:ascii="宋体" w:hAnsi="宋体" w:eastAsia="宋体" w:cs="宋体"/>
                <w:i w:val="0"/>
                <w:iCs w:val="0"/>
                <w:color w:val="auto"/>
                <w:kern w:val="0"/>
                <w:sz w:val="24"/>
                <w:szCs w:val="24"/>
                <w:u w:val="none"/>
                <w:lang w:val="en-US" w:eastAsia="zh-CN"/>
              </w:rPr>
              <w:br w:type="textWrapping"/>
            </w:r>
            <w:r>
              <w:rPr>
                <w:rFonts w:hint="eastAsia" w:ascii="宋体" w:hAnsi="宋体" w:eastAsia="宋体" w:cs="宋体"/>
                <w:i w:val="0"/>
                <w:iCs w:val="0"/>
                <w:color w:val="auto"/>
                <w:kern w:val="0"/>
                <w:sz w:val="24"/>
                <w:szCs w:val="24"/>
                <w:u w:val="none"/>
                <w:lang w:val="en-US" w:eastAsia="zh-CN"/>
              </w:rPr>
              <w:t>（万元）</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663F1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资金来源</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203088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年初预算数</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5EC770B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全年预算数</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FEC2C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全年执行数</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60F1774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分值权重</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A28A9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执行率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5F71C6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得分</w:t>
            </w:r>
          </w:p>
        </w:tc>
      </w:tr>
      <w:tr w14:paraId="381354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AB4E6FE">
            <w:pPr>
              <w:jc w:val="center"/>
              <w:rPr>
                <w:rFonts w:hint="eastAsia" w:ascii="宋体" w:hAnsi="宋体" w:eastAsia="宋体" w:cs="宋体"/>
                <w:i w:val="0"/>
                <w:iCs w:val="0"/>
                <w:color w:val="auto"/>
                <w:sz w:val="24"/>
                <w:szCs w:val="24"/>
                <w:u w:val="none"/>
              </w:rPr>
            </w:pP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A040D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年度资金总额</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4797CE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1718.73</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D4024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1718.73</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8958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1718.73</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16A8BAB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5AC2CE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36369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w:t>
            </w:r>
          </w:p>
        </w:tc>
      </w:tr>
      <w:tr w14:paraId="07B82A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2FF1E5">
            <w:pPr>
              <w:jc w:val="center"/>
              <w:rPr>
                <w:rFonts w:hint="eastAsia" w:ascii="宋体" w:hAnsi="宋体" w:eastAsia="宋体" w:cs="宋体"/>
                <w:i w:val="0"/>
                <w:iCs w:val="0"/>
                <w:color w:val="auto"/>
                <w:sz w:val="24"/>
                <w:szCs w:val="24"/>
                <w:u w:val="none"/>
              </w:rPr>
            </w:pP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E5FB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其中：当年财政拨款</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395C6E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1718.73 </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8B1E0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1718.73 </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72B65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 xml:space="preserve">1718.73 </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58D102B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24D03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805CC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w:t>
            </w:r>
          </w:p>
        </w:tc>
      </w:tr>
      <w:tr w14:paraId="1CF5C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gridSpan w:val="2"/>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EF1FC24">
            <w:pPr>
              <w:jc w:val="center"/>
              <w:rPr>
                <w:rFonts w:hint="eastAsia" w:ascii="宋体" w:hAnsi="宋体" w:eastAsia="宋体" w:cs="宋体"/>
                <w:i w:val="0"/>
                <w:iCs w:val="0"/>
                <w:color w:val="auto"/>
                <w:sz w:val="24"/>
                <w:szCs w:val="24"/>
                <w:u w:val="none"/>
              </w:rPr>
            </w:pPr>
          </w:p>
        </w:tc>
        <w:tc>
          <w:tcPr>
            <w:tcW w:w="0" w:type="auto"/>
            <w:gridSpan w:val="2"/>
            <w:tcBorders>
              <w:top w:val="single" w:color="auto" w:sz="4" w:space="0"/>
              <w:left w:val="single" w:color="auto" w:sz="4" w:space="0"/>
              <w:bottom w:val="nil"/>
              <w:right w:val="single" w:color="auto" w:sz="4" w:space="0"/>
            </w:tcBorders>
            <w:shd w:val="clear" w:color="auto" w:fill="auto"/>
            <w:vAlign w:val="center"/>
          </w:tcPr>
          <w:p w14:paraId="32B69BD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其他资金</w:t>
            </w:r>
          </w:p>
        </w:tc>
        <w:tc>
          <w:tcPr>
            <w:tcW w:w="0" w:type="auto"/>
            <w:tcBorders>
              <w:top w:val="single" w:color="auto" w:sz="4" w:space="0"/>
              <w:left w:val="single" w:color="auto" w:sz="4" w:space="0"/>
              <w:bottom w:val="nil"/>
              <w:right w:val="single" w:color="auto" w:sz="4" w:space="0"/>
            </w:tcBorders>
            <w:shd w:val="clear" w:color="auto" w:fill="auto"/>
            <w:vAlign w:val="center"/>
          </w:tcPr>
          <w:p w14:paraId="01C4A65E">
            <w:pPr>
              <w:jc w:val="center"/>
              <w:rPr>
                <w:rFonts w:hint="eastAsia" w:ascii="宋体" w:hAnsi="宋体" w:eastAsia="宋体" w:cs="宋体"/>
                <w:i w:val="0"/>
                <w:iCs w:val="0"/>
                <w:color w:val="auto"/>
                <w:sz w:val="24"/>
                <w:szCs w:val="24"/>
                <w:u w:val="none"/>
              </w:rPr>
            </w:pPr>
          </w:p>
        </w:tc>
        <w:tc>
          <w:tcPr>
            <w:tcW w:w="0" w:type="auto"/>
            <w:gridSpan w:val="2"/>
            <w:tcBorders>
              <w:top w:val="single" w:color="auto" w:sz="4" w:space="0"/>
              <w:left w:val="single" w:color="auto" w:sz="4" w:space="0"/>
              <w:bottom w:val="nil"/>
              <w:right w:val="single" w:color="auto" w:sz="4" w:space="0"/>
            </w:tcBorders>
            <w:shd w:val="clear" w:color="auto" w:fill="auto"/>
            <w:vAlign w:val="center"/>
          </w:tcPr>
          <w:p w14:paraId="11F3405E">
            <w:pPr>
              <w:jc w:val="center"/>
              <w:rPr>
                <w:rFonts w:hint="eastAsia" w:ascii="宋体" w:hAnsi="宋体" w:eastAsia="宋体" w:cs="宋体"/>
                <w:i w:val="0"/>
                <w:iCs w:val="0"/>
                <w:color w:val="auto"/>
                <w:sz w:val="24"/>
                <w:szCs w:val="24"/>
                <w:u w:val="none"/>
              </w:rPr>
            </w:pPr>
          </w:p>
        </w:tc>
        <w:tc>
          <w:tcPr>
            <w:tcW w:w="0" w:type="auto"/>
            <w:gridSpan w:val="2"/>
            <w:tcBorders>
              <w:top w:val="single" w:color="auto" w:sz="4" w:space="0"/>
              <w:left w:val="single" w:color="auto" w:sz="4" w:space="0"/>
              <w:bottom w:val="nil"/>
              <w:right w:val="single" w:color="auto" w:sz="4" w:space="0"/>
            </w:tcBorders>
            <w:shd w:val="clear" w:color="auto" w:fill="auto"/>
            <w:vAlign w:val="center"/>
          </w:tcPr>
          <w:p w14:paraId="004B108F">
            <w:pPr>
              <w:jc w:val="center"/>
              <w:rPr>
                <w:rFonts w:hint="eastAsia" w:ascii="宋体" w:hAnsi="宋体" w:eastAsia="宋体" w:cs="宋体"/>
                <w:i w:val="0"/>
                <w:iCs w:val="0"/>
                <w:color w:val="auto"/>
                <w:sz w:val="24"/>
                <w:szCs w:val="24"/>
                <w:u w:val="none"/>
              </w:rPr>
            </w:pP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61764FB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14:paraId="3B7143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7503C6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w:t>
            </w:r>
          </w:p>
        </w:tc>
      </w:tr>
      <w:tr w14:paraId="1154F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960E9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年度总体目标</w:t>
            </w:r>
          </w:p>
        </w:tc>
        <w:tc>
          <w:tcPr>
            <w:tcW w:w="0" w:type="auto"/>
            <w:gridSpan w:val="8"/>
            <w:tcBorders>
              <w:top w:val="single" w:color="auto" w:sz="4" w:space="0"/>
              <w:left w:val="single" w:color="auto" w:sz="4" w:space="0"/>
              <w:bottom w:val="single" w:color="auto" w:sz="4" w:space="0"/>
              <w:right w:val="single" w:color="auto" w:sz="4" w:space="0"/>
            </w:tcBorders>
            <w:shd w:val="clear" w:color="auto" w:fill="auto"/>
            <w:vAlign w:val="center"/>
          </w:tcPr>
          <w:p w14:paraId="636F414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总体目标</w:t>
            </w:r>
          </w:p>
        </w:tc>
        <w:tc>
          <w:tcPr>
            <w:tcW w:w="0" w:type="auto"/>
            <w:gridSpan w:val="5"/>
            <w:tcBorders>
              <w:top w:val="single" w:color="auto" w:sz="4" w:space="0"/>
              <w:left w:val="single" w:color="auto" w:sz="4" w:space="0"/>
              <w:bottom w:val="single" w:color="auto" w:sz="4" w:space="0"/>
              <w:right w:val="single" w:color="auto" w:sz="4" w:space="0"/>
            </w:tcBorders>
            <w:shd w:val="clear" w:color="auto" w:fill="auto"/>
            <w:vAlign w:val="center"/>
          </w:tcPr>
          <w:p w14:paraId="3660B24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总体目标完成情况</w:t>
            </w:r>
          </w:p>
        </w:tc>
      </w:tr>
      <w:tr w14:paraId="3F321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2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43EAC6">
            <w:pPr>
              <w:jc w:val="center"/>
              <w:rPr>
                <w:rFonts w:hint="eastAsia" w:ascii="宋体" w:hAnsi="宋体" w:eastAsia="宋体" w:cs="宋体"/>
                <w:i w:val="0"/>
                <w:iCs w:val="0"/>
                <w:color w:val="auto"/>
                <w:sz w:val="24"/>
                <w:szCs w:val="24"/>
                <w:u w:val="none"/>
              </w:rPr>
            </w:pPr>
          </w:p>
        </w:tc>
        <w:tc>
          <w:tcPr>
            <w:tcW w:w="0" w:type="auto"/>
            <w:gridSpan w:val="8"/>
            <w:tcBorders>
              <w:top w:val="single" w:color="auto" w:sz="4" w:space="0"/>
              <w:left w:val="single" w:color="auto" w:sz="4" w:space="0"/>
              <w:bottom w:val="single" w:color="auto" w:sz="4" w:space="0"/>
              <w:right w:val="single" w:color="auto" w:sz="4" w:space="0"/>
            </w:tcBorders>
            <w:shd w:val="clear" w:color="auto" w:fill="auto"/>
            <w:vAlign w:val="top"/>
          </w:tcPr>
          <w:p w14:paraId="7BB24718">
            <w:pPr>
              <w:keepNext w:val="0"/>
              <w:keepLines w:val="0"/>
              <w:widowControl/>
              <w:suppressLineNumbers w:val="0"/>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为深入贯彻落实党的二十大精神和自治区、自治州党委、政府关于深化医疗保障制度改革有关决策部署，持续推进健全覆盖全民、统筹城乡、公平统一、安全规范、可持续的多层次医疗保障体系，不断增强基本医疗保障能力，努力解除人民群众看病就医后顾之忧。根据《关于做好2023年我区城乡居民基本医疗保障工作的通知》（新医保发〔2023〕48号）文件精神，结合本单位医疗保障方面管理职能，按照年度工作计划，开展城乡居民基本医疗保险项目。</w:t>
            </w:r>
            <w:r>
              <w:rPr>
                <w:rFonts w:hint="eastAsia" w:ascii="宋体" w:hAnsi="宋体" w:eastAsia="宋体" w:cs="宋体"/>
                <w:i w:val="0"/>
                <w:iCs w:val="0"/>
                <w:color w:val="auto"/>
                <w:kern w:val="0"/>
                <w:sz w:val="24"/>
                <w:szCs w:val="24"/>
                <w:u w:val="none"/>
                <w:lang w:val="en-US" w:eastAsia="zh-CN"/>
              </w:rPr>
              <w:br w:type="textWrapping"/>
            </w:r>
            <w:r>
              <w:rPr>
                <w:rFonts w:hint="eastAsia" w:ascii="宋体" w:hAnsi="宋体" w:eastAsia="宋体" w:cs="宋体"/>
                <w:i w:val="0"/>
                <w:iCs w:val="0"/>
                <w:color w:val="auto"/>
                <w:kern w:val="0"/>
                <w:sz w:val="24"/>
                <w:szCs w:val="24"/>
                <w:u w:val="none"/>
                <w:lang w:val="en-US" w:eastAsia="zh-CN"/>
              </w:rPr>
              <w:t xml:space="preserve">  目标1：预计完成城乡居民基本医疗保险参保人数9.54万人，提高群众看病就医结算方便程度，减轻参保群众医疗经济负担。</w:t>
            </w:r>
          </w:p>
        </w:tc>
        <w:tc>
          <w:tcPr>
            <w:tcW w:w="0" w:type="auto"/>
            <w:gridSpan w:val="5"/>
            <w:tcBorders>
              <w:top w:val="single" w:color="auto" w:sz="4" w:space="0"/>
              <w:left w:val="single" w:color="auto" w:sz="4" w:space="0"/>
              <w:bottom w:val="single" w:color="auto" w:sz="4" w:space="0"/>
              <w:right w:val="single" w:color="auto" w:sz="4" w:space="0"/>
            </w:tcBorders>
            <w:shd w:val="clear" w:color="auto" w:fill="auto"/>
            <w:vAlign w:val="top"/>
          </w:tcPr>
          <w:p w14:paraId="18FBB0DF">
            <w:pPr>
              <w:keepNext w:val="0"/>
              <w:keepLines w:val="0"/>
              <w:widowControl/>
              <w:suppressLineNumbers w:val="0"/>
              <w:jc w:val="left"/>
              <w:textAlignment w:val="top"/>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我单位本年度严格执行《关于做好2023年我区城乡居民基本医疗保障工作的通知》（新医保发〔2023〕48号）政策文件，城乡居民基本医疗保险参保人数达到9.54万人，提高了群众看病就医结算方便程度，减轻了参保群众医疗经济负担。</w:t>
            </w:r>
          </w:p>
        </w:tc>
      </w:tr>
      <w:tr w14:paraId="79348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E768A5E">
            <w:pPr>
              <w:jc w:val="center"/>
              <w:rPr>
                <w:rFonts w:hint="eastAsia" w:ascii="宋体" w:hAnsi="宋体" w:eastAsia="宋体" w:cs="宋体"/>
                <w:i w:val="0"/>
                <w:iCs w:val="0"/>
                <w:color w:val="auto"/>
                <w:sz w:val="24"/>
                <w:szCs w:val="24"/>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FFD27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一级指标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6B2C1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二级指标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A381B0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三级指标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84A35A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指标值</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CB4CF1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指标值设置依据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01363B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上年完成值</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8B2212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指标分值权重</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7B07A3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指标赋分规则</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015BC5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佐证资料</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7E0C11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指标实际完成值</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719C4E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完成率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4C8A83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Style w:val="24"/>
                <w:color w:val="auto"/>
                <w:lang w:val="en-US" w:eastAsia="zh-CN"/>
              </w:rPr>
              <w:t>指标得分</w:t>
            </w:r>
            <w:r>
              <w:rPr>
                <w:rStyle w:val="25"/>
                <w:color w:val="auto"/>
                <w:lang w:val="en-US" w:eastAsia="zh-CN"/>
              </w:rPr>
              <w:t>（计算方法：完成率×指标分值权重）</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12741F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偏差原因分析及改进措施</w:t>
            </w:r>
          </w:p>
        </w:tc>
      </w:tr>
      <w:tr w14:paraId="371C0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E7C67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年度绩效指标完成情况</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2AEE79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产出指标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671334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数量指标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61F90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城乡居民基本医疗保险参保人数</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CADB9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≥9.54万人</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05B8CA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39706F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605F7D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13</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7EA559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77AB64F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EE51DE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9.54</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7CE1DD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100%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402F62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13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E6B6B79">
            <w:pPr>
              <w:jc w:val="center"/>
              <w:rPr>
                <w:rFonts w:hint="eastAsia" w:ascii="宋体" w:hAnsi="宋体" w:eastAsia="宋体" w:cs="宋体"/>
                <w:i w:val="0"/>
                <w:iCs w:val="0"/>
                <w:color w:val="auto"/>
                <w:sz w:val="24"/>
                <w:szCs w:val="24"/>
                <w:u w:val="none"/>
              </w:rPr>
            </w:pPr>
          </w:p>
        </w:tc>
      </w:tr>
      <w:tr w14:paraId="732F9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D68D12F">
            <w:pPr>
              <w:jc w:val="center"/>
              <w:rPr>
                <w:rFonts w:hint="eastAsia" w:ascii="宋体" w:hAnsi="宋体" w:eastAsia="宋体" w:cs="宋体"/>
                <w:i w:val="0"/>
                <w:iCs w:val="0"/>
                <w:color w:val="auto"/>
                <w:sz w:val="24"/>
                <w:szCs w:val="24"/>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FFF7160">
            <w:pPr>
              <w:jc w:val="center"/>
              <w:rPr>
                <w:rFonts w:hint="eastAsia" w:ascii="宋体" w:hAnsi="宋体" w:eastAsia="宋体" w:cs="宋体"/>
                <w:i w:val="0"/>
                <w:iCs w:val="0"/>
                <w:color w:val="auto"/>
                <w:sz w:val="24"/>
                <w:szCs w:val="24"/>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5D3A86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质量指标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5CB8D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城乡居民基本医疗保险参保率</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4AB8406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≥95%</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3E6C9D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644D1DD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1E689FC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13</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97B670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6F9354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377096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95%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B9E6B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057462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bookmarkStart w:id="31" w:name="_GoBack"/>
            <w:bookmarkEnd w:id="31"/>
            <w:r>
              <w:rPr>
                <w:rFonts w:hint="eastAsia" w:ascii="宋体" w:hAnsi="宋体" w:eastAsia="宋体" w:cs="宋体"/>
                <w:i w:val="0"/>
                <w:iCs w:val="0"/>
                <w:color w:val="auto"/>
                <w:kern w:val="0"/>
                <w:sz w:val="22"/>
                <w:szCs w:val="22"/>
                <w:u w:val="none"/>
                <w:lang w:val="en-US" w:eastAsia="zh-CN"/>
              </w:rPr>
              <w:t>13</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FAE8064">
            <w:pPr>
              <w:jc w:val="center"/>
              <w:rPr>
                <w:rFonts w:hint="eastAsia" w:ascii="宋体" w:hAnsi="宋体" w:eastAsia="宋体" w:cs="宋体"/>
                <w:i w:val="0"/>
                <w:iCs w:val="0"/>
                <w:color w:val="auto"/>
                <w:sz w:val="24"/>
                <w:szCs w:val="24"/>
                <w:u w:val="none"/>
              </w:rPr>
            </w:pPr>
          </w:p>
        </w:tc>
      </w:tr>
      <w:tr w14:paraId="2659D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5CF2ED0">
            <w:pPr>
              <w:jc w:val="center"/>
              <w:rPr>
                <w:rFonts w:hint="eastAsia" w:ascii="宋体" w:hAnsi="宋体" w:eastAsia="宋体" w:cs="宋体"/>
                <w:i w:val="0"/>
                <w:iCs w:val="0"/>
                <w:color w:val="auto"/>
                <w:sz w:val="24"/>
                <w:szCs w:val="24"/>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436F0FD">
            <w:pPr>
              <w:jc w:val="center"/>
              <w:rPr>
                <w:rFonts w:hint="eastAsia" w:ascii="宋体" w:hAnsi="宋体" w:eastAsia="宋体" w:cs="宋体"/>
                <w:i w:val="0"/>
                <w:iCs w:val="0"/>
                <w:color w:val="auto"/>
                <w:sz w:val="24"/>
                <w:szCs w:val="24"/>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744420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时效指标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24A066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城乡居民基本医疗保险参保及时率</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7CDBE4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≥98%</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D7F7D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776AD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492061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14</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00C032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655AEA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75FAAB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98%</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8B1F8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0E8756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14</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EA91459">
            <w:pPr>
              <w:jc w:val="center"/>
              <w:rPr>
                <w:rFonts w:hint="eastAsia" w:ascii="宋体" w:hAnsi="宋体" w:eastAsia="宋体" w:cs="宋体"/>
                <w:b/>
                <w:bCs/>
                <w:i w:val="0"/>
                <w:iCs w:val="0"/>
                <w:color w:val="auto"/>
                <w:sz w:val="24"/>
                <w:szCs w:val="24"/>
                <w:u w:val="none"/>
              </w:rPr>
            </w:pPr>
          </w:p>
        </w:tc>
      </w:tr>
      <w:tr w14:paraId="15B63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789D5FD">
            <w:pPr>
              <w:jc w:val="center"/>
              <w:rPr>
                <w:rFonts w:hint="eastAsia" w:ascii="宋体" w:hAnsi="宋体" w:eastAsia="宋体" w:cs="宋体"/>
                <w:i w:val="0"/>
                <w:iCs w:val="0"/>
                <w:color w:val="auto"/>
                <w:sz w:val="24"/>
                <w:szCs w:val="24"/>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5FB333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成本指标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D0F0DB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经济成本指标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ABB13C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城乡居民基本医疗保险县级财政补助资金总额</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A5C1F4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≤180元/人</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8EBC3F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4E564B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635BB0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20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D056A6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09FF63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3C8897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180元/人</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BCB78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43026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20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28454A4">
            <w:pPr>
              <w:jc w:val="center"/>
              <w:rPr>
                <w:rFonts w:hint="eastAsia" w:ascii="宋体" w:hAnsi="宋体" w:eastAsia="宋体" w:cs="宋体"/>
                <w:i w:val="0"/>
                <w:iCs w:val="0"/>
                <w:color w:val="auto"/>
                <w:sz w:val="24"/>
                <w:szCs w:val="24"/>
                <w:u w:val="none"/>
              </w:rPr>
            </w:pPr>
          </w:p>
        </w:tc>
      </w:tr>
      <w:tr w14:paraId="3BD8B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005AF8C">
            <w:pPr>
              <w:jc w:val="center"/>
              <w:rPr>
                <w:rFonts w:hint="eastAsia" w:ascii="宋体" w:hAnsi="宋体" w:eastAsia="宋体" w:cs="宋体"/>
                <w:i w:val="0"/>
                <w:iCs w:val="0"/>
                <w:color w:val="auto"/>
                <w:sz w:val="24"/>
                <w:szCs w:val="24"/>
                <w:u w:val="none"/>
              </w:rPr>
            </w:pP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B5D73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效益指标</w:t>
            </w:r>
          </w:p>
        </w:tc>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1BB4F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社会效益指标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82FCF4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参保群众看病就医结算方便程度</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05010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显著提高</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FB82FB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A3E472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4A9BE0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3AF59B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9F0683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9CFFE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达成目标</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298D06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100%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80FEA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7D1703B">
            <w:pPr>
              <w:jc w:val="center"/>
              <w:rPr>
                <w:rFonts w:hint="eastAsia" w:ascii="宋体" w:hAnsi="宋体" w:eastAsia="宋体" w:cs="宋体"/>
                <w:i w:val="0"/>
                <w:iCs w:val="0"/>
                <w:color w:val="auto"/>
                <w:sz w:val="24"/>
                <w:szCs w:val="24"/>
                <w:u w:val="none"/>
              </w:rPr>
            </w:pPr>
          </w:p>
        </w:tc>
      </w:tr>
      <w:tr w14:paraId="64AA5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4E3892">
            <w:pPr>
              <w:jc w:val="center"/>
              <w:rPr>
                <w:rFonts w:hint="eastAsia" w:ascii="宋体" w:hAnsi="宋体" w:eastAsia="宋体" w:cs="宋体"/>
                <w:i w:val="0"/>
                <w:iCs w:val="0"/>
                <w:color w:val="auto"/>
                <w:sz w:val="24"/>
                <w:szCs w:val="24"/>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81EF26A">
            <w:pPr>
              <w:jc w:val="center"/>
              <w:rPr>
                <w:rFonts w:hint="eastAsia" w:ascii="宋体" w:hAnsi="宋体" w:eastAsia="宋体" w:cs="宋体"/>
                <w:i w:val="0"/>
                <w:iCs w:val="0"/>
                <w:color w:val="auto"/>
                <w:sz w:val="24"/>
                <w:szCs w:val="24"/>
                <w:u w:val="none"/>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EC090A7">
            <w:pPr>
              <w:jc w:val="center"/>
              <w:rPr>
                <w:rFonts w:hint="eastAsia" w:ascii="宋体" w:hAnsi="宋体" w:eastAsia="宋体" w:cs="宋体"/>
                <w:i w:val="0"/>
                <w:iCs w:val="0"/>
                <w:color w:val="auto"/>
                <w:sz w:val="24"/>
                <w:szCs w:val="24"/>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F91408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参保群众医疗经济负担</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60ACA6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有效减轻</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FF61A7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25B7E43">
            <w:pPr>
              <w:jc w:val="center"/>
              <w:rPr>
                <w:rFonts w:hint="eastAsia" w:ascii="宋体" w:hAnsi="宋体" w:eastAsia="宋体" w:cs="宋体"/>
                <w:i w:val="0"/>
                <w:iCs w:val="0"/>
                <w:color w:val="auto"/>
                <w:sz w:val="24"/>
                <w:szCs w:val="24"/>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C59B11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13F81BE">
            <w:pPr>
              <w:jc w:val="center"/>
              <w:rPr>
                <w:rFonts w:hint="eastAsia" w:ascii="宋体" w:hAnsi="宋体" w:eastAsia="宋体" w:cs="宋体"/>
                <w:i w:val="0"/>
                <w:iCs w:val="0"/>
                <w:color w:val="auto"/>
                <w:sz w:val="24"/>
                <w:szCs w:val="24"/>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B73B255">
            <w:pPr>
              <w:jc w:val="center"/>
              <w:rPr>
                <w:rFonts w:hint="eastAsia" w:ascii="宋体" w:hAnsi="宋体" w:eastAsia="宋体" w:cs="宋体"/>
                <w:i w:val="0"/>
                <w:iCs w:val="0"/>
                <w:color w:val="auto"/>
                <w:sz w:val="24"/>
                <w:szCs w:val="24"/>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71D8F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达成目标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6295C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09F794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13B14F1D">
            <w:pPr>
              <w:jc w:val="center"/>
              <w:rPr>
                <w:rFonts w:hint="eastAsia" w:ascii="宋体" w:hAnsi="宋体" w:eastAsia="宋体" w:cs="宋体"/>
                <w:i w:val="0"/>
                <w:iCs w:val="0"/>
                <w:color w:val="auto"/>
                <w:sz w:val="24"/>
                <w:szCs w:val="24"/>
                <w:u w:val="none"/>
              </w:rPr>
            </w:pPr>
          </w:p>
        </w:tc>
      </w:tr>
      <w:tr w14:paraId="3F5900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D16067C">
            <w:pPr>
              <w:jc w:val="center"/>
              <w:rPr>
                <w:rFonts w:hint="eastAsia" w:ascii="宋体" w:hAnsi="宋体" w:eastAsia="宋体" w:cs="宋体"/>
                <w:i w:val="0"/>
                <w:iCs w:val="0"/>
                <w:color w:val="auto"/>
                <w:sz w:val="24"/>
                <w:szCs w:val="24"/>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40E02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满意度指标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0C2901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满意度指标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440652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参保群众满意度</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EB2294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≥95%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FDE042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A0BED2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224317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2CFAD47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9B3DA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2225B6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95%</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7E6C28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100%</w:t>
            </w:r>
          </w:p>
        </w:tc>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14:paraId="504EB10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rPr>
              <w:t>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71967A9C">
            <w:pPr>
              <w:jc w:val="center"/>
              <w:rPr>
                <w:rFonts w:hint="eastAsia" w:ascii="宋体" w:hAnsi="宋体" w:eastAsia="宋体" w:cs="宋体"/>
                <w:i w:val="0"/>
                <w:iCs w:val="0"/>
                <w:color w:val="auto"/>
                <w:sz w:val="24"/>
                <w:szCs w:val="24"/>
                <w:u w:val="none"/>
              </w:rPr>
            </w:pPr>
          </w:p>
        </w:tc>
      </w:tr>
      <w:tr w14:paraId="03B5B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atLeast"/>
        </w:trPr>
        <w:tc>
          <w:tcPr>
            <w:tcW w:w="0" w:type="auto"/>
            <w:gridSpan w:val="4"/>
            <w:tcBorders>
              <w:top w:val="single" w:color="auto" w:sz="4" w:space="0"/>
              <w:left w:val="single" w:color="auto" w:sz="4" w:space="0"/>
              <w:bottom w:val="single" w:color="auto" w:sz="4" w:space="0"/>
              <w:right w:val="nil"/>
            </w:tcBorders>
            <w:shd w:val="clear" w:color="auto" w:fill="auto"/>
            <w:vAlign w:val="center"/>
          </w:tcPr>
          <w:p w14:paraId="5789FA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总分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5F2D8CA">
            <w:pPr>
              <w:jc w:val="center"/>
              <w:rPr>
                <w:rFonts w:hint="eastAsia" w:ascii="宋体" w:hAnsi="宋体" w:eastAsia="宋体" w:cs="宋体"/>
                <w:i w:val="0"/>
                <w:iCs w:val="0"/>
                <w:color w:val="auto"/>
                <w:sz w:val="24"/>
                <w:szCs w:val="24"/>
                <w:u w:val="none"/>
              </w:rPr>
            </w:pPr>
          </w:p>
        </w:tc>
        <w:tc>
          <w:tcPr>
            <w:tcW w:w="0" w:type="auto"/>
            <w:tcBorders>
              <w:top w:val="single" w:color="auto" w:sz="4" w:space="0"/>
              <w:left w:val="nil"/>
              <w:bottom w:val="single" w:color="auto" w:sz="4" w:space="0"/>
              <w:right w:val="single" w:color="auto" w:sz="4" w:space="0"/>
            </w:tcBorders>
            <w:shd w:val="clear" w:color="auto" w:fill="auto"/>
            <w:vAlign w:val="center"/>
          </w:tcPr>
          <w:p w14:paraId="118C02F4">
            <w:pPr>
              <w:rPr>
                <w:rFonts w:hint="eastAsia" w:ascii="宋体" w:hAnsi="宋体" w:eastAsia="宋体" w:cs="宋体"/>
                <w:b/>
                <w:bCs/>
                <w:i w:val="0"/>
                <w:iCs w:val="0"/>
                <w:color w:val="auto"/>
                <w:sz w:val="24"/>
                <w:szCs w:val="24"/>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D054037">
            <w:pPr>
              <w:jc w:val="center"/>
              <w:rPr>
                <w:rFonts w:hint="eastAsia" w:ascii="宋体" w:hAnsi="宋体" w:eastAsia="宋体" w:cs="宋体"/>
                <w:i w:val="0"/>
                <w:iCs w:val="0"/>
                <w:color w:val="auto"/>
                <w:sz w:val="24"/>
                <w:szCs w:val="24"/>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4181715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90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5DE6CB4">
            <w:pPr>
              <w:jc w:val="center"/>
              <w:rPr>
                <w:rFonts w:hint="eastAsia" w:ascii="宋体" w:hAnsi="宋体" w:eastAsia="宋体" w:cs="宋体"/>
                <w:i w:val="0"/>
                <w:iCs w:val="0"/>
                <w:color w:val="auto"/>
                <w:sz w:val="24"/>
                <w:szCs w:val="24"/>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3A6391E6">
            <w:pPr>
              <w:rPr>
                <w:rFonts w:hint="eastAsia" w:ascii="宋体" w:hAnsi="宋体" w:eastAsia="宋体" w:cs="宋体"/>
                <w:i w:val="0"/>
                <w:iCs w:val="0"/>
                <w:color w:val="auto"/>
                <w:sz w:val="24"/>
                <w:szCs w:val="24"/>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E6FC67A">
            <w:pPr>
              <w:rPr>
                <w:rFonts w:hint="eastAsia" w:ascii="宋体" w:hAnsi="宋体" w:eastAsia="宋体" w:cs="宋体"/>
                <w:i w:val="0"/>
                <w:iCs w:val="0"/>
                <w:color w:val="auto"/>
                <w:sz w:val="24"/>
                <w:szCs w:val="24"/>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02AD34BD">
            <w:pPr>
              <w:rPr>
                <w:rFonts w:hint="eastAsia" w:ascii="宋体" w:hAnsi="宋体" w:eastAsia="宋体" w:cs="宋体"/>
                <w:i w:val="0"/>
                <w:iCs w:val="0"/>
                <w:color w:val="auto"/>
                <w:sz w:val="24"/>
                <w:szCs w:val="24"/>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51FC990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rPr>
              <w:t>90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14:paraId="6B37ECDE">
            <w:pPr>
              <w:rPr>
                <w:rFonts w:hint="eastAsia" w:ascii="宋体" w:hAnsi="宋体" w:eastAsia="宋体" w:cs="宋体"/>
                <w:i w:val="0"/>
                <w:iCs w:val="0"/>
                <w:color w:val="auto"/>
                <w:sz w:val="24"/>
                <w:szCs w:val="24"/>
                <w:u w:val="none"/>
              </w:rPr>
            </w:pPr>
          </w:p>
        </w:tc>
      </w:tr>
    </w:tbl>
    <w:p w14:paraId="45132E2E">
      <w:pPr>
        <w:pageBreakBefore w:val="0"/>
        <w:kinsoku/>
        <w:wordWrap/>
        <w:overflowPunct/>
        <w:topLinePunct w:val="0"/>
        <w:autoSpaceDE/>
        <w:autoSpaceDN/>
        <w:bidi w:val="0"/>
        <w:adjustRightInd/>
        <w:snapToGrid/>
        <w:spacing w:line="560" w:lineRule="exact"/>
        <w:textAlignment w:val="auto"/>
        <w:rPr>
          <w:color w:val="auto"/>
          <w:sz w:val="32"/>
          <w:szCs w:val="32"/>
          <w:highlight w:val="none"/>
        </w:rPr>
      </w:pPr>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1"/>
      <w:numFmt w:val="decimal"/>
      <w:suff w:val="nothing"/>
      <w:lvlText w:val="（%1）"/>
      <w:lvlJc w:val="left"/>
    </w:lvl>
  </w:abstractNum>
  <w:abstractNum w:abstractNumId="1">
    <w:nsid w:val="0053208E"/>
    <w:multiLevelType w:val="singleLevel"/>
    <w:tmpl w:val="0053208E"/>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mEzNmE1ZDI4ZjVjMmIxYzgzODY0OTBmY2RjYmQ0N2UifQ=="/>
    <w:docVar w:name="KSO_WPS_MARK_KEY" w:val="b3fc2acd-51a9-45ce-8d80-18e6d2738da8"/>
  </w:docVars>
  <w:rsids>
    <w:rsidRoot w:val="00000000"/>
    <w:rsid w:val="28580902"/>
    <w:rsid w:val="434F7767"/>
  </w:rsids>
  <m:mathPr>
    <m:mathFont m:val="Cambria Math"/>
    <m:brkBin m:val="before"/>
    <m:brkBinSub m:val="--"/>
    <m:smallFrac m:val="1"/>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autoRedefine/>
    <w:semiHidden/>
    <w:unhideWhenUsed/>
    <w:qFormat/>
    <w:uiPriority w:val="0"/>
    <w:pPr>
      <w:keepNext/>
      <w:keepLines/>
      <w:spacing w:beforeLines="0" w:beforeAutospacing="0" w:afterLines="0" w:afterAutospacing="0" w:line="500" w:lineRule="exact"/>
      <w:outlineLvl w:val="2"/>
    </w:pPr>
    <w:rPr>
      <w:b/>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21"/>
    <w:semiHidden/>
    <w:unhideWhenUsed/>
    <w:qFormat/>
    <w:uiPriority w:val="99"/>
    <w:pPr>
      <w:tabs>
        <w:tab w:val="center" w:pos="4153"/>
        <w:tab w:val="right" w:pos="8306"/>
      </w:tabs>
      <w:snapToGrid w:val="0"/>
      <w:jc w:val="left"/>
    </w:pPr>
    <w:rPr>
      <w:sz w:val="18"/>
      <w:szCs w:val="18"/>
    </w:rPr>
  </w:style>
  <w:style w:type="paragraph" w:styleId="6">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8">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9">
    <w:name w:val="Normal (Web)"/>
    <w:basedOn w:val="1"/>
    <w:qFormat/>
    <w:uiPriority w:val="0"/>
    <w:pPr>
      <w:spacing w:before="0" w:beforeAutospacing="1" w:after="0" w:afterAutospacing="1"/>
      <w:ind w:left="0" w:right="0"/>
      <w:jc w:val="left"/>
    </w:pPr>
    <w:rPr>
      <w:kern w:val="0"/>
      <w:sz w:val="24"/>
      <w:lang w:val="en-US" w:eastAsia="zh-CN"/>
    </w:rPr>
  </w:style>
  <w:style w:type="paragraph" w:styleId="10">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2">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4">
    <w:name w:val="Strong"/>
    <w:basedOn w:val="13"/>
    <w:qFormat/>
    <w:uiPriority w:val="0"/>
    <w:rPr>
      <w:b/>
      <w:bCs/>
    </w:rPr>
  </w:style>
  <w:style w:type="character" w:styleId="15">
    <w:name w:val="Hyperlink"/>
    <w:basedOn w:val="13"/>
    <w:unhideWhenUsed/>
    <w:qFormat/>
    <w:uiPriority w:val="99"/>
    <w:rPr>
      <w:color w:val="0563C1" w:themeColor="hyperlink"/>
      <w:u w:val="single"/>
    </w:rPr>
  </w:style>
  <w:style w:type="paragraph" w:customStyle="1" w:styleId="16">
    <w:name w:val="Comment Text"/>
    <w:basedOn w:val="1"/>
    <w:qFormat/>
    <w:uiPriority w:val="0"/>
    <w:pPr>
      <w:jc w:val="left"/>
    </w:pPr>
  </w:style>
  <w:style w:type="character" w:customStyle="1" w:styleId="17">
    <w:name w:val="标题 1 Char"/>
    <w:basedOn w:val="13"/>
    <w:link w:val="2"/>
    <w:qFormat/>
    <w:uiPriority w:val="9"/>
    <w:rPr>
      <w:rFonts w:ascii="Times New Roman" w:hAnsi="Times New Roman" w:eastAsia="仿宋_GB2312" w:cs="Times New Roman"/>
      <w:b/>
      <w:bCs/>
      <w:kern w:val="44"/>
      <w:sz w:val="44"/>
      <w:szCs w:val="44"/>
    </w:rPr>
  </w:style>
  <w:style w:type="character" w:customStyle="1" w:styleId="18">
    <w:name w:val="标题 2 Char"/>
    <w:basedOn w:val="13"/>
    <w:link w:val="3"/>
    <w:autoRedefine/>
    <w:qFormat/>
    <w:uiPriority w:val="9"/>
    <w:rPr>
      <w:rFonts w:asciiTheme="majorHAnsi" w:hAnsiTheme="majorHAnsi" w:eastAsiaTheme="majorEastAsia" w:cstheme="majorBidi"/>
      <w:b/>
      <w:bCs/>
      <w:sz w:val="32"/>
      <w:szCs w:val="32"/>
    </w:rPr>
  </w:style>
  <w:style w:type="paragraph" w:customStyle="1" w:styleId="19">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496" w:themeColor="accent1" w:themeShade="BF"/>
      <w:kern w:val="0"/>
      <w:sz w:val="32"/>
      <w:szCs w:val="32"/>
    </w:rPr>
  </w:style>
  <w:style w:type="character" w:customStyle="1" w:styleId="20">
    <w:name w:val="页眉 Char"/>
    <w:basedOn w:val="13"/>
    <w:link w:val="6"/>
    <w:semiHidden/>
    <w:qFormat/>
    <w:uiPriority w:val="99"/>
    <w:rPr>
      <w:rFonts w:ascii="Times New Roman" w:hAnsi="Times New Roman" w:eastAsia="仿宋_GB2312" w:cs="Times New Roman"/>
      <w:sz w:val="18"/>
      <w:szCs w:val="18"/>
    </w:rPr>
  </w:style>
  <w:style w:type="character" w:customStyle="1" w:styleId="21">
    <w:name w:val="页脚 Char"/>
    <w:basedOn w:val="13"/>
    <w:link w:val="5"/>
    <w:semiHidden/>
    <w:qFormat/>
    <w:uiPriority w:val="99"/>
    <w:rPr>
      <w:rFonts w:ascii="Times New Roman" w:hAnsi="Times New Roman" w:eastAsia="仿宋_GB2312" w:cs="Times New Roman"/>
      <w:sz w:val="18"/>
      <w:szCs w:val="18"/>
    </w:rPr>
  </w:style>
  <w:style w:type="paragraph" w:customStyle="1" w:styleId="22">
    <w:name w:val="闻政-正文段落文字"/>
    <w:basedOn w:val="1"/>
    <w:qFormat/>
    <w:uiPriority w:val="3"/>
    <w:pPr>
      <w:spacing w:line="500" w:lineRule="exact"/>
      <w:ind w:firstLine="200"/>
    </w:pPr>
    <w:rPr>
      <w:kern w:val="0"/>
      <w:szCs w:val="28"/>
    </w:rPr>
  </w:style>
  <w:style w:type="paragraph" w:customStyle="1" w:styleId="23">
    <w:name w:val="云拓正文2"/>
    <w:basedOn w:val="1"/>
    <w:qFormat/>
    <w:uiPriority w:val="0"/>
    <w:pPr>
      <w:spacing w:line="500" w:lineRule="exact"/>
      <w:ind w:firstLine="560" w:firstLineChars="200"/>
    </w:pPr>
    <w:rPr>
      <w:rFonts w:ascii="Times New Roman" w:hAnsi="Times New Roman" w:eastAsia="仿宋_GB2312" w:cs="Calibri"/>
      <w:kern w:val="0"/>
      <w:sz w:val="28"/>
      <w:szCs w:val="28"/>
    </w:rPr>
  </w:style>
  <w:style w:type="character" w:customStyle="1" w:styleId="24">
    <w:name w:val="font11"/>
    <w:basedOn w:val="13"/>
    <w:qFormat/>
    <w:uiPriority w:val="0"/>
    <w:rPr>
      <w:rFonts w:hint="eastAsia" w:ascii="宋体" w:hAnsi="宋体" w:eastAsia="宋体" w:cs="宋体"/>
      <w:color w:val="000000"/>
      <w:sz w:val="24"/>
      <w:szCs w:val="24"/>
      <w:u w:val="none"/>
    </w:rPr>
  </w:style>
  <w:style w:type="character" w:customStyle="1" w:styleId="25">
    <w:name w:val="font81"/>
    <w:basedOn w:val="13"/>
    <w:qFormat/>
    <w:uiPriority w:val="0"/>
    <w:rPr>
      <w:rFonts w:hint="eastAsia" w:ascii="宋体" w:hAnsi="宋体" w:eastAsia="宋体" w:cs="宋体"/>
      <w:color w:val="FF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DFF0787588C34603A74FA104BC3FC087</vt:lpwstr>
  </property>
</Properties>
</file>

<file path=customXml/itemProps1.xml><?xml version="1.0" encoding="utf-8"?>
<ds:datastoreItem xmlns:ds="http://schemas.openxmlformats.org/officeDocument/2006/customXml" ds:itemID="{bea05eff-217c-4673-b8d4-49d00f81a821}">
  <ds:schemaRefs/>
</ds:datastoreItem>
</file>

<file path=docProps/app.xml><?xml version="1.0" encoding="utf-8"?>
<Properties xmlns="http://schemas.openxmlformats.org/officeDocument/2006/extended-properties" xmlns:vt="http://schemas.openxmlformats.org/officeDocument/2006/docPropsVTypes">
  <Template>Normal</Template>
  <Pages>31</Pages>
  <Words>11083</Words>
  <Characters>11407</Characters>
  <Lines>37</Lines>
  <Paragraphs>10</Paragraphs>
  <TotalTime>0</TotalTime>
  <ScaleCrop>false</ScaleCrop>
  <LinksUpToDate>false</LinksUpToDate>
  <CharactersWithSpaces>11412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来财&amp;十个晴天</cp:lastModifiedBy>
  <dcterms:modified xsi:type="dcterms:W3CDTF">2025-09-16T05:29:42Z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DFF0787588C34603A74FA104BC3FC087</vt:lpwstr>
  </property>
  <property fmtid="{D5CDD505-2E9C-101B-9397-08002B2CF9AE}" pid="4" name="KSOTemplateDocerSaveRecord">
    <vt:lpwstr>eyJoZGlkIjoiZjZjY2YzNDY3YWM4YThjNjdkZTk2MDAwYjE2OGQzNDQiLCJ1c2VySWQiOiIzNzI2MDMzNTYifQ==</vt:lpwstr>
  </property>
</Properties>
</file>