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color w:val="auto"/>
          <w:sz w:val="48"/>
          <w:szCs w:val="48"/>
          <w:highlight w:val="none"/>
        </w:rPr>
      </w:pPr>
      <w:r>
        <w:rPr>
          <w:rFonts w:ascii="宋体" w:eastAsia="宋体" w:hAnsi="宋体" w:cs="Arial" w:hint="eastAsia"/>
          <w:b/>
          <w:bCs/>
          <w:color w:val="auto"/>
          <w:sz w:val="48"/>
          <w:szCs w:val="48"/>
          <w:highlight w:val="none"/>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ascii="红豆小标宋简体" w:eastAsia="红豆小标宋简体" w:hAnsi="红豆小标宋简体" w:cs="红豆小标宋简体" w:hint="eastAsia"/>
          <w:color w:val="auto"/>
          <w:kern w:val="0"/>
          <w:sz w:val="32"/>
          <w:szCs w:val="32"/>
          <w:highlight w:val="none"/>
        </w:rPr>
        <w:t xml:space="preserve">（2</w:t>
      </w:r>
      <w:r>
        <w:rPr>
          <w:rFonts w:ascii="红豆小标宋简体" w:eastAsia="红豆小标宋简体" w:hAnsi="红豆小标宋简体" w:cs="红豆小标宋简体"/>
          <w:color w:val="auto"/>
          <w:kern w:val="0"/>
          <w:sz w:val="32"/>
          <w:szCs w:val="32"/>
          <w:highlight w:val="none"/>
        </w:rPr>
        <w:t xml:space="preserve">02</w:t>
      </w:r>
      <w:r>
        <w:rPr>
          <w:rFonts w:ascii="红豆小标宋简体" w:eastAsia="红豆小标宋简体" w:hAnsi="红豆小标宋简体" w:cs="红豆小标宋简体" w:hint="eastAsia"/>
          <w:color w:val="auto"/>
          <w:kern w:val="0"/>
          <w:sz w:val="32"/>
          <w:szCs w:val="32"/>
          <w:highlight w:val="none"/>
          <w:lang w:val="en-US" w:eastAsia="zh-CN"/>
        </w:rPr>
        <w:t xml:space="preserve">4</w:t>
      </w:r>
      <w:r>
        <w:rPr>
          <w:rFonts w:ascii="红豆小标宋简体" w:eastAsia="红豆小标宋简体" w:hAnsi="红豆小标宋简体" w:cs="红豆小标宋简体" w:hint="eastAsia"/>
          <w:color w:val="auto"/>
          <w:kern w:val="0"/>
          <w:sz w:val="32"/>
          <w:szCs w:val="32"/>
          <w:highlight w:val="none"/>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color w:val="auto"/>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项目名称：</w:t>
      </w:r>
      <w:r>
        <w:rPr>
          <w:rFonts w:ascii="仿宋" w:eastAsia="仿宋" w:hAnsi="仿宋" w:cs="仿宋"/>
          <w:b/>
          <w:bCs/>
          <w:color w:val="auto"/>
          <w:spacing w:val="3"/>
          <w:sz w:val="31"/>
          <w:szCs w:val="31"/>
          <w:highlight w:val="none"/>
        </w:rPr>
        <w:t xml:space="preserve">卫健委：</w:t>
      </w:r>
      <w:r>
        <w:rPr>
          <w:rFonts w:ascii="仿宋" w:eastAsia="仿宋" w:hAnsi="仿宋" w:cs="仿宋"/>
          <w:color w:val="auto"/>
          <w:spacing w:val="-74"/>
          <w:sz w:val="31"/>
          <w:szCs w:val="31"/>
          <w:highlight w:val="none"/>
        </w:rPr>
        <w:t xml:space="preserve"> </w:t>
      </w:r>
      <w:r>
        <w:rPr>
          <w:rFonts w:ascii="仿宋" w:eastAsia="仿宋" w:hAnsi="仿宋" w:cs="仿宋"/>
          <w:b/>
          <w:bCs/>
          <w:color w:val="auto"/>
          <w:spacing w:val="3"/>
          <w:sz w:val="31"/>
          <w:szCs w:val="31"/>
          <w:highlight w:val="none"/>
        </w:rPr>
        <w:t xml:space="preserve">国家卫生县城复审经费汇总</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实施单位（公章）：</w:t>
      </w:r>
      <w:r>
        <w:rPr>
          <w:rFonts w:ascii="仿宋" w:eastAsia="仿宋" w:hAnsi="仿宋" w:cs="仿宋"/>
          <w:b/>
          <w:bCs/>
          <w:color w:val="auto"/>
          <w:spacing w:val="6"/>
          <w:sz w:val="31"/>
          <w:szCs w:val="31"/>
          <w:highlight w:val="none"/>
        </w:rPr>
        <w:t xml:space="preserve">轮台县卫生健康委员会</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主管部门（公章）：</w:t>
      </w:r>
      <w:r>
        <w:rPr>
          <w:rFonts w:ascii="仿宋" w:eastAsia="仿宋" w:hAnsi="仿宋" w:cs="仿宋"/>
          <w:b/>
          <w:bCs/>
          <w:color w:val="auto"/>
          <w:spacing w:val="6"/>
          <w:sz w:val="31"/>
          <w:szCs w:val="31"/>
          <w:highlight w:val="none"/>
        </w:rPr>
        <w:t xml:space="preserve">轮台县卫生健康委员会</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eastAsia"/>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rPr>
        <w:t xml:space="preserve">项目负责人（签章）：</w:t>
      </w:r>
      <w:r>
        <w:rPr>
          <w:rFonts w:ascii="宋体" w:eastAsia="宋体" w:hAnsi="宋体" w:cs="仿宋_GB2312" w:hint="eastAsia"/>
          <w:b/>
          <w:bCs/>
          <w:color w:val="auto"/>
          <w:kern w:val="0"/>
          <w:sz w:val="32"/>
          <w:szCs w:val="32"/>
          <w:highlight w:val="none"/>
          <w:lang w:eastAsia="zh-CN"/>
        </w:rPr>
        <w:t xml:space="preserve">马越</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color w:val="auto"/>
          <w:kern w:val="0"/>
          <w:sz w:val="32"/>
          <w:szCs w:val="32"/>
          <w:highlight w:val="none"/>
        </w:rPr>
      </w:pPr>
      <w:r>
        <w:rPr>
          <w:rFonts w:ascii="宋体" w:eastAsia="宋体" w:hAnsi="宋体" w:cs="仿宋_GB2312" w:hint="eastAsia"/>
          <w:b/>
          <w:bCs/>
          <w:color w:val="auto"/>
          <w:kern w:val="0"/>
          <w:sz w:val="32"/>
          <w:szCs w:val="32"/>
          <w:highlight w:val="none"/>
        </w:rPr>
        <w:t xml:space="preserve">填报时间：202</w:t>
      </w:r>
      <w:r>
        <w:rPr>
          <w:rFonts w:ascii="宋体" w:eastAsia="宋体" w:hAnsi="宋体" w:cs="仿宋_GB2312" w:hint="eastAsia"/>
          <w:b/>
          <w:bCs/>
          <w:color w:val="auto"/>
          <w:kern w:val="0"/>
          <w:sz w:val="32"/>
          <w:szCs w:val="32"/>
          <w:highlight w:val="none"/>
          <w:lang w:val="en-US" w:eastAsia="zh-CN"/>
        </w:rPr>
        <w:t xml:space="preserve">5</w:t>
      </w:r>
      <w:r>
        <w:rPr>
          <w:rFonts w:ascii="宋体" w:eastAsia="宋体" w:hAnsi="宋体" w:cs="仿宋_GB2312" w:hint="eastAsia"/>
          <w:b/>
          <w:bCs/>
          <w:color w:val="auto"/>
          <w:kern w:val="0"/>
          <w:sz w:val="32"/>
          <w:szCs w:val="32"/>
          <w:highlight w:val="none"/>
        </w:rPr>
        <w:t xml:space="preserve">年</w:t>
      </w:r>
      <w:r>
        <w:rPr>
          <w:rFonts w:ascii="宋体" w:eastAsia="宋体" w:hAnsi="宋体" w:cs="仿宋_GB2312" w:hint="eastAsia"/>
          <w:b/>
          <w:bCs/>
          <w:color w:val="auto"/>
          <w:kern w:val="0"/>
          <w:sz w:val="32"/>
          <w:szCs w:val="32"/>
          <w:highlight w:val="none"/>
          <w:lang w:val="en-US" w:eastAsia="zh-CN"/>
        </w:rPr>
        <w:t xml:space="preserve">03</w:t>
      </w:r>
      <w:r>
        <w:rPr>
          <w:rFonts w:ascii="宋体" w:eastAsia="宋体" w:hAnsi="宋体" w:cs="仿宋_GB2312" w:hint="eastAsia"/>
          <w:b/>
          <w:bCs/>
          <w:color w:val="auto"/>
          <w:kern w:val="0"/>
          <w:sz w:val="32"/>
          <w:szCs w:val="32"/>
          <w:highlight w:val="none"/>
        </w:rPr>
        <w:t xml:space="preserve">月</w:t>
      </w:r>
      <w:r>
        <w:rPr>
          <w:rFonts w:ascii="宋体" w:eastAsia="宋体" w:hAnsi="宋体" w:cs="仿宋_GB2312" w:hint="eastAsia"/>
          <w:b/>
          <w:bCs/>
          <w:color w:val="auto"/>
          <w:kern w:val="0"/>
          <w:sz w:val="32"/>
          <w:szCs w:val="32"/>
          <w:highlight w:val="none"/>
          <w:lang w:val="en-US" w:eastAsia="zh-CN"/>
        </w:rPr>
        <w:t xml:space="preserve">25</w:t>
      </w:r>
      <w:r>
        <w:rPr>
          <w:rFonts w:ascii="宋体" w:eastAsia="宋体" w:hAnsi="宋体" w:cs="仿宋_GB2312" w:hint="eastAsia"/>
          <w:b/>
          <w:bCs/>
          <w:color w:val="auto"/>
          <w:kern w:val="0"/>
          <w:sz w:val="32"/>
          <w:szCs w:val="32"/>
          <w:highlight w:val="none"/>
        </w:rPr>
        <w:t xml:space="preserve">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color w:val="auto"/>
          <w:sz w:val="32"/>
          <w:szCs w:val="32"/>
          <w:highlight w:val="none"/>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color w:val="auto"/>
          <w:sz w:val="44"/>
          <w:szCs w:val="44"/>
          <w:highlight w:val="none"/>
        </w:rPr>
      </w:pPr>
      <w:r>
        <w:rPr>
          <w:rFonts w:ascii="宋体" w:eastAsia="宋体" w:hAnsi="宋体" w:cs="Arial" w:hint="eastAsia"/>
          <w:b/>
          <w:bCs/>
          <w:color w:val="auto"/>
          <w:sz w:val="44"/>
          <w:szCs w:val="44"/>
          <w:highlight w:val="none"/>
        </w:rPr>
        <w:t xml:space="preserve">项目支出</w:t>
      </w:r>
      <w:r>
        <w:rPr>
          <w:rFonts w:ascii="宋体" w:eastAsia="宋体" w:hAnsi="宋体" w:cs="Arial"/>
          <w:b/>
          <w:bCs/>
          <w:color w:val="auto"/>
          <w:sz w:val="44"/>
          <w:szCs w:val="44"/>
          <w:highlight w:val="none"/>
        </w:rPr>
        <w:t xml:space="preserve">绩效</w:t>
      </w:r>
      <w:r>
        <w:rPr>
          <w:rFonts w:ascii="宋体" w:eastAsia="宋体" w:hAnsi="宋体" w:cs="Arial" w:hint="eastAsia"/>
          <w:b/>
          <w:bCs/>
          <w:color w:val="auto"/>
          <w:sz w:val="44"/>
          <w:szCs w:val="44"/>
          <w:highlight w:val="none"/>
        </w:rPr>
        <w:t xml:space="preserve">评价报告</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0" w:name="_Toc68703827"/>
      <w:r>
        <w:rPr>
          <w:rFonts w:ascii="宋体" w:eastAsia="宋体" w:hAnsi="宋体" w:hint="eastAsia"/>
          <w:color w:val="auto"/>
          <w:sz w:val="32"/>
          <w:szCs w:val="32"/>
          <w:highlight w:val="none"/>
        </w:rPr>
        <w:t xml:space="preserve">一、基本情况</w:t>
      </w:r>
      <w:bookmarkEnd w:id="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rPr>
      </w:pPr>
      <w:bookmarkStart w:id="1" w:name="_Toc68703828"/>
      <w:r>
        <w:rPr>
          <w:rFonts w:ascii="仿宋_GB2312" w:eastAsia="仿宋_GB2312" w:hint="eastAsia"/>
          <w:b/>
          <w:bCs/>
          <w:color w:val="auto"/>
          <w:sz w:val="32"/>
          <w:szCs w:val="32"/>
          <w:highlight w:val="none"/>
        </w:rPr>
        <w:t xml:space="preserve">（一）项目概况</w:t>
      </w:r>
      <w:r>
        <w:rPr>
          <w:rFonts w:ascii="仿宋_GB2312" w:eastAsia="仿宋_GB2312" w:hint="eastAsia"/>
          <w:b w:val="0"/>
          <w:bCs w:val="0"/>
          <w:color w:val="auto"/>
          <w:sz w:val="32"/>
          <w:szCs w:val="32"/>
          <w:highlight w:val="none"/>
        </w:rPr>
        <w:t xml:space="preserve">。</w:t>
      </w:r>
      <w:bookmarkEnd w:id="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color w:val="auto"/>
          <w:sz w:val="32"/>
          <w:szCs w:val="32"/>
          <w:highlight w:val="none"/>
        </w:rPr>
      </w:pPr>
      <w:r>
        <w:rPr>
          <w:rFonts w:ascii="仿宋_GB2312" w:hint="eastAsia"/>
          <w:b/>
          <w:bCs/>
          <w:color w:val="auto"/>
          <w:sz w:val="32"/>
          <w:szCs w:val="32"/>
          <w:highlight w:val="none"/>
          <w:lang w:val="en-US" w:eastAsia="zh-CN"/>
        </w:rPr>
        <w:t xml:space="preserve">1.</w:t>
      </w:r>
      <w:r>
        <w:rPr>
          <w:rFonts w:ascii="仿宋_GB2312" w:hint="eastAsia"/>
          <w:b/>
          <w:bCs/>
          <w:color w:val="auto"/>
          <w:sz w:val="32"/>
          <w:szCs w:val="32"/>
          <w:highlight w:val="none"/>
        </w:rPr>
        <w:t xml:space="preserve">项目背景，主要内容及实施情况</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lang w:eastAsia="zh-CN"/>
        </w:rPr>
      </w:pPr>
      <w:r>
        <w:rPr>
          <w:rFonts w:ascii="仿宋_GB2312" w:hint="eastAsia"/>
          <w:color w:val="auto"/>
          <w:sz w:val="32"/>
          <w:szCs w:val="32"/>
          <w:highlight w:val="none"/>
        </w:rPr>
        <w:t xml:space="preserve">（1）项目背景</w:t>
      </w:r>
      <w:r>
        <w:rPr>
          <w:rFonts w:ascii="仿宋_GB2312" w:hint="eastAsia"/>
          <w:color w:val="auto"/>
          <w:sz w:val="32"/>
          <w:szCs w:val="32"/>
          <w:highlight w:val="none"/>
          <w:lang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lang w:val="en-US" w:eastAsia="zh-CN"/>
        </w:rPr>
      </w:pPr>
      <w:r>
        <w:rPr>
          <w:rFonts w:ascii="仿宋_GB2312" w:hint="eastAsia"/>
          <w:color w:val="auto"/>
          <w:sz w:val="32"/>
          <w:szCs w:val="32"/>
          <w:highlight w:val="none"/>
          <w:lang w:val="en-US" w:eastAsia="zh-CN"/>
        </w:rPr>
        <w:t xml:space="preserve">为认真贯彻落实中共中央办公厅，国务院办公厅印发的《农村人居环境整治提升五年行动方案（2021-2025年）》（厅字[2021]44号），切实抓好“十四五”时期我区农村人环境整治提升行动，结合实际制定本方案。为进一步完善国家卫生城镇创建标准，简化优化评审程序，提高创建管理精细化，规范化，科学化水平。全国爱卫会在原国家卫生城镇评审管理办法和相关标准的基础上，研究</w:t>
      </w:r>
      <w:r>
        <w:rPr>
          <w:rFonts w:ascii="仿宋_GB2312" w:hint="eastAsia"/>
          <w:color w:val="auto"/>
          <w:sz w:val="32"/>
          <w:szCs w:val="32"/>
          <w:highlight w:val="none"/>
          <w:lang w:val="en-US" w:eastAsia="zh-CN"/>
        </w:rPr>
        <w:t xml:space="preserve">制定</w:t>
      </w:r>
      <w:r>
        <w:rPr>
          <w:rFonts w:ascii="仿宋_GB2312" w:hint="eastAsia"/>
          <w:color w:val="auto"/>
          <w:sz w:val="32"/>
          <w:szCs w:val="32"/>
          <w:highlight w:val="none"/>
          <w:lang w:val="en-US" w:eastAsia="zh-CN"/>
        </w:rPr>
        <w:t xml:space="preserve">了《国家卫生城镇评审管理办法》《国家卫生城市和国家卫生县标准》《国家卫生乡镇标准》。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default"/>
          <w:color w:val="auto"/>
          <w:sz w:val="32"/>
          <w:szCs w:val="32"/>
          <w:highlight w:val="none"/>
          <w:lang w:val="en-US" w:eastAsia="zh-CN"/>
        </w:rPr>
      </w:pPr>
      <w:r>
        <w:rPr>
          <w:rFonts w:ascii="仿宋_GB2312" w:hint="eastAsia"/>
          <w:color w:val="auto"/>
          <w:sz w:val="32"/>
          <w:szCs w:val="32"/>
          <w:highlight w:val="none"/>
          <w:lang w:val="en-US" w:eastAsia="zh-CN"/>
        </w:rPr>
        <w:t xml:space="preserve">根据2024年4月30日轮台县第十三届党委第15次财经委员会会议精神，按照《国家卫生城市和国家县标准》要求，为进一步完善我县国家卫生县城复审工作经费使用，为科学开 展病媒生物防治工作相关数据达到国家规定标准。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2</w:t>
      </w:r>
      <w:r>
        <w:rPr>
          <w:rFonts w:ascii="仿宋_GB2312" w:hint="eastAsia"/>
          <w:color w:val="auto"/>
          <w:sz w:val="32"/>
          <w:szCs w:val="32"/>
          <w:highlight w:val="none"/>
        </w:rPr>
        <w:t xml:space="preserve">）主要内容</w:t>
      </w:r>
      <w:r>
        <w:rPr>
          <w:rFonts w:hint="eastAsia"/>
          <w:color w:val="auto"/>
          <w:sz w:val="32"/>
          <w:szCs w:val="32"/>
          <w:highlight w:val="none"/>
        </w:rPr>
        <w:t xml:space="preserve">及</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主要内容：</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lang w:val="en-US" w:eastAsia="zh-CN"/>
        </w:rPr>
      </w:pPr>
      <w:r>
        <w:rPr>
          <w:rFonts w:ascii="仿宋_GB2312" w:hint="eastAsia"/>
          <w:color w:val="auto"/>
          <w:sz w:val="32"/>
          <w:szCs w:val="32"/>
          <w:highlight w:val="none"/>
          <w:lang w:val="en-US" w:eastAsia="zh-CN"/>
        </w:rPr>
        <w:t xml:space="preserve">为做好全县爱国卫生复审工作的顺利完成，落实指标的正确使用，计划完成病媒生物防治监测消杀服务次数4次，制作卫生县城复审宣传品4种，</w:t>
      </w:r>
      <w:r>
        <w:rPr>
          <w:rFonts w:ascii="仿宋_GB2312" w:hint="eastAsia"/>
          <w:color w:val="auto"/>
          <w:sz w:val="32"/>
          <w:szCs w:val="32"/>
          <w:highlight w:val="none"/>
          <w:lang w:val="en-US" w:eastAsia="zh-CN"/>
        </w:rPr>
        <w:t xml:space="preserve">提高居民病媒生物防治意识，社会凝聚力和公众的责任感，</w:t>
      </w:r>
      <w:r>
        <w:rPr>
          <w:rFonts w:hint="eastAsia"/>
          <w:color w:val="auto"/>
          <w:sz w:val="32"/>
          <w:szCs w:val="32"/>
          <w:highlight w:val="none"/>
          <w:lang w:eastAsia="zh-CN"/>
        </w:rPr>
        <w:t xml:space="preserve">有效控制病媒生物的繁殖和传播</w:t>
      </w:r>
      <w:r>
        <w:rPr>
          <w:rFonts w:ascii="仿宋_GB2312" w:hint="eastAsia"/>
          <w:color w:val="auto"/>
          <w:sz w:val="32"/>
          <w:szCs w:val="32"/>
          <w:highlight w:val="none"/>
          <w:lang w:val="en-US" w:eastAsia="zh-CN"/>
        </w:rPr>
        <w:t xml:space="preserve">的扩散风险，</w:t>
      </w:r>
      <w:r>
        <w:rPr>
          <w:rFonts w:hint="eastAsia"/>
          <w:color w:val="auto"/>
          <w:sz w:val="32"/>
          <w:szCs w:val="32"/>
          <w:highlight w:val="none"/>
          <w:lang w:eastAsia="zh-CN"/>
        </w:rPr>
        <w:t xml:space="preserve">避免大规模疫情的发生，</w:t>
      </w:r>
      <w:r>
        <w:rPr>
          <w:rFonts w:ascii="仿宋_GB2312" w:hint="eastAsia"/>
          <w:color w:val="auto"/>
          <w:sz w:val="32"/>
          <w:szCs w:val="32"/>
          <w:highlight w:val="none"/>
          <w:lang w:val="en-US" w:eastAsia="zh-CN"/>
        </w:rPr>
        <w:t xml:space="preserve">提升县城的整体形象和美誉感，</w:t>
      </w:r>
      <w:r>
        <w:rPr>
          <w:rFonts w:hint="eastAsia"/>
          <w:color w:val="auto"/>
          <w:sz w:val="32"/>
          <w:szCs w:val="32"/>
          <w:highlight w:val="none"/>
          <w:lang w:eastAsia="zh-CN"/>
        </w:rPr>
        <w:t xml:space="preserve">公众健康意识，促进社区参与合作，</w:t>
      </w:r>
      <w:r>
        <w:rPr>
          <w:rFonts w:ascii="仿宋_GB2312" w:hint="eastAsia"/>
          <w:color w:val="auto"/>
          <w:sz w:val="32"/>
          <w:szCs w:val="32"/>
          <w:highlight w:val="none"/>
          <w:lang w:val="en-US" w:eastAsia="zh-CN"/>
        </w:rPr>
        <w:t xml:space="preserve">巩固国家卫生县城，共建和谐美好家园，增强县城的竞争力和吸引力</w:t>
      </w:r>
      <w:r>
        <w:rPr>
          <w:rFonts w:ascii="仿宋_GB2312" w:hint="eastAsia"/>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已完成病媒生物防治监测消杀服务4次，卫生县城复审宣传制作种类已完成4种，病媒生物防治监测消杀合格率 100%，卫生县城复审宣传覆盖率已完成100%，卫生县城复审宣传品质量合格率为100%，病媒生物防治成本共计支出13.4万元，卫生县城复审宣传品制作共计支出10.65万元，提高了居民病媒生物防治意识，有效防范病媒生物的扩散风险，巩固国家卫生县城，共建和谐美好家园达到。</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color w:val="auto"/>
          <w:sz w:val="32"/>
          <w:szCs w:val="32"/>
          <w:highlight w:val="none"/>
        </w:rPr>
      </w:pPr>
      <w:r>
        <w:rPr>
          <w:rFonts w:ascii="仿宋_GB2312" w:hint="eastAsia"/>
          <w:b/>
          <w:bCs/>
          <w:color w:val="auto"/>
          <w:sz w:val="32"/>
          <w:szCs w:val="32"/>
          <w:highlight w:val="none"/>
          <w:lang w:val="en-US" w:eastAsia="zh-CN"/>
        </w:rPr>
        <w:t xml:space="preserve">2.</w:t>
      </w:r>
      <w:r>
        <w:rPr>
          <w:rFonts w:ascii="仿宋_GB2312" w:hint="eastAsia"/>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24.05</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24.05</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cs="Times New Roman" w:hint="eastAsia"/>
          <w:color w:val="auto"/>
          <w:sz w:val="32"/>
          <w:szCs w:val="32"/>
          <w:highlight w:val="none"/>
          <w:lang w:val="en-US" w:eastAsia="zh-CN"/>
        </w:rPr>
        <w:t xml:space="preserve">县财政拨款</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24.05</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24.05</w:t>
      </w:r>
      <w:r>
        <w:rPr>
          <w:rFonts w:ascii="Times New Roman" w:eastAsia="仿宋_GB2312" w:hAnsi="Times New Roman" w:cs="Times New Roman" w:hint="default"/>
          <w:color w:val="auto"/>
          <w:sz w:val="32"/>
          <w:szCs w:val="32"/>
          <w:highlight w:val="none"/>
          <w:lang w:val="en-US" w:eastAsia="zh-CN"/>
        </w:rPr>
        <w:t xml:space="preserve">万元</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全年执行数</w:t>
      </w:r>
      <w:r>
        <w:rPr>
          <w:rFonts w:cs="Times New Roman" w:hint="eastAsia"/>
          <w:color w:val="auto"/>
          <w:sz w:val="32"/>
          <w:szCs w:val="32"/>
          <w:highlight w:val="none"/>
          <w:lang w:val="en-US" w:eastAsia="zh-CN"/>
        </w:rPr>
        <w:t xml:space="preserve">24.05</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%，主要用于：</w:t>
      </w:r>
      <w:r>
        <w:rPr>
          <w:rFonts w:hint="eastAsia"/>
          <w:color w:val="auto"/>
          <w:sz w:val="32"/>
          <w:szCs w:val="32"/>
          <w:highlight w:val="none"/>
          <w:lang w:val="en-US" w:eastAsia="zh-CN"/>
        </w:rPr>
        <w:t xml:space="preserve">开展</w:t>
      </w:r>
      <w:r>
        <w:rPr>
          <w:rFonts w:ascii="仿宋_GB2312" w:hint="eastAsia"/>
          <w:color w:val="auto"/>
          <w:sz w:val="32"/>
          <w:szCs w:val="32"/>
          <w:highlight w:val="none"/>
          <w:lang w:val="en-US" w:eastAsia="zh-CN"/>
        </w:rPr>
        <w:t xml:space="preserve">病媒生物防治</w:t>
      </w:r>
      <w:r>
        <w:rPr>
          <w:rFonts w:hint="eastAsia"/>
          <w:color w:val="auto"/>
          <w:sz w:val="32"/>
          <w:szCs w:val="32"/>
          <w:highlight w:val="none"/>
          <w:lang w:val="en-US" w:eastAsia="zh-CN"/>
        </w:rPr>
        <w:t xml:space="preserve">工作</w:t>
      </w:r>
      <w:r>
        <w:rPr>
          <w:rFonts w:hint="eastAsia"/>
          <w:color w:val="auto"/>
          <w:sz w:val="32"/>
          <w:szCs w:val="32"/>
          <w:highlight w:val="none"/>
          <w:lang w:val="en-US" w:eastAsia="zh-CN"/>
        </w:rPr>
        <w:t xml:space="preserve">13.4</w:t>
      </w:r>
      <w:r>
        <w:rPr>
          <w:rFonts w:hint="eastAsia"/>
          <w:color w:val="auto"/>
          <w:sz w:val="32"/>
          <w:szCs w:val="32"/>
          <w:highlight w:val="none"/>
          <w:lang w:val="en-US" w:eastAsia="zh-CN"/>
        </w:rPr>
        <w:t xml:space="preserve">万元</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开展</w:t>
      </w:r>
      <w:r>
        <w:rPr>
          <w:rFonts w:ascii="仿宋_GB2312" w:hint="eastAsia"/>
          <w:color w:val="auto"/>
          <w:sz w:val="32"/>
          <w:szCs w:val="32"/>
          <w:highlight w:val="none"/>
          <w:lang w:val="en-US" w:eastAsia="zh-CN"/>
        </w:rPr>
        <w:t xml:space="preserve">卫生县城复审宣传品制作</w:t>
      </w:r>
      <w:r>
        <w:rPr>
          <w:rFonts w:hint="eastAsia"/>
          <w:color w:val="auto"/>
          <w:sz w:val="32"/>
          <w:szCs w:val="32"/>
          <w:highlight w:val="none"/>
          <w:lang w:val="en-US" w:eastAsia="zh-CN"/>
        </w:rPr>
        <w:t xml:space="preserve">工作</w:t>
      </w:r>
      <w:r>
        <w:rPr>
          <w:rFonts w:hint="eastAsia"/>
          <w:color w:val="auto"/>
          <w:sz w:val="32"/>
          <w:szCs w:val="32"/>
          <w:highlight w:val="none"/>
          <w:lang w:val="en-US" w:eastAsia="zh-CN"/>
        </w:rPr>
        <w:t xml:space="preserve">10.65</w:t>
      </w:r>
      <w:r>
        <w:rPr>
          <w:rFonts w:hint="eastAsia"/>
          <w:color w:val="auto"/>
          <w:sz w:val="32"/>
          <w:szCs w:val="32"/>
          <w:highlight w:val="none"/>
          <w:lang w:val="en-US" w:eastAsia="zh-CN"/>
        </w:rPr>
        <w:t xml:space="preserve">万元</w:t>
      </w:r>
      <w:r>
        <w:rPr>
          <w:rFonts w:hint="eastAsia"/>
          <w:color w:val="auto"/>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color w:val="auto"/>
          <w:sz w:val="32"/>
          <w:szCs w:val="32"/>
          <w:highlight w:val="none"/>
          <w:lang w:val="en-US" w:eastAsia="zh-CN"/>
        </w:rPr>
      </w:pPr>
      <w:bookmarkStart w:id="2" w:name="_Toc68703829"/>
      <w:r>
        <w:rPr>
          <w:rFonts w:ascii="仿宋_GB2312" w:eastAsia="仿宋_GB2312" w:hint="eastAsia"/>
          <w:b/>
          <w:bCs/>
          <w:color w:val="auto"/>
          <w:sz w:val="32"/>
          <w:szCs w:val="32"/>
          <w:highlight w:val="none"/>
        </w:rPr>
        <w:t xml:space="preserve">（二）项目绩效目标</w:t>
      </w:r>
      <w:bookmarkEnd w:id="2"/>
      <w:r>
        <w:rPr>
          <w:rFonts w:ascii="仿宋_GB2312" w:eastAsia="仿宋_GB2312" w:hint="eastAsia"/>
          <w:b/>
          <w:bCs/>
          <w:color w:val="auto"/>
          <w:sz w:val="32"/>
          <w:szCs w:val="32"/>
          <w:highlight w:val="none"/>
          <w:lang w:eastAsia="zh-CN"/>
        </w:rPr>
        <w:t xml:space="preserve">，</w:t>
      </w:r>
      <w:r>
        <w:rPr>
          <w:rFonts w:hint="eastAsia"/>
          <w:b/>
          <w:bCs/>
          <w:color w:val="auto"/>
          <w:sz w:val="32"/>
          <w:szCs w:val="32"/>
          <w:highlight w:val="none"/>
        </w:rPr>
        <w:t xml:space="preserve">包括总体目标和阶段性目标。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总体目标：</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 xml:space="preserve">根据 2024 年 4 月 30 日轮台县第十三届党委第 15 次财经 委员会会议精神，按照《国家卫生城市和国家县标准》要求， 为进一步完善我县国家卫生县城复审工作经费使用，为科学开展病媒生物防治工作相关数据达到国家规定标准。已完成病媒生物防治监测消杀服务4次，提高居民病媒生物防治意识</w:t>
      </w:r>
      <w:r>
        <w:rPr>
          <w:rFonts w:hint="eastAsia"/>
          <w:color w:val="auto"/>
          <w:sz w:val="32"/>
          <w:szCs w:val="32"/>
          <w:highlight w:val="none"/>
          <w:lang w:eastAsia="zh-CN"/>
        </w:rPr>
        <w:t xml:space="preserve">、有效控制病媒生物的繁殖和传播，降低传染的爆发风险，有助于维护公共卫生安全，避免大规模疫情的发生，保障社会持续稳定。</w:t>
      </w:r>
      <w:r>
        <w:rPr>
          <w:rFonts w:hint="eastAsia"/>
          <w:color w:val="auto"/>
          <w:sz w:val="32"/>
          <w:szCs w:val="32"/>
          <w:highlight w:val="none"/>
        </w:rPr>
        <w:t xml:space="preserve">已完成病媒生物防治宣传4种，</w:t>
      </w:r>
      <w:r>
        <w:rPr>
          <w:rFonts w:hint="eastAsia"/>
          <w:color w:val="auto"/>
          <w:sz w:val="32"/>
          <w:szCs w:val="32"/>
          <w:highlight w:val="none"/>
          <w:lang w:eastAsia="zh-CN"/>
        </w:rPr>
        <w:t xml:space="preserve">提升公众健康意识，促进社区参与合作，</w:t>
      </w:r>
      <w:r>
        <w:rPr>
          <w:rFonts w:hint="eastAsia"/>
          <w:color w:val="auto"/>
          <w:sz w:val="32"/>
          <w:szCs w:val="32"/>
          <w:highlight w:val="none"/>
        </w:rPr>
        <w:t xml:space="preserve">巩固国家卫生县城，共建和谐美好家园。</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阶段性目标：</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微软雅黑" w:cs="仿宋_GB2312" w:hint="eastAsia"/>
          <w:b w:val="0"/>
          <w:bCs w:val="0"/>
          <w:i w:val="0"/>
          <w:iCs w:val="0"/>
          <w:caps w:val="0"/>
          <w:color w:val="auto"/>
          <w:spacing w:val="0"/>
          <w:sz w:val="32"/>
          <w:szCs w:val="32"/>
          <w:highlight w:val="none"/>
          <w:shd w:val="clear" w:color="auto" w:fill="FFFFFF"/>
          <w:lang w:val="en-US" w:eastAsia="zh-CN"/>
        </w:rPr>
      </w:pPr>
      <w:bookmarkStart w:id="3" w:name="_Toc68703830"/>
      <w:r>
        <w:rPr>
          <w:rFonts w:ascii="仿宋_GB2312" w:eastAsia="仿宋_GB2312" w:hAnsi="微软雅黑" w:cs="仿宋_GB2312" w:hint="eastAsia"/>
          <w:b w:val="0"/>
          <w:bCs w:val="0"/>
          <w:i w:val="0"/>
          <w:iCs w:val="0"/>
          <w:caps w:val="0"/>
          <w:color w:val="auto"/>
          <w:spacing w:val="0"/>
          <w:sz w:val="32"/>
          <w:szCs w:val="32"/>
          <w:highlight w:val="none"/>
          <w:shd w:val="clear" w:color="auto" w:fill="FFFFFF"/>
          <w:lang w:val="en-US" w:eastAsia="zh-CN"/>
        </w:rPr>
        <w:t xml:space="preserve">根据《国家卫生城镇评审管理办法》《国家卫生城市和国家卫生县标准》《国家卫生乡镇标准》要求，为进一步完善我县</w:t>
      </w:r>
      <w:r>
        <w:rPr>
          <w:rFonts w:ascii="仿宋_GB2312" w:hAnsi="微软雅黑" w:cs="仿宋_GB2312" w:hint="eastAsia"/>
          <w:b w:val="0"/>
          <w:bCs w:val="0"/>
          <w:i w:val="0"/>
          <w:iCs w:val="0"/>
          <w:caps w:val="0"/>
          <w:color w:val="auto"/>
          <w:spacing w:val="0"/>
          <w:sz w:val="32"/>
          <w:szCs w:val="32"/>
          <w:highlight w:val="none"/>
          <w:shd w:val="clear" w:color="auto" w:fill="FFFFFF"/>
          <w:lang w:val="en-US" w:eastAsia="zh-CN"/>
        </w:rPr>
        <w:t xml:space="preserve">国家卫生县城复审工作经费绩效评价设计的阶段性目标细化方案，围绕评价目标核心开展，突出时间节点，量化指标及预期成效：</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pP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阶段一：</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pP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时间节点：2024年</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3</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月；具体任务：完成第一次病媒生物密度检测，制定针对性消杀方案；量化指标：病媒生物防治监测消杀合格率100%；预期成效：掌握基础病媒生物密度数据，明确重点消杀区域。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pP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阶段</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二</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pP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时间节点：2024年</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6</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月；具体任务：</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开展第一次全面消杀行动，重点区域消杀覆盖</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；量化指标：</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结合轮台县实际情况，制定检测方案，对轮台县鼠蟑蚊蝇进行检测，记录消杀点位数量</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；预期成效：</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降低病媒生物密度，减少传染病传播风险。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pP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阶段</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三</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pP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时间节点：2024年</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9</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月；具体任务：</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开展第一次检测及第二次消杀，对比首次数据评估效果</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；量化指标：</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出具检测对比报告，病媒生物密度下降≥30%</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；预期成效：</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动态调整消杀策略，巩固防治效果。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pP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阶段</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四</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pP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时间节点：2024年</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12</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月；具体任务：</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开展第三次消杀和复审前终期检测，确保病媒生物密度达标</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；量化指标：</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终期检测达标率100%，提交工作总结报告</w:t>
      </w:r>
      <w:r>
        <w:rPr>
          <w:rFonts w:ascii="仿宋_GB2312" w:eastAsia="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；预期成效：</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通过国家卫生县城复审病媒生物防治考核，保障居民健康环境。</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二、绩效评价工作开展情况</w:t>
      </w:r>
      <w:bookmarkEnd w:id="3"/>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color w:val="auto"/>
          <w:sz w:val="32"/>
          <w:szCs w:val="32"/>
          <w:highlight w:val="none"/>
          <w:lang w:val="en-US" w:eastAsia="zh-CN"/>
        </w:rPr>
      </w:pPr>
      <w:bookmarkStart w:id="4" w:name="_Toc68703831"/>
      <w:r>
        <w:rPr>
          <w:rFonts w:ascii="仿宋_GB2312" w:eastAsia="仿宋_GB2312" w:hint="eastAsia"/>
          <w:b/>
          <w:bCs/>
          <w:color w:val="auto"/>
          <w:sz w:val="32"/>
          <w:szCs w:val="32"/>
          <w:highlight w:val="none"/>
        </w:rPr>
        <w:t xml:space="preserve">（一）绩效评价目的、对象和范围。</w:t>
      </w:r>
      <w:bookmarkEnd w:id="4"/>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w:t>
      </w:r>
      <w:r>
        <w:rPr>
          <w:rFonts w:ascii="仿宋_GB2312" w:hint="eastAsia"/>
          <w:color w:val="auto"/>
          <w:sz w:val="32"/>
          <w:szCs w:val="32"/>
          <w:highlight w:val="none"/>
          <w:lang w:val="en-US" w:eastAsia="zh-CN"/>
        </w:rPr>
        <w:t xml:space="preserve">提高居民病媒生物防治意识，社会凝聚力和公众的责任感，</w:t>
      </w:r>
      <w:r>
        <w:rPr>
          <w:rFonts w:hint="eastAsia"/>
          <w:color w:val="auto"/>
          <w:sz w:val="32"/>
          <w:szCs w:val="32"/>
          <w:highlight w:val="none"/>
          <w:lang w:eastAsia="zh-CN"/>
        </w:rPr>
        <w:t xml:space="preserve">有效控制病媒生物的繁殖和传播</w:t>
      </w:r>
      <w:r>
        <w:rPr>
          <w:rFonts w:ascii="仿宋_GB2312" w:hint="eastAsia"/>
          <w:color w:val="auto"/>
          <w:sz w:val="32"/>
          <w:szCs w:val="32"/>
          <w:highlight w:val="none"/>
          <w:lang w:val="en-US" w:eastAsia="zh-CN"/>
        </w:rPr>
        <w:t xml:space="preserve">的扩散风险，</w:t>
      </w:r>
      <w:r>
        <w:rPr>
          <w:rFonts w:hint="eastAsia"/>
          <w:color w:val="auto"/>
          <w:sz w:val="32"/>
          <w:szCs w:val="32"/>
          <w:highlight w:val="none"/>
          <w:lang w:eastAsia="zh-CN"/>
        </w:rPr>
        <w:t xml:space="preserve">避免大规模疫情的发生，</w:t>
      </w:r>
      <w:r>
        <w:rPr>
          <w:rFonts w:ascii="仿宋_GB2312" w:hint="eastAsia"/>
          <w:color w:val="auto"/>
          <w:sz w:val="32"/>
          <w:szCs w:val="32"/>
          <w:highlight w:val="none"/>
          <w:lang w:val="en-US" w:eastAsia="zh-CN"/>
        </w:rPr>
        <w:t xml:space="preserve">提升县城的整体形象和美誉感，</w:t>
      </w:r>
      <w:r>
        <w:rPr>
          <w:rFonts w:hint="eastAsia"/>
          <w:color w:val="auto"/>
          <w:sz w:val="32"/>
          <w:szCs w:val="32"/>
          <w:highlight w:val="none"/>
          <w:lang w:eastAsia="zh-CN"/>
        </w:rPr>
        <w:t xml:space="preserve">提升公众健康意识，促进社区参与合作，</w:t>
      </w:r>
      <w:r>
        <w:rPr>
          <w:rFonts w:ascii="仿宋_GB2312" w:hint="eastAsia"/>
          <w:color w:val="auto"/>
          <w:sz w:val="32"/>
          <w:szCs w:val="32"/>
          <w:highlight w:val="none"/>
          <w:lang w:val="en-US" w:eastAsia="zh-CN"/>
        </w:rPr>
        <w:t xml:space="preserve">巩固国家卫生县城，共建和谐美好家园，增强县城的竞争力和吸引力。</w:t>
      </w:r>
      <w:r>
        <w:rPr>
          <w:rFonts w:ascii="Times New Roman" w:eastAsia="仿宋_GB2312" w:hAnsi="Times New Roman" w:cs="Times New Roman" w:hint="default"/>
          <w:color w:val="auto"/>
          <w:sz w:val="32"/>
          <w:szCs w:val="32"/>
          <w:highlight w:val="none"/>
          <w:lang w:val="en-US" w:eastAsia="zh-CN"/>
        </w:rPr>
        <w:t xml:space="preserve">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绩效评价目的</w:t>
      </w:r>
      <w:r>
        <w:rPr>
          <w:rFonts w:hint="eastAsia"/>
          <w:b/>
          <w:bCs/>
          <w:color w:val="auto"/>
          <w:sz w:val="32"/>
          <w:szCs w:val="32"/>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eastAsia="仿宋_GB2312"/>
          <w:color w:val="auto"/>
          <w:sz w:val="32"/>
          <w:szCs w:val="32"/>
          <w:highlight w:val="none"/>
        </w:rPr>
        <w:t xml:space="preserve">通过开展有效的财政支出绩效评价管理，</w:t>
      </w:r>
      <w:r>
        <w:rPr>
          <w:rFonts w:eastAsia="仿宋_GB2312" w:hint="eastAsia"/>
          <w:color w:val="auto"/>
          <w:sz w:val="32"/>
          <w:szCs w:val="32"/>
          <w:highlight w:val="none"/>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w:t>
      </w:r>
      <w:r>
        <w:rPr>
          <w:rFonts w:ascii="仿宋_GB2312" w:hint="eastAsia"/>
          <w:color w:val="auto"/>
          <w:sz w:val="32"/>
          <w:szCs w:val="32"/>
          <w:highlight w:val="none"/>
          <w:lang w:val="en-US" w:eastAsia="zh-CN"/>
        </w:rPr>
        <w:t xml:space="preserve">提高居民病媒生物防治意识，社会凝聚力和公众的责任感</w:t>
      </w:r>
      <w:r>
        <w:rPr>
          <w:rFonts w:ascii="Times New Roman" w:eastAsia="仿宋_GB2312" w:hAnsi="Times New Roman" w:cs="Times New Roman" w:hint="default"/>
          <w:color w:val="auto"/>
          <w:sz w:val="32"/>
          <w:szCs w:val="32"/>
          <w:highlight w:val="none"/>
        </w:rPr>
        <w:t xml:space="preserve">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3.</w:t>
      </w:r>
      <w:r>
        <w:rPr>
          <w:rFonts w:hint="eastAsia"/>
          <w:b/>
          <w:bCs/>
          <w:color w:val="auto"/>
          <w:sz w:val="32"/>
          <w:szCs w:val="32"/>
          <w:highlight w:val="none"/>
        </w:rPr>
        <w:t xml:space="preserve">绩效评价对象：</w:t>
      </w:r>
      <w:r>
        <w:rPr>
          <w:rFonts w:ascii="Times New Roman" w:eastAsia="仿宋_GB2312" w:hAnsi="Times New Roman" w:cs="Times New Roman" w:hint="default"/>
          <w:color w:val="auto"/>
          <w:sz w:val="32"/>
          <w:szCs w:val="32"/>
          <w:highlight w:val="none"/>
        </w:rPr>
        <w:t xml:space="preserve">本项目预算绩效评价报告的评价对象是</w:t>
      </w:r>
      <w:r>
        <w:rPr>
          <w:rFonts w:ascii="Times New Roman" w:hAnsi="Times New Roman" w:cs="Times New Roman" w:hint="eastAsia"/>
          <w:color w:val="auto"/>
          <w:sz w:val="32"/>
          <w:szCs w:val="32"/>
          <w:highlight w:val="none"/>
          <w:lang w:val="en-US" w:eastAsia="zh-CN"/>
        </w:rPr>
        <w:t xml:space="preserve">卫健委： 国家卫生县城复审经费项目</w:t>
      </w:r>
      <w:r>
        <w:rPr>
          <w:rFonts w:ascii="Times New Roman" w:eastAsia="仿宋_GB2312" w:hAnsi="Times New Roman" w:cs="Times New Roman" w:hint="default"/>
          <w:color w:val="auto"/>
          <w:sz w:val="32"/>
          <w:szCs w:val="32"/>
          <w:highlight w:val="none"/>
        </w:rPr>
        <w:t xml:space="preserve">及其预算执行情况。该项目由</w:t>
      </w:r>
      <w:r>
        <w:rPr>
          <w:rFonts w:cs="Times New Roman" w:hint="eastAsia"/>
          <w:color w:val="auto"/>
          <w:sz w:val="32"/>
          <w:szCs w:val="32"/>
          <w:highlight w:val="none"/>
          <w:lang w:val="en-US" w:eastAsia="zh-CN"/>
        </w:rPr>
        <w:t xml:space="preserve">轮台县卫生健康委员会</w:t>
      </w:r>
      <w:r>
        <w:rPr>
          <w:rFonts w:ascii="Times New Roman" w:eastAsia="仿宋_GB2312" w:hAnsi="Times New Roman" w:cs="Times New Roman" w:hint="default"/>
          <w:color w:val="auto"/>
          <w:sz w:val="32"/>
          <w:szCs w:val="32"/>
          <w:highlight w:val="none"/>
        </w:rPr>
        <w:t xml:space="preserve">负责实施，旨在</w:t>
      </w:r>
      <w:r>
        <w:rPr>
          <w:rFonts w:ascii="仿宋_GB2312" w:hAnsi="微软雅黑" w:cs="仿宋_GB2312" w:hint="eastAsia"/>
          <w:b w:val="0"/>
          <w:bCs w:val="0"/>
          <w:i w:val="0"/>
          <w:iCs w:val="0"/>
          <w:caps w:val="0"/>
          <w:color w:val="auto"/>
          <w:spacing w:val="0"/>
          <w:kern w:val="44"/>
          <w:sz w:val="32"/>
          <w:szCs w:val="32"/>
          <w:highlight w:val="none"/>
          <w:shd w:val="clear" w:color="auto" w:fill="FFFFFF"/>
          <w:lang w:val="en-US" w:eastAsia="zh-CN" w:bidi="ar-SA"/>
        </w:rPr>
        <w:t xml:space="preserve">通过国家卫生县城复审病媒生物防治考核，保障居民健康环境</w:t>
      </w:r>
      <w:r>
        <w:rPr>
          <w:rFonts w:ascii="Times New Roman" w:eastAsia="仿宋_GB2312" w:hAnsi="Times New Roman" w:cs="Times New Roman" w:hint="default"/>
          <w:color w:val="auto"/>
          <w:sz w:val="32"/>
          <w:szCs w:val="32"/>
          <w:highlight w:val="none"/>
        </w:rPr>
        <w:t xml:space="preserve">。项目预算涵盖从</w:t>
      </w:r>
      <w:r>
        <w:rPr>
          <w:rFonts w:cs="Times New Roman" w:hint="eastAsia"/>
          <w:color w:val="auto"/>
          <w:sz w:val="32"/>
          <w:szCs w:val="32"/>
          <w:highlight w:val="none"/>
          <w:lang w:val="en-US" w:eastAsia="zh-CN"/>
        </w:rPr>
        <w:t xml:space="preserve">2024年1月</w:t>
      </w:r>
      <w:r>
        <w:rPr>
          <w:rFonts w:ascii="Times New Roman" w:eastAsia="仿宋_GB2312" w:hAnsi="Times New Roman" w:cs="Times New Roman" w:hint="default"/>
          <w:color w:val="auto"/>
          <w:sz w:val="32"/>
          <w:szCs w:val="32"/>
          <w:highlight w:val="none"/>
        </w:rPr>
        <w:t xml:space="preserve">至</w:t>
      </w:r>
      <w:r>
        <w:rPr>
          <w:rFonts w:cs="Times New Roman" w:hint="eastAsia"/>
          <w:color w:val="auto"/>
          <w:sz w:val="32"/>
          <w:szCs w:val="32"/>
          <w:highlight w:val="none"/>
          <w:lang w:val="en-US" w:eastAsia="zh-CN"/>
        </w:rPr>
        <w:t xml:space="preserve">2024年12月</w:t>
      </w:r>
      <w:r>
        <w:rPr>
          <w:rFonts w:ascii="Times New Roman" w:eastAsia="仿宋_GB2312" w:hAnsi="Times New Roman" w:cs="Times New Roman" w:hint="default"/>
          <w:color w:val="auto"/>
          <w:sz w:val="32"/>
          <w:szCs w:val="32"/>
          <w:highlight w:val="none"/>
        </w:rPr>
        <w:t xml:space="preserve">的全部资金投入与支出，涉及资金总额为</w:t>
      </w:r>
      <w:r>
        <w:rPr>
          <w:rFonts w:cs="Times New Roman" w:hint="eastAsia"/>
          <w:color w:val="auto"/>
          <w:sz w:val="32"/>
          <w:szCs w:val="32"/>
          <w:highlight w:val="none"/>
          <w:lang w:val="en-US" w:eastAsia="zh-CN"/>
        </w:rPr>
        <w:t xml:space="preserve">24.05</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default"/>
          <w:color w:val="auto"/>
          <w:sz w:val="32"/>
          <w:szCs w:val="32"/>
          <w:highlight w:val="none"/>
        </w:rPr>
        <w:t xml:space="preserve">元。</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4.</w:t>
      </w:r>
      <w:r>
        <w:rPr>
          <w:rFonts w:hint="eastAsia"/>
          <w:b/>
          <w:bCs/>
          <w:color w:val="auto"/>
          <w:sz w:val="32"/>
          <w:szCs w:val="32"/>
          <w:highlight w:val="none"/>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bookmarkStart w:id="5" w:name="_Toc68703832"/>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w:t>
      </w: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eastAsia"/>
          <w:b w:val="0"/>
          <w:bCs w:val="0"/>
          <w:color w:val="auto"/>
          <w:highlight w:val="none"/>
          <w:lang w:eastAsia="zh-CN"/>
        </w:rPr>
        <w:t xml:space="preserve">秩序</w:t>
      </w:r>
      <w:r>
        <w:rPr>
          <w:rFonts w:ascii="Times New Roman" w:eastAsia="仿宋_GB2312" w:hAnsi="Times New Roman" w:cs="Times New Roman" w:hint="default"/>
          <w:b w:val="0"/>
          <w:bCs w:val="0"/>
          <w:color w:val="auto"/>
          <w:highlight w:val="none"/>
        </w:rPr>
        <w:t xml:space="preserve">、</w:t>
      </w:r>
      <w:r>
        <w:rPr>
          <w:rFonts w:ascii="Times New Roman" w:eastAsia="仿宋_GB2312" w:hAnsi="Times New Roman" w:cs="Times New Roman" w:hint="eastAsia"/>
          <w:b w:val="0"/>
          <w:bCs w:val="0"/>
          <w:color w:val="auto"/>
          <w:highlight w:val="none"/>
          <w:lang w:val="en-US" w:eastAsia="zh-CN"/>
        </w:rPr>
        <w:t xml:space="preserve">生态环境</w:t>
      </w:r>
      <w:r>
        <w:rPr>
          <w:rFonts w:ascii="Times New Roman" w:eastAsia="仿宋_GB2312" w:hAnsi="Times New Roman" w:cs="Times New Roman" w:hint="default"/>
          <w:b w:val="0"/>
          <w:bCs w:val="0"/>
          <w:color w:val="auto"/>
          <w:highlight w:val="none"/>
        </w:rPr>
        <w:t xml:space="preserve">等方面的综合影响。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（二）绩效评价原则、评价指标体系</w:t>
      </w:r>
      <w:r>
        <w:rPr>
          <w:rFonts w:ascii="仿宋_GB2312" w:eastAsia="仿宋_GB2312" w:hint="eastAsia"/>
          <w:b/>
          <w:bCs/>
          <w:color w:val="auto"/>
          <w:sz w:val="32"/>
          <w:szCs w:val="32"/>
          <w:highlight w:val="none"/>
          <w:lang w:eastAsia="zh-CN"/>
        </w:rPr>
        <w:t xml:space="preserve">（附表说明）</w:t>
      </w:r>
      <w:r>
        <w:rPr>
          <w:rFonts w:ascii="仿宋_GB2312" w:eastAsia="仿宋_GB2312" w:hint="eastAsia"/>
          <w:b/>
          <w:bCs/>
          <w:color w:val="auto"/>
          <w:sz w:val="32"/>
          <w:szCs w:val="32"/>
          <w:highlight w:val="none"/>
        </w:rPr>
        <w:t xml:space="preserve">、评价方法、评价标准等。</w:t>
      </w:r>
      <w:bookmarkEnd w:id="5"/>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auto"/>
          <w:sz w:val="32"/>
          <w:szCs w:val="32"/>
          <w:highlight w:val="none"/>
        </w:rPr>
      </w:pPr>
      <w:r>
        <w:rPr>
          <w:rFonts w:eastAsia="仿宋_GB2312"/>
          <w:color w:val="auto"/>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highlight w:val="none"/>
        </w:rPr>
      </w:pPr>
      <w:r>
        <w:rPr>
          <w:rFonts w:ascii="Times New Roman" w:eastAsia="仿宋_GB2312" w:hAnsi="Times New Roman" w:cs="Times New Roman" w:hint="default"/>
          <w:b w:val="0"/>
          <w:bCs w:val="0"/>
          <w:color w:val="auto"/>
          <w:highlight w:val="none"/>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auto"/>
          <w:spacing w:val="17"/>
          <w:sz w:val="32"/>
          <w:szCs w:val="32"/>
          <w:highlight w:val="none"/>
        </w:rPr>
      </w:pPr>
      <w:r>
        <w:rPr>
          <w:rFonts w:eastAsia="仿宋_GB2312"/>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highlight w:val="none"/>
        </w:rPr>
      </w:pPr>
      <w:r>
        <w:rPr>
          <w:rFonts w:ascii="Times New Roman" w:eastAsia="仿宋_GB2312" w:hAnsi="Times New Roman" w:cs="Times New Roman" w:hint="default"/>
          <w:b w:val="0"/>
          <w:bCs w:val="0"/>
          <w:color w:val="auto"/>
          <w:spacing w:val="17"/>
          <w:kern w:val="2"/>
          <w:highlight w:val="none"/>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eastAsia="仿宋_GB2312"/>
          <w:color w:val="auto"/>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highlight w:val="none"/>
          <w:lang w:val="zh-CN"/>
        </w:rPr>
        <w:t xml:space="preserve">采用比较法和公众评判法</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原因是：通过分析202</w:t>
      </w:r>
      <w:r>
        <w:rPr>
          <w:rFonts w:ascii="仿宋_GB2312" w:cs="Times New Roman" w:hint="eastAsia"/>
          <w:color w:val="auto"/>
          <w:sz w:val="32"/>
          <w:szCs w:val="32"/>
          <w:highlight w:val="none"/>
          <w:lang w:val="en-US" w:eastAsia="zh-CN"/>
        </w:rPr>
        <w:t xml:space="preserve">4</w:t>
      </w:r>
      <w:r>
        <w:rPr>
          <w:rFonts w:ascii="仿宋_GB2312" w:hAnsi="Times New Roman" w:cs="Times New Roman" w:hint="eastAsia"/>
          <w:color w:val="auto"/>
          <w:sz w:val="32"/>
          <w:szCs w:val="32"/>
          <w:highlight w:val="none"/>
          <w:lang w:val="zh-CN"/>
        </w:rPr>
        <w:t xml:space="preserve">年</w:t>
      </w:r>
      <w:r>
        <w:rPr>
          <w:rFonts w:ascii="仿宋" w:eastAsia="仿宋" w:hAnsi="仿宋" w:cs="仿宋"/>
          <w:color w:val="auto"/>
          <w:spacing w:val="5"/>
          <w:sz w:val="31"/>
          <w:szCs w:val="31"/>
          <w:highlight w:val="none"/>
        </w:rPr>
        <w:t xml:space="preserve">卫健委：</w:t>
      </w:r>
      <w:r>
        <w:rPr>
          <w:rFonts w:ascii="仿宋" w:eastAsia="仿宋" w:hAnsi="仿宋" w:cs="仿宋"/>
          <w:color w:val="auto"/>
          <w:spacing w:val="-76"/>
          <w:sz w:val="31"/>
          <w:szCs w:val="31"/>
          <w:highlight w:val="none"/>
        </w:rPr>
        <w:t xml:space="preserve"> </w:t>
      </w:r>
      <w:r>
        <w:rPr>
          <w:rFonts w:ascii="仿宋" w:eastAsia="仿宋" w:hAnsi="仿宋" w:cs="仿宋"/>
          <w:color w:val="auto"/>
          <w:spacing w:val="5"/>
          <w:sz w:val="31"/>
          <w:szCs w:val="31"/>
          <w:highlight w:val="none"/>
        </w:rPr>
        <w:t xml:space="preserve">国家卫生县城复审经费</w:t>
      </w:r>
      <w:r>
        <w:rPr>
          <w:rFonts w:ascii="仿宋_GB2312" w:cs="Times New Roman" w:hint="eastAsia"/>
          <w:color w:val="auto"/>
          <w:sz w:val="32"/>
          <w:szCs w:val="32"/>
          <w:highlight w:val="none"/>
          <w:lang w:val="en-US" w:eastAsia="zh-CN"/>
        </w:rPr>
        <w:t xml:space="preserve">项目</w:t>
      </w:r>
      <w:r>
        <w:rPr>
          <w:rFonts w:ascii="Times New Roman" w:hAnsi="Times New Roman" w:cs="Times New Roman" w:hint="eastAsia"/>
          <w:b w:val="0"/>
          <w:bCs w:val="0"/>
          <w:color w:val="auto"/>
          <w:sz w:val="32"/>
          <w:szCs w:val="32"/>
          <w:highlight w:val="none"/>
          <w:lang w:val="en-US" w:eastAsia="zh-CN"/>
        </w:rPr>
        <w:t xml:space="preserve">年初设定的</w:t>
      </w:r>
      <w:r>
        <w:rPr>
          <w:rFonts w:ascii="仿宋_GB2312" w:hAnsi="Times New Roman" w:cs="Times New Roman" w:hint="eastAsia"/>
          <w:color w:val="auto"/>
          <w:sz w:val="32"/>
          <w:szCs w:val="32"/>
          <w:highlight w:val="none"/>
          <w:lang w:val="zh-CN"/>
        </w:rPr>
        <w:t xml:space="preserve">绩效目标与实施效果、历史与当期情况的比较，综合分析绩效目标实现程度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不断提升绩效管理水平</w:t>
      </w:r>
      <w:r>
        <w:rPr>
          <w:rFonts w:ascii="仿宋_GB2312" w:hAnsi="Times New Roman" w:cs="Times New Roman" w:hint="eastAsia"/>
          <w:color w:val="auto"/>
          <w:sz w:val="32"/>
          <w:szCs w:val="32"/>
          <w:highlight w:val="none"/>
          <w:lang w:val="zh-CN"/>
        </w:rPr>
        <w:t xml:space="preserve">；通过对社会群众</w:t>
      </w:r>
      <w:r>
        <w:rPr>
          <w:rFonts w:ascii="仿宋_GB2312" w:hAnsi="Times New Roman" w:cs="Times New Roman" w:hint="eastAsia"/>
          <w:color w:val="auto"/>
          <w:sz w:val="32"/>
          <w:szCs w:val="32"/>
          <w:highlight w:val="none"/>
          <w:lang w:val="en-US" w:eastAsia="zh-CN"/>
        </w:rPr>
        <w:t xml:space="preserve">访谈</w:t>
      </w:r>
      <w:r>
        <w:rPr>
          <w:rFonts w:ascii="仿宋_GB2312" w:hAnsi="Times New Roman" w:cs="Times New Roman" w:hint="eastAsia"/>
          <w:color w:val="auto"/>
          <w:sz w:val="32"/>
          <w:szCs w:val="32"/>
          <w:highlight w:val="none"/>
          <w:lang w:val="zh-CN"/>
        </w:rPr>
        <w:t xml:space="preserve">及抽样调查等对财政支出效果进行评判，</w:t>
      </w:r>
      <w:r>
        <w:rPr>
          <w:rFonts w:ascii="仿宋_GB2312" w:cs="Times New Roman" w:hint="eastAsia"/>
          <w:color w:val="auto"/>
          <w:sz w:val="32"/>
          <w:szCs w:val="32"/>
          <w:highlight w:val="none"/>
          <w:lang w:val="en-US" w:eastAsia="zh-CN"/>
        </w:rPr>
        <w:t xml:space="preserve">了解直接受益群体对项目的直观感受</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评价绩效目标实现程度</w:t>
      </w:r>
      <w:r>
        <w:rPr>
          <w:rFonts w:ascii="仿宋_GB2312" w:cs="Times New Roman" w:hint="eastAsia"/>
          <w:color w:val="auto"/>
          <w:sz w:val="32"/>
          <w:szCs w:val="32"/>
          <w:highlight w:val="none"/>
          <w:lang w:val="zh-CN"/>
        </w:rPr>
        <w:t xml:space="preserve">，</w:t>
      </w:r>
      <w:r>
        <w:rPr>
          <w:rFonts w:ascii="仿宋_GB2312" w:hint="eastAsia"/>
          <w:color w:val="auto"/>
          <w:sz w:val="32"/>
          <w:szCs w:val="32"/>
          <w:highlight w:val="none"/>
          <w:lang w:val="en-US" w:eastAsia="zh-CN"/>
        </w:rPr>
        <w:t xml:space="preserve">提高居民病媒生物防治意识，社会凝聚力和公众的责任感，</w:t>
      </w:r>
      <w:r>
        <w:rPr>
          <w:rFonts w:hint="eastAsia"/>
          <w:color w:val="auto"/>
          <w:sz w:val="32"/>
          <w:szCs w:val="32"/>
          <w:highlight w:val="none"/>
          <w:lang w:eastAsia="zh-CN"/>
        </w:rPr>
        <w:t xml:space="preserve">有效控制病媒生物的繁殖和传播</w:t>
      </w:r>
      <w:r>
        <w:rPr>
          <w:rFonts w:ascii="仿宋_GB2312" w:hint="eastAsia"/>
          <w:color w:val="auto"/>
          <w:sz w:val="32"/>
          <w:szCs w:val="32"/>
          <w:highlight w:val="none"/>
          <w:lang w:val="en-US" w:eastAsia="zh-CN"/>
        </w:rPr>
        <w:t xml:space="preserve">的扩散风险，</w:t>
      </w:r>
      <w:r>
        <w:rPr>
          <w:rFonts w:hint="eastAsia"/>
          <w:color w:val="auto"/>
          <w:sz w:val="32"/>
          <w:szCs w:val="32"/>
          <w:highlight w:val="none"/>
          <w:lang w:eastAsia="zh-CN"/>
        </w:rPr>
        <w:t xml:space="preserve">避免大规模疫情的发生，</w:t>
      </w:r>
      <w:r>
        <w:rPr>
          <w:rFonts w:ascii="仿宋_GB2312" w:hint="eastAsia"/>
          <w:color w:val="auto"/>
          <w:sz w:val="32"/>
          <w:szCs w:val="32"/>
          <w:highlight w:val="none"/>
          <w:lang w:val="en-US" w:eastAsia="zh-CN"/>
        </w:rPr>
        <w:t xml:space="preserve">提升县城的整体形象和美誉感，</w:t>
      </w:r>
      <w:r>
        <w:rPr>
          <w:rFonts w:hint="eastAsia"/>
          <w:color w:val="auto"/>
          <w:sz w:val="32"/>
          <w:szCs w:val="32"/>
          <w:highlight w:val="none"/>
          <w:lang w:eastAsia="zh-CN"/>
        </w:rPr>
        <w:t xml:space="preserve">提升公众健康意识，促进社区参与合作，</w:t>
      </w:r>
      <w:r>
        <w:rPr>
          <w:rFonts w:ascii="仿宋_GB2312" w:hint="eastAsia"/>
          <w:color w:val="auto"/>
          <w:sz w:val="32"/>
          <w:szCs w:val="32"/>
          <w:highlight w:val="none"/>
          <w:lang w:val="en-US" w:eastAsia="zh-CN"/>
        </w:rPr>
        <w:t xml:space="preserve">巩固国家卫生县城，共建和谐美好家园，增强县城的竞争力和吸引力</w:t>
      </w:r>
      <w:r>
        <w:rPr>
          <w:rFonts w:ascii="仿宋_GB2312" w:hint="eastAsia"/>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highlight w:val="none"/>
          <w:lang w:val="zh-CN"/>
        </w:rPr>
      </w:pPr>
      <w:r>
        <w:rPr>
          <w:rFonts w:ascii="仿宋_GB2312" w:hAnsi="Times New Roman" w:cs="Times New Roman" w:hint="eastAsia"/>
          <w:color w:val="auto"/>
          <w:sz w:val="32"/>
          <w:szCs w:val="32"/>
          <w:highlight w:val="none"/>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highlight w:val="none"/>
          <w:lang w:val="en-US" w:eastAsia="zh-CN"/>
        </w:rPr>
        <w:t xml:space="preserve">通过</w:t>
      </w:r>
      <w:r>
        <w:rPr>
          <w:rFonts w:ascii="仿宋_GB2312" w:hAnsi="Times New Roman" w:cs="Times New Roman" w:hint="eastAsia"/>
          <w:color w:val="auto"/>
          <w:sz w:val="32"/>
          <w:szCs w:val="32"/>
          <w:highlight w:val="none"/>
          <w:lang w:val="zh-CN"/>
        </w:rPr>
        <w:t xml:space="preserve">预先制定的</w:t>
      </w:r>
      <w:r>
        <w:rPr>
          <w:rFonts w:ascii="仿宋_GB2312" w:hAnsi="Times New Roman" w:cs="Times New Roman" w:hint="eastAsia"/>
          <w:color w:val="auto"/>
          <w:sz w:val="32"/>
          <w:szCs w:val="32"/>
          <w:highlight w:val="none"/>
          <w:lang w:val="en-US" w:eastAsia="zh-CN"/>
        </w:rPr>
        <w:t xml:space="preserve">项目产出、效益等</w:t>
      </w:r>
      <w:r>
        <w:rPr>
          <w:rFonts w:ascii="仿宋_GB2312" w:hAnsi="Times New Roman" w:cs="Times New Roman" w:hint="eastAsia"/>
          <w:color w:val="auto"/>
          <w:sz w:val="32"/>
          <w:szCs w:val="32"/>
          <w:highlight w:val="none"/>
          <w:lang w:val="zh-CN"/>
        </w:rPr>
        <w:t xml:space="preserve">目标、</w:t>
      </w:r>
      <w:r>
        <w:rPr>
          <w:rFonts w:ascii="仿宋_GB2312" w:hAnsi="Times New Roman" w:cs="Times New Roman" w:hint="eastAsia"/>
          <w:color w:val="auto"/>
          <w:sz w:val="32"/>
          <w:szCs w:val="32"/>
          <w:highlight w:val="none"/>
          <w:lang w:val="en-US" w:eastAsia="zh-CN"/>
        </w:rPr>
        <w:t xml:space="preserve">并制定项目实施</w:t>
      </w:r>
      <w:r>
        <w:rPr>
          <w:rFonts w:ascii="仿宋_GB2312" w:hAnsi="Times New Roman" w:cs="Times New Roman" w:hint="eastAsia"/>
          <w:color w:val="auto"/>
          <w:sz w:val="32"/>
          <w:szCs w:val="32"/>
          <w:highlight w:val="none"/>
          <w:lang w:val="zh-CN"/>
        </w:rPr>
        <w:t xml:space="preserve">计划等作为评价标准</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en-US" w:eastAsia="zh-CN"/>
        </w:rPr>
        <w:t xml:space="preserve">项目实施完成后，</w:t>
      </w:r>
      <w:r>
        <w:rPr>
          <w:rFonts w:ascii="仿宋_GB2312" w:hAnsi="Times New Roman" w:cs="Times New Roman" w:hint="eastAsia"/>
          <w:color w:val="auto"/>
          <w:sz w:val="32"/>
          <w:szCs w:val="32"/>
          <w:highlight w:val="none"/>
          <w:lang w:val="zh-CN"/>
        </w:rPr>
        <w:t xml:space="preserve">对绩效指标完成情况进行比较</w:t>
      </w:r>
      <w:r>
        <w:rPr>
          <w:rFonts w:ascii="仿宋_GB2312" w:hAnsi="Times New Roman" w:cs="Times New Roman" w:hint="eastAsia"/>
          <w:color w:val="auto"/>
          <w:sz w:val="32"/>
          <w:szCs w:val="32"/>
          <w:highlight w:val="none"/>
          <w:lang w:val="zh-CN" w:eastAsia="zh-CN"/>
        </w:rPr>
        <w:t xml:space="preserve">，</w:t>
      </w:r>
      <w:r>
        <w:rPr>
          <w:rFonts w:ascii="仿宋_GB2312" w:hAnsi="Times New Roman" w:cs="Times New Roman" w:hint="eastAsia"/>
          <w:color w:val="auto"/>
          <w:sz w:val="32"/>
          <w:szCs w:val="32"/>
          <w:highlight w:val="none"/>
          <w:lang w:val="en-US" w:eastAsia="zh-CN"/>
        </w:rPr>
        <w:t xml:space="preserve">从而反映项目产出和效益情况</w:t>
      </w:r>
      <w:r>
        <w:rPr>
          <w:rFonts w:ascii="仿宋_GB2312" w:hAnsi="Times New Roman" w:cs="Times New Roman" w:hint="eastAsia"/>
          <w:color w:val="auto"/>
          <w:sz w:val="32"/>
          <w:szCs w:val="32"/>
          <w:highlight w:val="none"/>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6" w:name="_Toc68703833"/>
      <w:r>
        <w:rPr>
          <w:rFonts w:ascii="仿宋_GB2312" w:eastAsia="仿宋_GB2312" w:hint="eastAsia"/>
          <w:b/>
          <w:bCs/>
          <w:color w:val="auto"/>
          <w:sz w:val="32"/>
          <w:szCs w:val="32"/>
          <w:highlight w:val="none"/>
        </w:rPr>
        <w:t xml:space="preserve">（三）绩效评价工作过程。</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bookmarkStart w:id="7" w:name="_Toc68703834"/>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三、综合评价情况及评价结论</w:t>
      </w:r>
      <w:bookmarkEnd w:id="7"/>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lang w:eastAsia="zh-CN"/>
        </w:rPr>
      </w:pPr>
      <w:bookmarkStart w:id="8" w:name="_Toc68703835"/>
      <w:r>
        <w:rPr>
          <w:rFonts w:ascii="仿宋_GB2312" w:eastAsia="仿宋_GB2312" w:hint="eastAsia"/>
          <w:b/>
          <w:bCs/>
          <w:color w:val="auto"/>
          <w:sz w:val="32"/>
          <w:szCs w:val="32"/>
          <w:highlight w:val="none"/>
        </w:rPr>
        <w:t xml:space="preserve">（一）综合评价情况</w:t>
      </w:r>
      <w:bookmarkEnd w:id="8"/>
      <w:r>
        <w:rPr>
          <w:rFonts w:ascii="仿宋_GB2312" w:eastAsia="仿宋_GB2312" w:hint="eastAsia"/>
          <w:b/>
          <w:bCs/>
          <w:color w:val="auto"/>
          <w:sz w:val="32"/>
          <w:szCs w:val="32"/>
          <w:highlight w:val="none"/>
          <w:lang w:eastAsia="zh-CN"/>
        </w:rPr>
        <w:t xml:space="preserve">及评价结论</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bookmarkStart w:id="9" w:name="_Toc68703836"/>
      <w:r>
        <w:rPr>
          <w:rFonts w:ascii="Times New Roman" w:eastAsia="仿宋_GB2312" w:hAnsi="Times New Roman" w:cs="Times New Roman" w:hint="default"/>
          <w:b w:val="0"/>
          <w:bCs w:val="0"/>
          <w:color w:val="auto"/>
          <w:sz w:val="32"/>
          <w:szCs w:val="32"/>
          <w:highlight w:val="none"/>
        </w:rPr>
        <w:t xml:space="preserve">本项目的综合评价基于对项目各方面绩效的深入分析与评估。从项目目标的达成情况来看，</w:t>
      </w:r>
      <w:r>
        <w:rPr>
          <w:rFonts w:ascii="仿宋" w:eastAsia="仿宋" w:hAnsi="仿宋" w:cs="仿宋"/>
          <w:color w:val="auto"/>
          <w:spacing w:val="5"/>
          <w:sz w:val="31"/>
          <w:szCs w:val="31"/>
          <w:highlight w:val="none"/>
        </w:rPr>
        <w:t xml:space="preserve">卫健委：</w:t>
      </w:r>
      <w:r>
        <w:rPr>
          <w:rFonts w:ascii="仿宋" w:eastAsia="仿宋" w:hAnsi="仿宋" w:cs="仿宋"/>
          <w:color w:val="auto"/>
          <w:spacing w:val="-76"/>
          <w:sz w:val="31"/>
          <w:szCs w:val="31"/>
          <w:highlight w:val="none"/>
        </w:rPr>
        <w:t xml:space="preserve"> </w:t>
      </w:r>
      <w:r>
        <w:rPr>
          <w:rFonts w:ascii="仿宋" w:eastAsia="仿宋" w:hAnsi="仿宋" w:cs="仿宋"/>
          <w:color w:val="auto"/>
          <w:spacing w:val="5"/>
          <w:sz w:val="31"/>
          <w:szCs w:val="31"/>
          <w:highlight w:val="none"/>
        </w:rPr>
        <w:t xml:space="preserve">国家卫生县城复审经费</w:t>
      </w:r>
      <w:r>
        <w:rPr>
          <w:rFonts w:ascii="Times New Roman" w:hAnsi="Times New Roman" w:cs="Times New Roman" w:hint="eastAsia"/>
          <w:b w:val="0"/>
          <w:bCs w:val="0"/>
          <w:color w:val="auto"/>
          <w:sz w:val="32"/>
          <w:szCs w:val="32"/>
          <w:highlight w:val="none"/>
          <w:lang w:val="en-US" w:eastAsia="zh-CN"/>
        </w:rPr>
        <w:t xml:space="preserve">项目</w:t>
      </w:r>
      <w:r>
        <w:rPr>
          <w:rFonts w:ascii="Times New Roman" w:eastAsia="仿宋_GB2312" w:hAnsi="Times New Roman" w:cs="Times New Roman" w:hint="default"/>
          <w:b w:val="0"/>
          <w:bCs w:val="0"/>
          <w:color w:val="auto"/>
          <w:sz w:val="32"/>
          <w:szCs w:val="32"/>
          <w:highlight w:val="none"/>
        </w:rPr>
        <w:t xml:space="preserve">在</w:t>
      </w:r>
      <w:r>
        <w:rPr>
          <w:rFonts w:ascii="Times New Roman" w:eastAsia="仿宋_GB2312" w:hAnsi="Times New Roman" w:cs="Times New Roman" w:hint="default"/>
          <w:b w:val="0"/>
          <w:bCs w:val="0"/>
          <w:color w:val="auto"/>
          <w:sz w:val="32"/>
          <w:szCs w:val="32"/>
          <w:highlight w:val="none"/>
        </w:rPr>
        <w:t xml:space="preserve">病媒生物防治监测消杀服务</w:t>
      </w:r>
      <w:r>
        <w:rPr>
          <w:rFonts w:ascii="Times New Roman" w:eastAsia="仿宋_GB2312" w:hAnsi="Times New Roman" w:cs="Times New Roman" w:hint="default"/>
          <w:b w:val="0"/>
          <w:bCs w:val="0"/>
          <w:color w:val="auto"/>
          <w:sz w:val="32"/>
          <w:szCs w:val="32"/>
          <w:highlight w:val="none"/>
        </w:rPr>
        <w:t xml:space="preserve">、</w:t>
      </w:r>
      <w:r>
        <w:rPr>
          <w:rFonts w:ascii="Times New Roman" w:eastAsia="仿宋_GB2312" w:hAnsi="Times New Roman" w:cs="Times New Roman" w:hint="default"/>
          <w:b w:val="0"/>
          <w:bCs w:val="0"/>
          <w:color w:val="auto"/>
          <w:sz w:val="32"/>
          <w:szCs w:val="32"/>
          <w:highlight w:val="none"/>
        </w:rPr>
        <w:t xml:space="preserve">卫生县城复审宣传</w:t>
      </w:r>
      <w:r>
        <w:rPr>
          <w:rFonts w:ascii="Times New Roman" w:eastAsia="仿宋_GB2312" w:hAnsi="Times New Roman" w:cs="Times New Roman" w:hint="default"/>
          <w:b w:val="0"/>
          <w:bCs w:val="0"/>
          <w:color w:val="auto"/>
          <w:sz w:val="32"/>
          <w:szCs w:val="32"/>
          <w:highlight w:val="none"/>
        </w:rPr>
        <w:t xml:space="preserve">等方面表现出色，达到了预期的标准与要求。同时，项目也在</w:t>
      </w:r>
      <w:r>
        <w:rPr>
          <w:rFonts w:cs="Times New Roman" w:hint="eastAsia"/>
          <w:b w:val="0"/>
          <w:bCs w:val="0"/>
          <w:color w:val="auto"/>
          <w:sz w:val="32"/>
          <w:szCs w:val="32"/>
          <w:highlight w:val="none"/>
          <w:lang w:val="en-US" w:eastAsia="zh-CN"/>
        </w:rPr>
        <w:t xml:space="preserve">国家卫生县城，国家园林县城，自治区优秀平安县等多项</w:t>
      </w:r>
      <w:r>
        <w:rPr>
          <w:rFonts w:ascii="Times New Roman" w:eastAsia="仿宋_GB2312" w:hAnsi="Times New Roman" w:cs="Times New Roman" w:hint="default"/>
          <w:b w:val="0"/>
          <w:bCs w:val="0"/>
          <w:color w:val="auto"/>
          <w:sz w:val="32"/>
          <w:szCs w:val="32"/>
          <w:highlight w:val="none"/>
        </w:rPr>
        <w:t xml:space="preserve">取得了显著的成效。</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cs="Times New Roman" w:hint="eastAsia"/>
          <w:b w:val="0"/>
          <w:bCs w:val="0"/>
          <w:color w:val="auto"/>
          <w:sz w:val="32"/>
          <w:szCs w:val="32"/>
          <w:highlight w:val="none"/>
          <w:lang w:val="en-US" w:eastAsia="zh-CN"/>
        </w:rPr>
        <w:t xml:space="preserve">轮台县卫生健康委员会</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从项目效益的角度来看，本项目不仅实现了预期的</w:t>
      </w:r>
      <w:r>
        <w:rPr>
          <w:rFonts w:ascii="仿宋_GB2312" w:hint="eastAsia"/>
          <w:color w:val="auto"/>
          <w:sz w:val="32"/>
          <w:szCs w:val="32"/>
          <w:highlight w:val="none"/>
          <w:lang w:val="en-US" w:eastAsia="zh-CN"/>
        </w:rPr>
        <w:t xml:space="preserve">提高居民病媒生物防治意识，国家卫生县城宣传</w:t>
      </w:r>
      <w:r>
        <w:rPr>
          <w:rFonts w:ascii="Times New Roman" w:eastAsia="仿宋_GB2312" w:hAnsi="Times New Roman" w:cs="Times New Roman" w:hint="default"/>
          <w:b w:val="0"/>
          <w:bCs w:val="0"/>
          <w:color w:val="auto"/>
          <w:sz w:val="32"/>
          <w:szCs w:val="32"/>
          <w:highlight w:val="none"/>
        </w:rPr>
        <w:t xml:space="preserve">等方面产生了积极的影响。具体而言，</w:t>
      </w:r>
      <w:r>
        <w:rPr>
          <w:rFonts w:ascii="Times New Roman" w:eastAsia="仿宋_GB2312" w:hAnsi="Times New Roman" w:cs="Times New Roman" w:hint="default"/>
          <w:b w:val="0"/>
          <w:bCs w:val="0"/>
          <w:color w:val="auto"/>
          <w:sz w:val="32"/>
          <w:szCs w:val="32"/>
          <w:highlight w:val="none"/>
        </w:rPr>
        <w:t xml:space="preserve">病媒生物防治监测消杀</w:t>
      </w:r>
      <w:r>
        <w:rPr>
          <w:rFonts w:cs="Times New Roman" w:hint="eastAsia"/>
          <w:b w:val="0"/>
          <w:bCs w:val="0"/>
          <w:color w:val="auto"/>
          <w:sz w:val="32"/>
          <w:szCs w:val="32"/>
          <w:highlight w:val="none"/>
          <w:lang w:eastAsia="zh-CN"/>
        </w:rPr>
        <w:t xml:space="preserve">及</w:t>
      </w:r>
      <w:r>
        <w:rPr>
          <w:rFonts w:ascii="Times New Roman" w:eastAsia="仿宋_GB2312" w:hAnsi="Times New Roman" w:cs="Times New Roman" w:hint="default"/>
          <w:b w:val="0"/>
          <w:bCs w:val="0"/>
          <w:color w:val="auto"/>
          <w:sz w:val="32"/>
          <w:szCs w:val="32"/>
          <w:highlight w:val="none"/>
        </w:rPr>
        <w:t xml:space="preserve">宣传</w:t>
      </w:r>
      <w:r>
        <w:rPr>
          <w:rFonts w:ascii="Times New Roman" w:eastAsia="仿宋_GB2312" w:hAnsi="Times New Roman" w:cs="Times New Roman" w:hint="default"/>
          <w:b w:val="0"/>
          <w:bCs w:val="0"/>
          <w:color w:val="auto"/>
          <w:sz w:val="32"/>
          <w:szCs w:val="32"/>
          <w:highlight w:val="none"/>
        </w:rPr>
        <w:t xml:space="preserve">方面的提升，为项目的利益相关者带来了</w:t>
      </w:r>
      <w:r>
        <w:rPr>
          <w:rFonts w:ascii="Times New Roman" w:hAnsi="Times New Roman" w:cs="Times New Roman" w:hint="eastAsia"/>
          <w:b w:val="0"/>
          <w:bCs w:val="0"/>
          <w:color w:val="auto"/>
          <w:sz w:val="32"/>
          <w:szCs w:val="32"/>
          <w:highlight w:val="none"/>
          <w:lang w:val="en-US" w:eastAsia="zh-CN"/>
        </w:rPr>
        <w:t xml:space="preserve">切实</w:t>
      </w:r>
      <w:r>
        <w:rPr>
          <w:rFonts w:ascii="Times New Roman" w:eastAsia="仿宋_GB2312" w:hAnsi="Times New Roman" w:cs="Times New Roman" w:hint="default"/>
          <w:b w:val="0"/>
          <w:bCs w:val="0"/>
          <w:color w:val="auto"/>
          <w:sz w:val="32"/>
          <w:szCs w:val="32"/>
          <w:highlight w:val="none"/>
        </w:rPr>
        <w:t xml:space="preserve">的利益。</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综上所述，</w:t>
      </w:r>
      <w:r>
        <w:rPr>
          <w:rFonts w:ascii="Times New Roman" w:eastAsia="仿宋_GB2312" w:hAnsi="Times New Roman" w:cs="Times New Roman" w:hint="eastAsia"/>
          <w:b w:val="0"/>
          <w:bCs w:val="0"/>
          <w:color w:val="auto"/>
          <w:kern w:val="0"/>
          <w:sz w:val="32"/>
          <w:szCs w:val="32"/>
          <w:highlight w:val="none"/>
          <w:lang w:val="en-US" w:eastAsia="zh-CN"/>
        </w:rPr>
        <w:t xml:space="preserve">卫健委： 国家卫生县城复审经费项目</w:t>
      </w:r>
      <w:r>
        <w:rPr>
          <w:rFonts w:ascii="Times New Roman" w:eastAsia="仿宋_GB2312" w:hAnsi="Times New Roman" w:cs="Times New Roman" w:hint="default"/>
          <w:b w:val="0"/>
          <w:bCs w:val="0"/>
          <w:color w:val="auto"/>
          <w:sz w:val="32"/>
          <w:szCs w:val="32"/>
          <w:highlight w:val="none"/>
        </w:rPr>
        <w:t xml:space="preserve">在绩效评价中表现出色，达到了项目的预期目标，并在多个方面取得了显著的成效。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lang w:val="en-US" w:eastAsia="zh-CN"/>
        </w:rPr>
        <w:t xml:space="preserve">2.</w:t>
      </w:r>
      <w:r>
        <w:rPr>
          <w:rFonts w:ascii="仿宋_GB2312" w:eastAsia="仿宋_GB2312" w:hint="eastAsia"/>
          <w:b/>
          <w:bCs/>
          <w:color w:val="auto"/>
          <w:sz w:val="32"/>
          <w:szCs w:val="32"/>
          <w:highlight w:val="none"/>
        </w:rPr>
        <w:t xml:space="preserve">评价结论</w:t>
      </w:r>
      <w:bookmarkEnd w:id="9"/>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hint="eastAsia"/>
          <w:b w:val="0"/>
          <w:bCs w:val="0"/>
          <w:color w:val="auto"/>
          <w:sz w:val="32"/>
          <w:szCs w:val="32"/>
          <w:highlight w:val="none"/>
        </w:rPr>
        <w:t xml:space="preserve">总得分为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分，属于“</w:t>
      </w:r>
      <w:r>
        <w:rPr>
          <w:rFonts w:ascii="Times New Roman" w:eastAsia="仿宋_GB2312" w:hAnsi="Times New Roman" w:hint="eastAsia"/>
          <w:b w:val="0"/>
          <w:bCs w:val="0"/>
          <w:color w:val="auto"/>
          <w:sz w:val="32"/>
          <w:szCs w:val="32"/>
          <w:highlight w:val="none"/>
        </w:rPr>
        <w:t xml:space="preserve">优</w:t>
      </w:r>
      <w:r>
        <w:rPr>
          <w:rFonts w:ascii="Times New Roman" w:eastAsia="仿宋_GB2312" w:hAnsi="Times New Roman" w:hint="eastAsia"/>
          <w:b w:val="0"/>
          <w:bCs w:val="0"/>
          <w:color w:val="auto"/>
          <w:sz w:val="32"/>
          <w:szCs w:val="32"/>
          <w:highlight w:val="none"/>
        </w:rPr>
        <w:t xml:space="preserve">”。其中，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项目决策类指标权重为20分，得分为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项目过程类指标权重为20分，得分为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项目产出类指标权重为40分，得分为</w:t>
      </w:r>
      <w:r>
        <w:rPr>
          <w:rFonts w:hint="eastAsia"/>
          <w:b w:val="0"/>
          <w:bCs w:val="0"/>
          <w:color w:val="auto"/>
          <w:sz w:val="32"/>
          <w:szCs w:val="32"/>
          <w:highlight w:val="none"/>
          <w:lang w:val="en-US" w:eastAsia="zh-CN"/>
        </w:rPr>
        <w:t xml:space="preserve">40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项目效益类指标权重为20分，得分为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highlight w:val="none"/>
        </w:rPr>
        <w:t xml:space="preserve">附件1综合评分表</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center"/>
        <w:textAlignment w:val="auto"/>
        <w:rPr>
          <w:b/>
          <w:bCs/>
          <w:color w:val="auto"/>
          <w:sz w:val="32"/>
          <w:szCs w:val="32"/>
          <w:highlight w:val="none"/>
        </w:rPr>
      </w:pPr>
      <w:r>
        <w:rPr>
          <w:rFonts w:hint="eastAsia"/>
          <w:b/>
          <w:bCs/>
          <w:color w:val="auto"/>
          <w:sz w:val="32"/>
          <w:szCs w:val="32"/>
          <w:highlight w:val="none"/>
          <w:lang w:val="en-US" w:eastAsia="zh-CN"/>
        </w:rPr>
        <w:t xml:space="preserve">卫健委： 国家卫生县城复审经费</w:t>
      </w:r>
      <w:r>
        <w:rPr>
          <w:rFonts w:hint="eastAsia"/>
          <w:b/>
          <w:bCs/>
          <w:color w:val="auto"/>
          <w:sz w:val="32"/>
          <w:szCs w:val="32"/>
          <w:highlight w:val="none"/>
        </w:rPr>
        <w:t xml:space="preserve">项目</w:t>
      </w:r>
      <w:r>
        <w:rPr>
          <w:rFonts w:hint="eastAsia"/>
          <w:b/>
          <w:bCs/>
          <w:color w:val="auto"/>
          <w:sz w:val="32"/>
          <w:szCs w:val="32"/>
          <w:highlight w:val="none"/>
        </w:rPr>
        <w:t xml:space="preserve">评价得分情况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highlight w:val="none"/>
              </w:rPr>
            </w:pPr>
            <w:r>
              <w:rPr>
                <w:rFonts w:cs="宋体" w:hint="eastAsia"/>
                <w:b/>
                <w:bCs/>
                <w:color w:val="auto"/>
                <w:sz w:val="32"/>
                <w:szCs w:val="32"/>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10" w:name="_Toc68703837"/>
      <w:r>
        <w:rPr>
          <w:rFonts w:ascii="宋体" w:eastAsia="宋体" w:hAnsi="宋体" w:hint="eastAsia"/>
          <w:color w:val="auto"/>
          <w:sz w:val="32"/>
          <w:szCs w:val="32"/>
          <w:highlight w:val="none"/>
        </w:rPr>
        <w:t xml:space="preserve">四、绩效评价指标分析</w:t>
      </w:r>
      <w:bookmarkEnd w:id="1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1" w:name="_Toc68703838"/>
      <w:r>
        <w:rPr>
          <w:rFonts w:ascii="仿宋_GB2312" w:eastAsia="仿宋_GB2312" w:hint="eastAsia"/>
          <w:b/>
          <w:bCs/>
          <w:color w:val="auto"/>
          <w:sz w:val="32"/>
          <w:szCs w:val="32"/>
          <w:highlight w:val="none"/>
        </w:rPr>
        <w:t xml:space="preserve">（一）项目决策情况。</w:t>
      </w:r>
      <w:bookmarkEnd w:id="11"/>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w:t>
      </w:r>
      <w:r>
        <w:rPr>
          <w:rFonts w:cs="Times New Roman" w:hint="eastAsia"/>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val="en-US" w:eastAsia="zh-CN"/>
        </w:rPr>
        <w:t xml:space="preserve">个三级指标构成，权重分值为20分，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项目</w:t>
      </w:r>
      <w:r>
        <w:rPr>
          <w:rFonts w:hint="eastAsia"/>
          <w:color w:val="auto"/>
          <w:sz w:val="32"/>
          <w:szCs w:val="32"/>
          <w:highlight w:val="none"/>
          <w:lang w:val="en-US" w:eastAsia="zh-CN"/>
        </w:rPr>
        <w:t xml:space="preserve">依据</w:t>
      </w:r>
      <w:r>
        <w:rPr>
          <w:rFonts w:ascii="仿宋_GB2312" w:hint="eastAsia"/>
          <w:color w:val="auto"/>
          <w:sz w:val="32"/>
          <w:szCs w:val="32"/>
          <w:highlight w:val="none"/>
          <w:lang w:val="en-US" w:eastAsia="zh-CN"/>
        </w:rPr>
        <w:t xml:space="preserve">国务院办公厅印发的《农村人居环境整治提升五年行动方案（2021-2025年）》（厅字[2021]44号）</w:t>
      </w:r>
      <w:r>
        <w:rPr>
          <w:rFonts w:hint="eastAsia"/>
          <w:color w:val="auto"/>
          <w:sz w:val="32"/>
          <w:szCs w:val="32"/>
          <w:highlight w:val="none"/>
          <w:lang w:val="en-US" w:eastAsia="zh-CN"/>
        </w:rPr>
        <w:t xml:space="preserve">设立，立项符合国家法律法规、国民经济发展规划和相关政策，符合行业发展规划和政策要求，与部门职责范围相符，属于“依据国家地方相关政策法规以及卫生县城创建等要求，制定本地区除四害工作的整体规划和年度计划，明确工作目标，任务和重点区域，控制病媒生物传播风险，保障公众健康安全”职能</w:t>
      </w:r>
      <w:r>
        <w:rPr>
          <w:rFonts w:hint="eastAsia"/>
          <w:color w:val="auto"/>
          <w:sz w:val="32"/>
          <w:szCs w:val="32"/>
          <w:highlight w:val="none"/>
          <w:lang w:val="en-US" w:eastAsia="zh-CN"/>
        </w:rPr>
        <w:t xml:space="preserve">范围及公共财政支持范围，符合中央、地方事权支出责任划分原则，与部门同类项目或部门内部相关项目未重复，</w:t>
      </w:r>
      <w:r>
        <w:rPr>
          <w:rFonts w:ascii="Times New Roman" w:eastAsia="仿宋_GB2312" w:hAnsi="Times New Roman" w:cs="Times New Roman" w:hint="default"/>
          <w:color w:val="auto"/>
          <w:sz w:val="32"/>
          <w:szCs w:val="32"/>
          <w:highlight w:val="none"/>
          <w:lang w:val="en-US" w:eastAsia="zh-CN"/>
        </w:rPr>
        <w:t xml:space="preserve">部门发展规划及职能文件等归档完整</w:t>
      </w:r>
      <w:r>
        <w:rPr>
          <w:rFonts w:ascii="Times New Roman" w:hAnsi="Times New Roman" w:cs="Times New Roman" w:hint="eastAsia"/>
          <w:color w:val="auto"/>
          <w:sz w:val="32"/>
          <w:szCs w:val="32"/>
          <w:highlight w:val="none"/>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lang w:val="en-US"/>
        </w:rPr>
        <w:t xml:space="preserve">年初结合实际工作内容</w:t>
      </w:r>
      <w:r>
        <w:rPr>
          <w:rFonts w:ascii="Times New Roman" w:eastAsia="仿宋_GB2312" w:hAnsi="Times New Roman" w:cs="Times New Roman" w:hint="default"/>
          <w:color w:val="auto"/>
          <w:sz w:val="32"/>
          <w:szCs w:val="32"/>
          <w:highlight w:val="none"/>
          <w:lang w:val="en-US" w:eastAsia="zh-CN"/>
        </w:rPr>
        <w:t xml:space="preserve">设定绩效目标</w:t>
      </w:r>
      <w:r>
        <w:rPr>
          <w:rFonts w:ascii="Times New Roman" w:eastAsia="仿宋_GB2312" w:hAnsi="Times New Roman" w:cs="Times New Roman" w:hint="default"/>
          <w:color w:val="auto"/>
          <w:sz w:val="32"/>
          <w:szCs w:val="32"/>
          <w:highlight w:val="none"/>
          <w:lang w:val="en-US"/>
        </w:rPr>
        <w:t xml:space="preserve">，绩效目标</w:t>
      </w:r>
      <w:r>
        <w:rPr>
          <w:rFonts w:ascii="Times New Roman" w:eastAsia="仿宋_GB2312" w:hAnsi="Times New Roman" w:cs="Times New Roman" w:hint="default"/>
          <w:color w:val="auto"/>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2" w:name="_Hlk68699917"/>
      <w:r>
        <w:rPr>
          <w:rFonts w:ascii="Times New Roman" w:eastAsia="仿宋_GB2312" w:hAnsi="Times New Roman" w:cs="Times New Roman" w:hint="default"/>
          <w:color w:val="auto"/>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hAnsi="Times New Roman" w:cs="Times New Roman" w:hint="eastAsia"/>
          <w:color w:val="auto"/>
          <w:sz w:val="32"/>
          <w:szCs w:val="32"/>
          <w:highlight w:val="none"/>
          <w:lang w:val="en-US" w:eastAsia="zh-CN"/>
        </w:rPr>
        <w:t xml:space="preserve">，其中</w:t>
      </w:r>
      <w:r>
        <w:rPr>
          <w:rFonts w:hint="eastAsia"/>
          <w:color w:val="auto"/>
          <w:sz w:val="32"/>
          <w:szCs w:val="32"/>
          <w:highlight w:val="none"/>
          <w:lang w:eastAsia="zh-CN"/>
        </w:rPr>
        <w:t xml:space="preserve">：</w:t>
      </w:r>
      <w:r>
        <w:rPr>
          <w:rFonts w:hint="eastAsia"/>
          <w:color w:val="auto"/>
          <w:sz w:val="32"/>
          <w:szCs w:val="32"/>
          <w:highlight w:val="none"/>
        </w:rPr>
        <w:t xml:space="preserve">一级指标</w:t>
      </w:r>
      <w:r>
        <w:rPr>
          <w:rFonts w:cs="Times New Roman" w:hint="eastAsia"/>
          <w:b w:val="0"/>
          <w:bCs w:val="0"/>
          <w:color w:val="auto"/>
          <w:kern w:val="2"/>
          <w:sz w:val="32"/>
          <w:szCs w:val="32"/>
          <w:highlight w:val="none"/>
          <w:lang w:val="en-US" w:eastAsia="zh-CN" w:bidi="ar-SA"/>
        </w:rPr>
        <w:t xml:space="preserve">4</w:t>
      </w:r>
      <w:r>
        <w:rPr>
          <w:rFonts w:hint="eastAsia"/>
          <w:color w:val="auto"/>
          <w:sz w:val="32"/>
          <w:szCs w:val="32"/>
          <w:highlight w:val="none"/>
        </w:rPr>
        <w:t xml:space="preserve">条，二级指标</w:t>
      </w:r>
      <w:r>
        <w:rPr>
          <w:rFonts w:hint="eastAsia"/>
          <w:color w:val="auto"/>
          <w:sz w:val="32"/>
          <w:szCs w:val="32"/>
          <w:highlight w:val="none"/>
          <w:lang w:val="en-US" w:eastAsia="zh-CN"/>
        </w:rPr>
        <w:t xml:space="preserve">11</w:t>
      </w:r>
      <w:r>
        <w:rPr>
          <w:rFonts w:hint="eastAsia"/>
          <w:color w:val="auto"/>
          <w:sz w:val="32"/>
          <w:szCs w:val="32"/>
          <w:highlight w:val="none"/>
        </w:rPr>
        <w:t xml:space="preserve">条，三级指标</w:t>
      </w:r>
      <w:r>
        <w:rPr>
          <w:rFonts w:hint="eastAsia"/>
          <w:color w:val="auto"/>
          <w:sz w:val="32"/>
          <w:szCs w:val="32"/>
          <w:highlight w:val="none"/>
          <w:lang w:val="en-US" w:eastAsia="zh-CN"/>
        </w:rPr>
        <w:t xml:space="preserve">11</w:t>
      </w:r>
      <w:r>
        <w:rPr>
          <w:rFonts w:hint="eastAsia"/>
          <w:color w:val="auto"/>
          <w:sz w:val="32"/>
          <w:szCs w:val="32"/>
          <w:highlight w:val="none"/>
        </w:rPr>
        <w:t xml:space="preserve">条，量化指标</w:t>
      </w:r>
      <w:r>
        <w:rPr>
          <w:rFonts w:cs="Times New Roman" w:hint="eastAsia"/>
          <w:b w:val="0"/>
          <w:bCs w:val="0"/>
          <w:color w:val="auto"/>
          <w:kern w:val="2"/>
          <w:sz w:val="32"/>
          <w:szCs w:val="32"/>
          <w:highlight w:val="none"/>
          <w:lang w:val="en-US" w:eastAsia="zh-CN" w:bidi="ar-SA"/>
        </w:rPr>
        <w:t xml:space="preserve">9</w:t>
      </w:r>
      <w:r>
        <w:rPr>
          <w:rFonts w:hint="eastAsia"/>
          <w:color w:val="auto"/>
          <w:sz w:val="32"/>
          <w:szCs w:val="32"/>
          <w:highlight w:val="none"/>
        </w:rPr>
        <w:t xml:space="preserve">条，</w:t>
      </w:r>
      <w:r>
        <w:rPr>
          <w:rFonts w:hint="eastAsia"/>
          <w:color w:val="auto"/>
          <w:sz w:val="32"/>
          <w:szCs w:val="32"/>
          <w:highlight w:val="none"/>
          <w:lang w:val="en-US" w:eastAsia="zh-CN"/>
        </w:rPr>
        <w:t xml:space="preserve">量化率</w:t>
      </w:r>
      <w:r>
        <w:rPr>
          <w:rFonts w:hint="eastAsia"/>
          <w:color w:val="auto"/>
          <w:sz w:val="32"/>
          <w:szCs w:val="32"/>
          <w:highlight w:val="none"/>
          <w:lang w:val="en-US" w:eastAsia="zh-CN"/>
        </w:rPr>
        <w:t xml:space="preserve">81.82%</w:t>
      </w:r>
      <w:r>
        <w:rPr>
          <w:rFonts w:hint="eastAsia"/>
          <w:color w:val="auto"/>
          <w:sz w:val="32"/>
          <w:szCs w:val="32"/>
          <w:highlight w:val="none"/>
        </w:rPr>
        <w:t xml:space="preserve">。</w:t>
      </w:r>
      <w:bookmarkEnd w:id="12"/>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6</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bookmarkStart w:id="13" w:name="_Toc68703839"/>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（二）项目过程情况。</w:t>
      </w:r>
      <w:bookmarkEnd w:id="13"/>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w:t>
      </w:r>
      <w:r>
        <w:rPr>
          <w:rFonts w:ascii="Times New Roman" w:eastAsia="仿宋_GB2312" w:hAnsi="Times New Roman" w:cs="Times New Roman" w:hint="default"/>
          <w:color w:val="auto"/>
          <w:sz w:val="32"/>
          <w:szCs w:val="32"/>
          <w:highlight w:val="none"/>
          <w:lang w:val="en-US" w:eastAsia="zh-CN"/>
        </w:rPr>
        <w:t xml:space="preserve">5个</w:t>
      </w:r>
      <w:r>
        <w:rPr>
          <w:rFonts w:ascii="Times New Roman" w:eastAsia="仿宋_GB2312" w:hAnsi="Times New Roman" w:cs="Times New Roman" w:hint="default"/>
          <w:color w:val="auto"/>
          <w:sz w:val="32"/>
          <w:szCs w:val="32"/>
          <w:highlight w:val="none"/>
          <w:lang w:val="en-US" w:eastAsia="zh-CN"/>
        </w:rPr>
        <w:t xml:space="preserve">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w:t>
      </w:r>
      <w:r>
        <w:rPr>
          <w:rFonts w:ascii="Times New Roman" w:eastAsia="仿宋_GB2312" w:hAnsi="Times New Roman" w:cs="Times New Roman" w:hint="default"/>
          <w:color w:val="auto"/>
          <w:sz w:val="32"/>
          <w:szCs w:val="32"/>
          <w:highlight w:val="none"/>
          <w:lang w:val="en-US" w:eastAsia="zh-CN"/>
        </w:rPr>
        <w:t xml:space="preserve">总投资</w:t>
      </w:r>
      <w:r>
        <w:rPr>
          <w:rFonts w:cs="Times New Roman" w:hint="eastAsia"/>
          <w:color w:val="auto"/>
          <w:sz w:val="32"/>
          <w:szCs w:val="32"/>
          <w:highlight w:val="none"/>
          <w:lang w:val="en-US" w:eastAsia="zh-CN"/>
        </w:rPr>
        <w:t xml:space="preserve">24.05</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预算资金按计划进度执行。</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预算编制较为详细，项目资金支出总体能够按照预算执行，</w:t>
      </w:r>
      <w:r>
        <w:rPr>
          <w:rFonts w:ascii="Times New Roman" w:eastAsia="仿宋_GB2312" w:hAnsi="Times New Roman" w:cs="Times New Roman" w:hint="default"/>
          <w:color w:val="auto"/>
          <w:sz w:val="32"/>
          <w:szCs w:val="32"/>
          <w:highlight w:val="none"/>
          <w:lang w:val="en-US" w:eastAsia="zh-CN"/>
        </w:rPr>
        <w:t xml:space="preserve">预算资金支出</w:t>
      </w:r>
      <w:r>
        <w:rPr>
          <w:rFonts w:cs="Times New Roman" w:hint="eastAsia"/>
          <w:color w:val="auto"/>
          <w:sz w:val="32"/>
          <w:szCs w:val="32"/>
          <w:highlight w:val="none"/>
          <w:lang w:val="en-US" w:eastAsia="zh-CN"/>
        </w:rPr>
        <w:t xml:space="preserve">24.05</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highlight w:val="none"/>
          <w:lang w:val="en-US" w:eastAsia="zh-CN"/>
        </w:rPr>
        <w:t xml:space="preserve">单位</w:t>
      </w:r>
      <w:r>
        <w:rPr>
          <w:rFonts w:ascii="Times New Roman" w:eastAsia="仿宋_GB2312" w:hAnsi="Times New Roman" w:cs="Times New Roman" w:hint="default"/>
          <w:color w:val="auto"/>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r>
        <w:rPr>
          <w:rFonts w:hint="eastAsia"/>
          <w:color w:val="auto"/>
          <w:sz w:val="32"/>
          <w:szCs w:val="32"/>
          <w:highlight w:val="none"/>
          <w:lang w:val="en-US" w:eastAsia="zh-CN"/>
        </w:rPr>
        <w:t xml:space="preserve">本项指标满分4分，得</w:t>
      </w:r>
      <w:r>
        <w:rPr>
          <w:rFonts w:hint="eastAsia"/>
          <w:color w:val="auto"/>
          <w:sz w:val="32"/>
          <w:szCs w:val="32"/>
          <w:highlight w:val="none"/>
          <w:lang w:val="en-US" w:eastAsia="zh-CN"/>
        </w:rPr>
        <w:t xml:space="preserve">4</w:t>
      </w:r>
      <w:r>
        <w:rPr>
          <w:rFonts w:hint="eastAsia"/>
          <w:color w:val="auto"/>
          <w:sz w:val="32"/>
          <w:szCs w:val="32"/>
          <w:highlight w:val="none"/>
          <w:lang w:val="en-US" w:eastAsia="zh-CN"/>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bookmarkStart w:id="14" w:name="_Toc68703840"/>
      <w:r>
        <w:rPr>
          <w:rFonts w:hint="eastAsia"/>
          <w:b/>
          <w:bCs/>
          <w:color w:val="auto"/>
          <w:sz w:val="32"/>
          <w:szCs w:val="32"/>
          <w:highlight w:val="none"/>
          <w:lang w:val="en-US" w:eastAsia="zh-CN"/>
        </w:rPr>
        <w:t xml:space="preserve">（三）</w:t>
      </w:r>
      <w:r>
        <w:rPr>
          <w:rFonts w:ascii="仿宋_GB2312" w:eastAsia="仿宋_GB2312" w:hint="eastAsia"/>
          <w:b/>
          <w:bCs/>
          <w:color w:val="auto"/>
          <w:sz w:val="32"/>
          <w:szCs w:val="32"/>
          <w:highlight w:val="none"/>
        </w:rPr>
        <w:t xml:space="preserve">项目产出情况。</w:t>
      </w:r>
      <w:bookmarkEnd w:id="14"/>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项目产出类指标包括产出数量、产出质量、产出时效、产出成本四方面的内容</w:t>
      </w:r>
      <w:r>
        <w:rPr>
          <w:rFonts w:ascii="Times New Roman" w:eastAsia="仿宋_GB2312" w:hAnsi="Times New Roman" w:cs="Times New Roman" w:hint="default"/>
          <w:color w:val="auto"/>
          <w:sz w:val="32"/>
          <w:szCs w:val="32"/>
          <w:highlight w:val="none"/>
          <w:lang w:val="en-US" w:eastAsia="zh-CN"/>
        </w:rPr>
        <w:t xml:space="preserve">，由</w:t>
      </w:r>
      <w:r>
        <w:rPr>
          <w:rFonts w:cs="Times New Roman" w:hint="eastAsia"/>
          <w:color w:val="auto"/>
          <w:sz w:val="32"/>
          <w:szCs w:val="32"/>
          <w:highlight w:val="none"/>
          <w:lang w:val="en-US" w:eastAsia="zh-CN"/>
        </w:rPr>
        <w:t xml:space="preserve">8</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w:t>
      </w:r>
      <w:r>
        <w:rPr>
          <w:rFonts w:hint="eastAsia"/>
          <w:b/>
          <w:bCs/>
          <w:color w:val="auto"/>
          <w:sz w:val="32"/>
          <w:szCs w:val="32"/>
          <w:highlight w:val="none"/>
        </w:rPr>
        <w:t xml:space="preserve">数量指标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病媒生物防治监测消杀服务次数</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4次</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4次</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指标2：卫生县城复审宣传品制作种类</w:t>
      </w:r>
      <w:r>
        <w:rPr>
          <w:rFonts w:hint="eastAsia"/>
          <w:color w:val="auto"/>
          <w:sz w:val="32"/>
          <w:szCs w:val="32"/>
          <w:highlight w:val="none"/>
          <w:lang w:eastAsia="zh-CN"/>
        </w:rPr>
        <w:t xml:space="preserve">，</w:t>
      </w:r>
      <w:r>
        <w:rPr>
          <w:rFonts w:hint="eastAsia"/>
          <w:color w:val="auto"/>
          <w:sz w:val="32"/>
          <w:szCs w:val="32"/>
          <w:highlight w:val="none"/>
        </w:rPr>
        <w:t xml:space="preserve">指标值：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4种</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4种</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质量指标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病媒生物防治监测消杀合格率，</w:t>
      </w:r>
      <w:r>
        <w:rPr>
          <w:rFonts w:hint="eastAsia"/>
          <w:color w:val="auto"/>
          <w:sz w:val="32"/>
          <w:szCs w:val="32"/>
          <w:highlight w:val="none"/>
        </w:rPr>
        <w:t xml:space="preserve">指标值：</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指标2：卫生县城复审宣传品质量合格率，指标值：</w:t>
      </w:r>
      <w:r>
        <w:rPr>
          <w:rFonts w:hint="eastAsia"/>
          <w:color w:val="auto"/>
          <w:sz w:val="32"/>
          <w:szCs w:val="32"/>
          <w:highlight w:val="none"/>
          <w:lang w:val="en-US" w:eastAsia="zh-CN"/>
        </w:rPr>
        <w:t xml:space="preserve">=</w:t>
      </w:r>
      <w:r>
        <w:rPr>
          <w:rFonts w:ascii="Times New Roman" w:eastAsia="仿宋_GB2312" w:hAnsi="Times New Roman" w:cs="Times New Roman" w:hint="eastAsia"/>
          <w:b w:val="0"/>
          <w:bCs w:val="0"/>
          <w:color w:val="auto"/>
          <w:kern w:val="2"/>
          <w:sz w:val="32"/>
          <w:szCs w:val="32"/>
          <w:highlight w:val="none"/>
          <w:lang w:val="en-US" w:eastAsia="zh-CN" w:bidi="ar-SA"/>
        </w:rPr>
        <w:t xml:space="preserve">100%，实际完成值：100%，指标完成率100%，偏差原因：无；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3.时效</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病媒生物防治监测消杀及时率</w:t>
      </w:r>
      <w:r>
        <w:rPr>
          <w:rFonts w:hint="eastAsia"/>
          <w:color w:val="auto"/>
          <w:sz w:val="32"/>
          <w:szCs w:val="32"/>
          <w:highlight w:val="none"/>
        </w:rPr>
        <w:t xml:space="preserve">，</w:t>
      </w:r>
      <w:r>
        <w:rPr>
          <w:rFonts w:ascii="Times New Roman" w:eastAsia="仿宋_GB2312" w:hAnsi="Times New Roman" w:cs="Times New Roman" w:hint="eastAsia"/>
          <w:b w:val="0"/>
          <w:bCs w:val="0"/>
          <w:color w:val="auto"/>
          <w:kern w:val="2"/>
          <w:sz w:val="32"/>
          <w:szCs w:val="32"/>
          <w:highlight w:val="none"/>
          <w:lang w:val="en-US" w:eastAsia="zh-CN" w:bidi="ar-SA"/>
        </w:rPr>
        <w:t xml:space="preserve">指标值：</w:t>
      </w:r>
      <w:r>
        <w:rPr>
          <w:rFonts w:hint="eastAsia"/>
          <w:color w:val="auto"/>
          <w:sz w:val="32"/>
          <w:szCs w:val="32"/>
          <w:highlight w:val="none"/>
          <w:lang w:val="en-US" w:eastAsia="zh-CN"/>
        </w:rPr>
        <w:t xml:space="preserve">=</w:t>
      </w:r>
      <w:r>
        <w:rPr>
          <w:rFonts w:ascii="Times New Roman" w:eastAsia="仿宋_GB2312" w:hAnsi="Times New Roman" w:cs="Times New Roman" w:hint="eastAsia"/>
          <w:b w:val="0"/>
          <w:bCs w:val="0"/>
          <w:color w:val="auto"/>
          <w:kern w:val="2"/>
          <w:sz w:val="32"/>
          <w:szCs w:val="32"/>
          <w:highlight w:val="none"/>
          <w:lang w:val="en-US" w:eastAsia="zh-CN" w:bidi="ar-SA"/>
        </w:rPr>
        <w:t xml:space="preserve">100%，实际完成值：100%，指标完成率100%，偏差原因：无；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指标2：卫生县城复审宣传及时率，指标值：</w:t>
      </w:r>
      <w:r>
        <w:rPr>
          <w:rFonts w:hint="eastAsia"/>
          <w:color w:val="auto"/>
          <w:sz w:val="32"/>
          <w:szCs w:val="32"/>
          <w:highlight w:val="none"/>
          <w:lang w:val="en-US" w:eastAsia="zh-CN"/>
        </w:rPr>
        <w:t xml:space="preserve">=</w:t>
      </w:r>
      <w:r>
        <w:rPr>
          <w:rFonts w:ascii="Times New Roman" w:eastAsia="仿宋_GB2312" w:hAnsi="Times New Roman" w:cs="Times New Roman" w:hint="eastAsia"/>
          <w:b w:val="0"/>
          <w:bCs w:val="0"/>
          <w:color w:val="auto"/>
          <w:kern w:val="2"/>
          <w:sz w:val="32"/>
          <w:szCs w:val="32"/>
          <w:highlight w:val="none"/>
          <w:lang w:val="en-US" w:eastAsia="zh-CN" w:bidi="ar-SA"/>
        </w:rPr>
        <w:t xml:space="preserve">100%，实际完成值：100%，指标完成率100%，偏差原因：无；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X</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4.成本</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病媒生物防治成本控制数</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eastAsia="zh-CN"/>
        </w:rPr>
        <w:t xml:space="preserve">≤</w:t>
      </w:r>
      <w:r>
        <w:rPr>
          <w:rFonts w:hint="eastAsia"/>
          <w:color w:val="auto"/>
          <w:sz w:val="32"/>
          <w:szCs w:val="32"/>
          <w:highlight w:val="none"/>
        </w:rPr>
        <w:t xml:space="preserve">13.40万元</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rPr>
        <w:t xml:space="preserve">13.40万元</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w:t>
      </w:r>
      <w:r>
        <w:rPr>
          <w:rFonts w:ascii="Times New Roman" w:eastAsia="仿宋_GB2312" w:hAnsi="Times New Roman" w:cs="Times New Roman" w:hint="eastAsia"/>
          <w:b w:val="0"/>
          <w:bCs w:val="0"/>
          <w:color w:val="auto"/>
          <w:kern w:val="2"/>
          <w:sz w:val="32"/>
          <w:szCs w:val="32"/>
          <w:highlight w:val="none"/>
          <w:lang w:val="en-US" w:eastAsia="zh-CN" w:bidi="ar-SA"/>
        </w:rPr>
        <w:t xml:space="preserve">卫生县城复审宣传品制作成本控制数，指标值：≤10.65万元，实际完成值：10.65万元，指标完成率100%，偏差原因：无；</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5" w:name="_Toc68703841"/>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1.社会效益</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提高居民病媒生物防治意识</w:t>
      </w:r>
      <w:r>
        <w:rPr>
          <w:rFonts w:hint="eastAsia"/>
          <w:color w:val="auto"/>
          <w:sz w:val="32"/>
          <w:szCs w:val="32"/>
          <w:highlight w:val="none"/>
        </w:rPr>
        <w:t xml:space="preserve">，</w:t>
      </w:r>
      <w:r>
        <w:rPr>
          <w:rFonts w:hint="eastAsia"/>
          <w:color w:val="auto"/>
          <w:sz w:val="32"/>
          <w:szCs w:val="32"/>
          <w:highlight w:val="none"/>
        </w:rPr>
        <w:t xml:space="preserve">指标值：显著提高</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：达成目标</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w:t>
      </w:r>
      <w:r>
        <w:rPr>
          <w:rFonts w:ascii="Times New Roman" w:eastAsia="仿宋_GB2312" w:hAnsi="Times New Roman" w:cs="Times New Roman" w:hint="eastAsia"/>
          <w:b w:val="0"/>
          <w:bCs w:val="0"/>
          <w:color w:val="auto"/>
          <w:kern w:val="2"/>
          <w:sz w:val="32"/>
          <w:szCs w:val="32"/>
          <w:highlight w:val="none"/>
          <w:lang w:val="en-US" w:eastAsia="zh-CN" w:bidi="ar-SA"/>
        </w:rPr>
        <w:t xml:space="preserve">国家卫生县城成果，指标值：有效，实际完成值：达成目标，指标完成率100%，偏差原因：无；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2.满意度</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群众满意度</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95%</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95%</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r>
        <w:rPr>
          <w:rFonts w:hint="eastAsia"/>
          <w:color w:val="auto"/>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6"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Style w:val="闻政-正文段落文字"/>
        <w:pageBreakBefore w:val="0"/>
        <w:kinsoku/>
        <w:wordWrap/>
        <w:overflowPunct/>
        <w:topLinePunct w:val="0"/>
        <w:autoSpaceDE/>
        <w:autoSpaceDN/>
        <w:bidi w:val="0"/>
        <w:adjustRightInd/>
        <w:snapToGrid/>
        <w:spacing w:line="560" w:lineRule="exact"/>
        <w:ind w:firstLine="620" w:firstLineChars="200"/>
        <w:textAlignment w:val="auto"/>
        <w:rPr>
          <w:rFonts w:ascii="Times New Roman" w:eastAsia="仿宋_GB2312" w:hAnsi="Times New Roman" w:cs="Times New Roman" w:hint="eastAsia"/>
          <w:color w:val="auto"/>
          <w:kern w:val="2"/>
          <w:sz w:val="32"/>
          <w:szCs w:val="32"/>
          <w:highlight w:val="none"/>
          <w:lang w:val="en-US" w:eastAsia="zh-CN" w:bidi="ar-SA"/>
        </w:rPr>
      </w:pPr>
      <w:r>
        <w:rPr>
          <w:rFonts w:ascii="仿宋" w:eastAsia="仿宋" w:hAnsi="仿宋" w:cs="仿宋"/>
          <w:color w:val="auto"/>
          <w:spacing w:val="5"/>
          <w:sz w:val="31"/>
          <w:szCs w:val="31"/>
          <w:highlight w:val="none"/>
        </w:rPr>
        <w:t xml:space="preserve">卫健委：</w:t>
      </w:r>
      <w:r>
        <w:rPr>
          <w:rFonts w:ascii="仿宋" w:eastAsia="仿宋" w:hAnsi="仿宋" w:cs="仿宋"/>
          <w:color w:val="auto"/>
          <w:spacing w:val="-76"/>
          <w:sz w:val="31"/>
          <w:szCs w:val="31"/>
          <w:highlight w:val="none"/>
        </w:rPr>
        <w:t xml:space="preserve"> </w:t>
      </w:r>
      <w:r>
        <w:rPr>
          <w:rFonts w:ascii="仿宋" w:eastAsia="仿宋" w:hAnsi="仿宋" w:cs="仿宋"/>
          <w:color w:val="auto"/>
          <w:spacing w:val="5"/>
          <w:sz w:val="31"/>
          <w:szCs w:val="31"/>
          <w:highlight w:val="none"/>
        </w:rPr>
        <w:t xml:space="preserve">国家卫生县城复审经费</w:t>
      </w:r>
      <w:r>
        <w:rPr>
          <w:rFonts w:ascii="Times New Roman" w:eastAsia="仿宋_GB2312" w:hAnsi="Times New Roman" w:cs="Times New Roman" w:hint="eastAsia"/>
          <w:color w:val="auto"/>
          <w:kern w:val="2"/>
          <w:sz w:val="32"/>
          <w:szCs w:val="32"/>
          <w:highlight w:val="none"/>
          <w:lang w:val="en-US" w:eastAsia="zh-CN" w:bidi="ar-SA"/>
        </w:rPr>
        <w:t xml:space="preserve">项目年初预算</w:t>
      </w:r>
      <w:r>
        <w:rPr>
          <w:rFonts w:cs="Times New Roman" w:hint="eastAsia"/>
          <w:color w:val="auto"/>
          <w:kern w:val="2"/>
          <w:sz w:val="32"/>
          <w:szCs w:val="32"/>
          <w:highlight w:val="none"/>
          <w:lang w:val="en-US" w:eastAsia="zh-CN" w:bidi="ar-SA"/>
        </w:rPr>
        <w:t xml:space="preserve">24.05</w:t>
      </w:r>
      <w:r>
        <w:rPr>
          <w:rFonts w:ascii="Times New Roman" w:eastAsia="仿宋_GB2312" w:hAnsi="Times New Roman" w:cs="Times New Roman" w:hint="eastAsia"/>
          <w:color w:val="auto"/>
          <w:kern w:val="2"/>
          <w:sz w:val="32"/>
          <w:szCs w:val="32"/>
          <w:highlight w:val="none"/>
          <w:lang w:val="en-US" w:eastAsia="zh-CN" w:bidi="ar-SA"/>
        </w:rPr>
        <w:t xml:space="preserve">万元，全年预</w:t>
      </w:r>
      <w:r>
        <w:rPr>
          <w:rFonts w:cs="Times New Roman" w:hint="eastAsia"/>
          <w:color w:val="auto"/>
          <w:kern w:val="2"/>
          <w:sz w:val="32"/>
          <w:szCs w:val="32"/>
          <w:highlight w:val="none"/>
          <w:lang w:val="en-US" w:eastAsia="zh-CN" w:bidi="ar-SA"/>
        </w:rPr>
        <w:t xml:space="preserve">24.05</w:t>
      </w:r>
      <w:r>
        <w:rPr>
          <w:rFonts w:ascii="Times New Roman" w:eastAsia="仿宋_GB2312" w:hAnsi="Times New Roman" w:cs="Times New Roman" w:hint="eastAsia"/>
          <w:color w:val="auto"/>
          <w:kern w:val="2"/>
          <w:sz w:val="32"/>
          <w:szCs w:val="32"/>
          <w:highlight w:val="none"/>
          <w:lang w:val="en-US" w:eastAsia="zh-CN" w:bidi="ar-SA"/>
        </w:rPr>
        <w:t xml:space="preserve">万元，实际支出</w:t>
      </w:r>
      <w:r>
        <w:rPr>
          <w:rFonts w:cs="Times New Roman" w:hint="eastAsia"/>
          <w:color w:val="auto"/>
          <w:kern w:val="2"/>
          <w:sz w:val="32"/>
          <w:szCs w:val="32"/>
          <w:highlight w:val="none"/>
          <w:lang w:val="en-US" w:eastAsia="zh-CN" w:bidi="ar-SA"/>
        </w:rPr>
        <w:t xml:space="preserve">24.05</w:t>
      </w:r>
      <w:r>
        <w:rPr>
          <w:rFonts w:ascii="Times New Roman" w:eastAsia="仿宋_GB2312" w:hAnsi="Times New Roman" w:cs="Times New Roman" w:hint="eastAsia"/>
          <w:color w:val="auto"/>
          <w:kern w:val="2"/>
          <w:sz w:val="32"/>
          <w:szCs w:val="32"/>
          <w:highlight w:val="none"/>
          <w:lang w:val="en-US" w:eastAsia="zh-CN" w:bidi="ar-SA"/>
        </w:rPr>
        <w:t xml:space="preserve">万元，预算执行率为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%，项目绩效指标总体完成率为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cs="Times New Roman" w:hint="eastAsia"/>
          <w:color w:val="auto"/>
          <w:kern w:val="2"/>
          <w:sz w:val="32"/>
          <w:szCs w:val="32"/>
          <w:highlight w:val="none"/>
          <w:lang w:val="en-US" w:eastAsia="zh-CN" w:bidi="ar-SA"/>
        </w:rPr>
        <w:t xml:space="preserve">无偏差</w:t>
      </w:r>
      <w:r>
        <w:rPr>
          <w:rFonts w:ascii="Times New Roman" w:eastAsia="仿宋_GB2312" w:hAnsi="Times New Roman" w:cs="Times New Roman" w:hint="eastAsia"/>
          <w:color w:val="auto"/>
          <w:kern w:val="2"/>
          <w:sz w:val="32"/>
          <w:szCs w:val="32"/>
          <w:highlight w:val="none"/>
          <w:lang w:val="en-US" w:eastAsia="zh-CN" w:bidi="ar-SA"/>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lang w:val="en-US" w:eastAsia="zh-CN"/>
        </w:rPr>
        <w:t xml:space="preserve">五</w:t>
      </w:r>
      <w:r>
        <w:rPr>
          <w:rFonts w:ascii="宋体" w:eastAsia="宋体" w:hAnsi="宋体" w:hint="eastAsia"/>
          <w:color w:val="auto"/>
          <w:sz w:val="32"/>
          <w:szCs w:val="32"/>
          <w:highlight w:val="none"/>
        </w:rPr>
        <w:t xml:space="preserve">、主要经验及做法、存在的问题及原因分析</w:t>
      </w:r>
      <w:bookmarkEnd w:id="16"/>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bookmarkStart w:id="17" w:name="_Toc68703843"/>
      <w:r>
        <w:rPr>
          <w:rFonts w:ascii="仿宋_GB2312" w:eastAsia="仿宋_GB2312" w:hint="eastAsia"/>
          <w:b/>
          <w:bCs/>
          <w:color w:val="auto"/>
          <w:sz w:val="32"/>
          <w:szCs w:val="32"/>
          <w:highlight w:val="none"/>
        </w:rPr>
        <w:t xml:space="preserve">（一）主要经验及做法</w:t>
      </w:r>
      <w:bookmarkEnd w:id="17"/>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color w:val="auto"/>
          <w:kern w:val="2"/>
          <w:sz w:val="32"/>
          <w:szCs w:val="32"/>
          <w:highlight w:val="none"/>
          <w:lang w:val="en-US" w:eastAsia="zh-CN" w:bidi="ar-SA"/>
        </w:rPr>
      </w:pPr>
      <w:r>
        <w:rPr>
          <w:rFonts w:hint="eastAsia"/>
          <w:color w:val="auto"/>
          <w:sz w:val="32"/>
          <w:szCs w:val="32"/>
          <w:highlight w:val="none"/>
          <w:lang w:val="en-US" w:eastAsia="zh-CN"/>
        </w:rPr>
        <w:t xml:space="preserve">1.</w:t>
      </w:r>
      <w:r>
        <w:rPr>
          <w:rFonts w:hint="eastAsia"/>
          <w:color w:val="auto"/>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18" w:name="_Toc68703844"/>
    </w:p>
    <w:p>
      <w:pPr>
        <w:pStyle w:val="Heading3"/>
        <w:pageBreakBefore w:val="0"/>
        <w:kinsoku/>
        <w:wordWrap/>
        <w:overflowPunct/>
        <w:topLinePunct w:val="0"/>
        <w:autoSpaceDE/>
        <w:autoSpaceDN/>
        <w:bidi w:val="0"/>
        <w:adjustRightInd/>
        <w:snapToGrid/>
        <w:spacing w:beforeLines="0" w:afterLines="0" w:line="560" w:lineRule="exact"/>
        <w:ind w:firstLine="640" w:firstLineChars="200"/>
        <w:textAlignment w:val="auto"/>
        <w:rPr>
          <w:rFonts w:ascii="Times New Roman" w:eastAsia="仿宋_GB2312" w:hAnsi="Times New Roman" w:cs="Times New Roman" w:hint="default"/>
          <w:b w:val="0"/>
          <w:color w:val="auto"/>
          <w:kern w:val="2"/>
          <w:sz w:val="32"/>
          <w:szCs w:val="32"/>
          <w:highlight w:val="none"/>
          <w:lang w:val="en-US" w:eastAsia="zh-CN" w:bidi="ar-SA"/>
        </w:rPr>
      </w:pPr>
      <w:r>
        <w:rPr>
          <w:rFonts w:cs="Times New Roman" w:hint="eastAsia"/>
          <w:b w:val="0"/>
          <w:color w:val="auto"/>
          <w:kern w:val="2"/>
          <w:sz w:val="32"/>
          <w:szCs w:val="32"/>
          <w:highlight w:val="none"/>
          <w:lang w:val="en-US" w:eastAsia="zh-CN" w:bidi="ar-SA"/>
        </w:rPr>
        <w:t xml:space="preserve">2</w:t>
      </w:r>
      <w:r>
        <w:rPr>
          <w:rFonts w:ascii="Times New Roman" w:eastAsia="仿宋_GB2312" w:hAnsi="Times New Roman" w:cs="Times New Roman" w:hint="eastAsia"/>
          <w:b w:val="0"/>
          <w:color w:val="auto"/>
          <w:kern w:val="2"/>
          <w:sz w:val="32"/>
          <w:szCs w:val="32"/>
          <w:highlight w:val="none"/>
          <w:lang w:val="en-US" w:eastAsia="zh-CN" w:bidi="ar-SA"/>
        </w:rPr>
        <w:t xml:space="preserve">.制定绩效考核制度，推动项目高效落地。根据实施方案，合理的设置绩效考核指标，注重定量指标和定性指标的配比，用量化的指标来体现项目的完成情况；二是做好预算支出管理，优化资金使用效率。建立预算管理考评机制,将预算管理情况作为领导晋升考核、资金发放的标准，调动人员执行预算管理积极性。有效提高资金管理水平和使用效率。</w:t>
      </w:r>
    </w:p>
    <w:p>
      <w:pPr>
        <w:pStyle w:val="Title"/>
        <w:spacing w:before="0" w:after="0" w:line="560" w:lineRule="exact"/>
        <w:ind w:firstLine="640" w:firstLineChars="200"/>
        <w:jc w:val="left"/>
        <w:rPr>
          <w:rFonts w:ascii="Times New Roman" w:eastAsia="仿宋_GB2312" w:hAnsi="Times New Roman" w:cs="Times New Roman" w:hint="default"/>
          <w:b w:val="0"/>
          <w:bCs w:val="0"/>
          <w:color w:val="auto"/>
          <w:kern w:val="2"/>
          <w:highlight w:val="none"/>
        </w:rPr>
      </w:pPr>
      <w:r>
        <w:rPr>
          <w:rFonts w:ascii="仿宋_GB2312" w:hint="eastAsia"/>
          <w:b w:val="0"/>
          <w:bCs w:val="0"/>
          <w:color w:val="auto"/>
          <w:sz w:val="32"/>
          <w:szCs w:val="32"/>
          <w:highlight w:val="none"/>
          <w:lang w:val="en-US" w:eastAsia="zh-CN"/>
        </w:rPr>
        <w:t xml:space="preserve">3.</w:t>
      </w:r>
      <w:r>
        <w:rPr>
          <w:rFonts w:ascii="Times New Roman" w:eastAsia="仿宋_GB2312" w:hAnsi="Times New Roman" w:cs="Times New Roman" w:hint="default"/>
          <w:b w:val="0"/>
          <w:bCs w:val="0"/>
          <w:color w:val="auto"/>
          <w:kern w:val="2"/>
          <w:highlight w:val="none"/>
        </w:rPr>
        <w:t xml:space="preserve">严格坚持先做事、后验收、再拨付的原则，</w:t>
      </w:r>
      <w:r>
        <w:rPr>
          <w:rFonts w:ascii="Times New Roman" w:eastAsia="仿宋_GB2312" w:hAnsi="Times New Roman" w:cs="Times New Roman" w:hint="eastAsia"/>
          <w:b w:val="0"/>
          <w:bCs w:val="0"/>
          <w:color w:val="auto"/>
          <w:kern w:val="2"/>
          <w:highlight w:val="none"/>
          <w:lang w:eastAsia="zh-CN"/>
        </w:rPr>
        <w:t xml:space="preserve">杜绝</w:t>
      </w:r>
      <w:r>
        <w:rPr>
          <w:rFonts w:ascii="Times New Roman" w:eastAsia="仿宋_GB2312" w:hAnsi="Times New Roman" w:cs="Times New Roman" w:hint="default"/>
          <w:b w:val="0"/>
          <w:bCs w:val="0"/>
          <w:color w:val="auto"/>
          <w:kern w:val="2"/>
          <w:highlight w:val="none"/>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仿宋_GB2312" w:hint="eastAsia"/>
          <w:b w:val="0"/>
          <w:bCs w:val="0"/>
          <w:color w:val="auto"/>
          <w:sz w:val="32"/>
          <w:szCs w:val="32"/>
          <w:highlight w:val="none"/>
          <w:lang w:val="en-US" w:eastAsia="zh-CN"/>
        </w:rPr>
        <w:t xml:space="preserve">4</w:t>
      </w:r>
      <w:r>
        <w:rPr>
          <w:rFonts w:ascii="仿宋_GB2312" w:eastAsia="仿宋_GB2312" w:hint="eastAsia"/>
          <w:b w:val="0"/>
          <w:bCs w:val="0"/>
          <w:color w:val="auto"/>
          <w:sz w:val="32"/>
          <w:szCs w:val="32"/>
          <w:highlight w:val="none"/>
          <w:lang w:val="en-US" w:eastAsia="zh-CN"/>
        </w:rPr>
        <w:t xml:space="preserve">.</w:t>
      </w:r>
      <w:r>
        <w:rPr>
          <w:rFonts w:hint="eastAsia"/>
          <w:color w:val="auto"/>
          <w:sz w:val="32"/>
          <w:szCs w:val="32"/>
          <w:highlight w:val="none"/>
        </w:rPr>
        <w:t xml:space="preserve">在监督环节上，实行关口前移，从事后监督管理转向事前审核，事中监督和事后检查稽核相结合的监督制度上来，形成多环节全过程的监督管理格局，尽量早发现问题，早解决问题。</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r>
        <w:rPr>
          <w:rFonts w:hint="eastAsia"/>
          <w:color w:val="auto"/>
          <w:sz w:val="32"/>
          <w:szCs w:val="32"/>
          <w:highlight w:val="none"/>
          <w:lang w:val="en-US" w:eastAsia="zh-CN"/>
        </w:rPr>
        <w:t xml:space="preserve">5</w:t>
      </w:r>
      <w:r>
        <w:rPr>
          <w:rFonts w:hint="eastAsia"/>
          <w:color w:val="auto"/>
          <w:sz w:val="32"/>
          <w:szCs w:val="32"/>
          <w:highlight w:val="none"/>
        </w:rPr>
        <w:t xml:space="preserve">相关绩效管理方面专业知识的系统性学习有待加强。各项指标的设置要进一步优化、完善，主要在细化、量化上改进。在绩效自评过程中，由</w:t>
      </w:r>
      <w:r>
        <w:rPr>
          <w:rFonts w:hint="eastAsia"/>
          <w:color w:val="auto"/>
          <w:sz w:val="32"/>
          <w:szCs w:val="32"/>
          <w:highlight w:val="none"/>
        </w:rPr>
        <w:t xml:space="preserve">干部</w:t>
      </w:r>
      <w:r>
        <w:rPr>
          <w:rFonts w:hint="eastAsia"/>
          <w:color w:val="auto"/>
          <w:sz w:val="32"/>
          <w:szCs w:val="32"/>
          <w:highlight w:val="none"/>
        </w:rPr>
        <w:t xml:space="preserve">分人员缺乏相关绩效管理专业知识，自评价工作还存在自我审定的局限性，影响评价质量。</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lang w:eastAsia="zh-CN"/>
        </w:rPr>
      </w:pPr>
      <w:r>
        <w:rPr>
          <w:rFonts w:ascii="仿宋_GB2312" w:eastAsia="仿宋_GB2312" w:hint="eastAsia"/>
          <w:b/>
          <w:bCs/>
          <w:color w:val="auto"/>
          <w:sz w:val="32"/>
          <w:szCs w:val="32"/>
          <w:highlight w:val="none"/>
        </w:rPr>
        <w:t xml:space="preserve">（二）存在的问题及原因分析</w:t>
      </w:r>
      <w:bookmarkEnd w:id="18"/>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lang w:val="en-US" w:eastAsia="zh-CN"/>
        </w:rPr>
        <w:t xml:space="preserve">2.</w:t>
      </w:r>
      <w:r>
        <w:rPr>
          <w:rFonts w:hint="eastAsia"/>
          <w:color w:val="auto"/>
          <w:sz w:val="32"/>
          <w:szCs w:val="32"/>
          <w:highlight w:val="none"/>
        </w:rPr>
        <w:t xml:space="preserve">因轮岗、调动、等因素使我单位绩效工作人员流动频繁，造成了工作衔接不到位的情况。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9" w:name="_Toc68703845"/>
      <w:r>
        <w:rPr>
          <w:rFonts w:hint="eastAsia"/>
          <w:color w:val="auto"/>
          <w:sz w:val="32"/>
          <w:szCs w:val="32"/>
          <w:highlight w:val="none"/>
          <w:lang w:val="en-US" w:eastAsia="zh-CN"/>
        </w:rPr>
        <w:t xml:space="preserve">3.</w:t>
      </w:r>
      <w:r>
        <w:rPr>
          <w:rFonts w:hint="eastAsia"/>
          <w:color w:val="auto"/>
          <w:sz w:val="32"/>
          <w:szCs w:val="32"/>
          <w:highlight w:val="none"/>
        </w:rPr>
        <w:t xml:space="preserve">对项目绩效的认识还不够深入，相关知识了解还不够、掌握还不够多，把绩效管理简单等同于工作目标、工作考核和业务管理。</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highlight w:val="none"/>
        </w:rPr>
      </w:pPr>
      <w:r>
        <w:rPr>
          <w:rFonts w:ascii="宋体" w:eastAsia="宋体" w:hAnsi="宋体" w:hint="eastAsia"/>
          <w:b/>
          <w:bCs/>
          <w:color w:val="auto"/>
          <w:sz w:val="32"/>
          <w:szCs w:val="32"/>
          <w:highlight w:val="none"/>
          <w:lang w:val="en-US" w:eastAsia="zh-CN"/>
        </w:rPr>
        <w:t xml:space="preserve">六</w:t>
      </w:r>
      <w:r>
        <w:rPr>
          <w:rFonts w:ascii="宋体" w:eastAsia="宋体" w:hAnsi="宋体" w:hint="eastAsia"/>
          <w:b/>
          <w:bCs/>
          <w:color w:val="auto"/>
          <w:sz w:val="32"/>
          <w:szCs w:val="32"/>
          <w:highlight w:val="none"/>
        </w:rPr>
        <w:t xml:space="preserve">、有关建议</w:t>
      </w:r>
      <w:bookmarkEnd w:id="19"/>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2.专门设定对绩效工作人员定职、定岗、定责等相关制度措施，进一步提升我单位绩效管理工作业务水平，扎实做好绩效管理工作。</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color w:val="auto"/>
          <w:sz w:val="32"/>
          <w:szCs w:val="32"/>
          <w:highlight w:val="none"/>
        </w:rPr>
      </w:pPr>
      <w:r>
        <w:rPr>
          <w:rFonts w:ascii="仿宋_GB2312" w:eastAsia="仿宋_GB2312" w:hAnsi="仿宋_GB2312" w:cs="仿宋_GB2312" w:hint="eastAsia"/>
          <w:color w:val="auto"/>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仿宋_GB2312" w:eastAsia="仿宋_GB2312" w:hAnsi="仿宋_GB2312" w:cs="仿宋_GB2312" w:hint="eastAsia"/>
          <w:color w:val="auto"/>
          <w:sz w:val="32"/>
          <w:szCs w:val="32"/>
          <w:highlight w:val="none"/>
        </w:rPr>
        <w:t xml:space="preserve">。</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20" w:name="_Toc68703846"/>
      <w:r>
        <w:rPr>
          <w:rFonts w:ascii="宋体" w:eastAsia="宋体" w:hAnsi="宋体" w:hint="eastAsia"/>
          <w:color w:val="auto"/>
          <w:sz w:val="32"/>
          <w:szCs w:val="32"/>
          <w:highlight w:val="none"/>
          <w:lang w:val="en-US" w:eastAsia="zh-CN"/>
        </w:rPr>
        <w:t xml:space="preserve">七</w:t>
      </w:r>
      <w:r>
        <w:rPr>
          <w:rFonts w:ascii="宋体" w:eastAsia="宋体" w:hAnsi="宋体" w:hint="eastAsia"/>
          <w:color w:val="auto"/>
          <w:sz w:val="32"/>
          <w:szCs w:val="32"/>
          <w:highlight w:val="none"/>
        </w:rPr>
        <w:t xml:space="preserve">、其他需要说明的问题</w:t>
      </w:r>
      <w:bookmarkEnd w:id="20"/>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eastAsia="zh-CN"/>
        </w:rPr>
        <w:sectPr>
          <w:pgSz w:w="11906" w:h="16838" w:orient="portrait"/>
          <w:pgMar w:top="1928" w:right="1531" w:bottom="1701" w:left="1531" w:header="737" w:footer="851" w:gutter="0"/>
          <w:pgBorders/>
          <w:cols w:num="1" w:space="720">
            <w:col w:w="8844" w:space="720"/>
          </w:cols>
          <w:docGrid w:type="lines" w:linePitch="408" w:charSpace="0"/>
        </w:sectPr>
      </w:pPr>
      <w:bookmarkStart w:id="21" w:name="_GoBack"/>
      <w:r>
        <w:rPr>
          <w:rFonts w:ascii="Times New Roman" w:eastAsia="仿宋_GB2312" w:hAnsi="Times New Roman" w:cs="Times New Roman" w:hint="default"/>
          <w:color w:val="auto"/>
          <w:sz w:val="32"/>
          <w:szCs w:val="32"/>
          <w:highlight w:val="none"/>
        </w:rPr>
        <w:t xml:space="preserve">本项目无其他需说明的问题</w:t>
      </w:r>
      <w:r>
        <w:rPr>
          <w:rFonts w:ascii="Times New Roman" w:hAnsi="Times New Roman" w:cs="Times New Roman" w:hint="eastAsia"/>
          <w:color w:val="auto"/>
          <w:sz w:val="32"/>
          <w:szCs w:val="32"/>
          <w:highlight w:val="none"/>
          <w:lang w:eastAsia="zh-CN"/>
        </w:rPr>
        <w:t xml:space="preserve">。</w:t>
      </w:r>
      <w:bookmarkEnd w:id="21"/>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22" w:name="_Toc26499_WPSOffice_Level2"/>
      <w:bookmarkStart w:id="23" w:name="_Toc30064_WPSOffice_Level1"/>
      <w:r>
        <w:rPr>
          <w:rFonts w:ascii="仿宋_GB2312" w:eastAsia="仿宋_GB2312" w:hAnsi="仿宋_GB2312" w:cs="仿宋_GB2312" w:hint="eastAsia"/>
          <w:b/>
          <w:bCs/>
          <w:color w:val="auto"/>
          <w:sz w:val="28"/>
          <w:szCs w:val="40"/>
          <w:highlight w:val="none"/>
        </w:rPr>
        <w:t xml:space="preserve">卫健委： 国家卫生县城复审经费项目</w:t>
      </w:r>
      <w:r>
        <w:rPr>
          <w:rFonts w:ascii="仿宋_GB2312" w:eastAsia="仿宋_GB2312" w:hAnsi="仿宋_GB2312" w:cs="仿宋_GB2312" w:hint="eastAsia"/>
          <w:b/>
          <w:bCs/>
          <w:color w:val="auto"/>
          <w:sz w:val="28"/>
          <w:szCs w:val="40"/>
          <w:highlight w:val="none"/>
        </w:rPr>
        <w:t xml:space="preserve">绩效评价指标体系及综合评分表</w:t>
      </w:r>
      <w:bookmarkEnd w:id="22"/>
      <w:bookmarkEnd w:id="23"/>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52"/>
        <w:gridCol w:w="947"/>
        <w:gridCol w:w="1014"/>
        <w:gridCol w:w="1635"/>
        <w:gridCol w:w="4940"/>
        <w:gridCol w:w="1231"/>
        <w:gridCol w:w="1294"/>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2055"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bl>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sectPr>
          <w:pgSz w:w="16838" w:h="11906" w:orient="landscape"/>
          <w:pgMar w:top="1531" w:right="1928" w:bottom="1531" w:left="1701" w:header="737" w:footer="851" w:gutter="0"/>
          <w:pgBorders/>
          <w:cols w:num="1" w:space="720">
            <w:col w:w="13209" w:space="720"/>
          </w:cols>
          <w:docGrid w:type="lines" w:linePitch="408" w:charSpace="0"/>
        </w:sectPr>
      </w:pP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auto"/>
          <w:kern w:val="0"/>
          <w:sz w:val="28"/>
          <w:szCs w:val="28"/>
          <w:highlight w:val="none"/>
          <w:u w:val="none"/>
          <w:lang w:val="en-US" w:eastAsia="zh-CN"/>
        </w:rPr>
      </w:pPr>
      <w:r>
        <w:rPr>
          <w:rFonts w:ascii="仿宋_GB2312" w:eastAsia="仿宋_GB2312" w:hAnsi="仿宋_GB2312" w:cs="仿宋_GB2312" w:hint="eastAsia"/>
          <w:b/>
          <w:bCs/>
          <w:i w:val="0"/>
          <w:iCs w:val="0"/>
          <w:color w:val="auto"/>
          <w:kern w:val="0"/>
          <w:sz w:val="28"/>
          <w:szCs w:val="28"/>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auto"/>
          <w:kern w:val="0"/>
          <w:sz w:val="22"/>
          <w:szCs w:val="22"/>
          <w:highlight w:val="none"/>
          <w:u w:val="none"/>
          <w:lang w:val="en-US" w:eastAsia="zh-CN"/>
        </w:rPr>
      </w:pPr>
      <w:r>
        <w:rPr>
          <w:rFonts w:ascii="Times New Roman" w:eastAsia="仿宋_GB2312" w:hAnsi="Times New Roman" w:cs="Times New Roman" w:hint="default"/>
          <w:b/>
          <w:bCs/>
          <w:i w:val="0"/>
          <w:iCs w:val="0"/>
          <w:color w:val="auto"/>
          <w:kern w:val="0"/>
          <w:sz w:val="22"/>
          <w:szCs w:val="22"/>
          <w:highlight w:val="none"/>
          <w:u w:val="none"/>
          <w:lang w:val="en-US" w:eastAsia="zh-CN"/>
        </w:rPr>
        <w:t xml:space="preserve">（ 2024年度）</w:t>
      </w:r>
    </w:p>
    <w:tbl>
      <w:tblPr>
        <w:tblStyle w:val="NormalTable"/>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658"/>
        <w:gridCol w:w="780"/>
        <w:gridCol w:w="1080"/>
        <w:gridCol w:w="1932"/>
        <w:gridCol w:w="943"/>
        <w:gridCol w:w="1102"/>
        <w:gridCol w:w="875"/>
        <w:gridCol w:w="793"/>
        <w:gridCol w:w="835"/>
        <w:gridCol w:w="736"/>
        <w:gridCol w:w="977"/>
        <w:gridCol w:w="786"/>
        <w:gridCol w:w="708"/>
        <w:gridCol w:w="1219"/>
      </w:tblGrid>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项目名称</w:t>
            </w:r>
          </w:p>
        </w:tc>
        <w:tc>
          <w:tcPr>
            <w:tcW w:w="4464"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卫健委： 国家卫生县城复审经费</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主管部门</w:t>
            </w:r>
          </w:p>
        </w:tc>
        <w:tc>
          <w:tcPr>
            <w:tcW w:w="2209"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轮台县卫生健康委员会</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实施单位</w:t>
            </w:r>
          </w:p>
        </w:tc>
        <w:tc>
          <w:tcPr>
            <w:tcW w:w="164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轮台县卫生健康委员会</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5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项目资金</w:t>
            </w:r>
            <w:r>
              <w:rPr>
                <w:rFonts w:ascii="仿宋_GB2312" w:eastAsia="仿宋_GB2312" w:hAnsi="仿宋_GB2312" w:cs="仿宋_GB2312" w:hint="eastAsia"/>
                <w:i w:val="0"/>
                <w:iCs w:val="0"/>
                <w:color w:val="auto"/>
                <w:kern w:val="0"/>
                <w:sz w:val="18"/>
                <w:szCs w:val="18"/>
                <w:highlight w:val="none"/>
                <w:u w:val="none"/>
                <w:lang w:val="en-US" w:eastAsia="zh-CN"/>
              </w:rPr>
              <w:br/>
            </w:r>
            <w:r>
              <w:rPr>
                <w:rFonts w:ascii="仿宋_GB2312" w:eastAsia="仿宋_GB2312" w:hAnsi="仿宋_GB2312" w:cs="仿宋_GB2312" w:hint="eastAsia"/>
                <w:i w:val="0"/>
                <w:iCs w:val="0"/>
                <w:color w:val="auto"/>
                <w:kern w:val="0"/>
                <w:sz w:val="18"/>
                <w:szCs w:val="18"/>
                <w:highlight w:val="none"/>
                <w:u w:val="none"/>
                <w:lang w:val="en-US" w:eastAsia="zh-CN"/>
              </w:rPr>
              <w:t xml:space="preserve">（万元）</w:t>
            </w:r>
          </w:p>
        </w:tc>
        <w:tc>
          <w:tcPr>
            <w:tcW w:w="11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资金来源</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年初预算数</w:t>
            </w:r>
          </w:p>
        </w:tc>
        <w:tc>
          <w:tcPr>
            <w:tcW w:w="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全年预算数</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全年执行数</w:t>
            </w:r>
          </w:p>
        </w:tc>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分值权重</w:t>
            </w: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执行率</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得分</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535"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1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年度资金总额</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24.05</w:t>
            </w:r>
          </w:p>
        </w:tc>
        <w:tc>
          <w:tcPr>
            <w:tcW w:w="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24.05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24.05</w:t>
            </w:r>
          </w:p>
        </w:tc>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w:t>
            </w: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100</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535"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1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其中：当年财政拨款</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24.05</w:t>
            </w:r>
          </w:p>
        </w:tc>
        <w:tc>
          <w:tcPr>
            <w:tcW w:w="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24.05</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24.05</w:t>
            </w:r>
          </w:p>
        </w:tc>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535"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1121" w:type="pct"/>
            <w:gridSpan w:val="2"/>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其他资金</w:t>
            </w:r>
          </w:p>
        </w:tc>
        <w:tc>
          <w:tcPr>
            <w:tcW w:w="351"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736" w:type="pct"/>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606" w:type="pct"/>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4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年度总体目标</w:t>
            </w:r>
          </w:p>
        </w:tc>
        <w:tc>
          <w:tcPr>
            <w:tcW w:w="310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总体目标</w:t>
            </w:r>
          </w:p>
        </w:tc>
        <w:tc>
          <w:tcPr>
            <w:tcW w:w="164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总体目标完成情况</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90"/>
        </w:trPr>
        <w:tc>
          <w:tcPr>
            <w:tcW w:w="24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106" w:type="pct"/>
            <w:gridSpan w:val="8"/>
            <w:tcBorders>
              <w:top w:val="single" w:sz="4" w:space="0" w:color="auto"/>
              <w:left w:val="single" w:sz="4" w:space="0" w:color="auto"/>
              <w:bottom w:val="single" w:sz="4" w:space="0" w:color="auto"/>
              <w:right w:val="single" w:sz="4" w:space="0" w:color="auto"/>
            </w:tcBorders>
            <w:shd w:val="clear" w:color="auto" w:fill="auto"/>
            <w:vAlign w:val="top"/>
          </w:tcPr>
          <w:p>
            <w:pPr>
              <w:jc w:val="left"/>
              <w:rPr>
                <w:rFonts w:ascii="仿宋_GB2312" w:eastAsia="仿宋_GB2312" w:hAnsi="仿宋_GB2312" w:cs="仿宋_GB2312" w:hint="eastAsia"/>
                <w:i w:val="0"/>
                <w:iCs w:val="0"/>
                <w:color w:val="auto"/>
                <w:sz w:val="18"/>
                <w:szCs w:val="18"/>
                <w:highlight w:val="none"/>
                <w:u w:val="none"/>
              </w:rPr>
            </w:pPr>
          </w:p>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目标1：病媒生物防治监测消杀服务次数4次，提高居民病媒生物防治意识。</w:t>
            </w:r>
          </w:p>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目标2:病媒生物防治宣传数量4种，巩固国家卫生县城，共建和谐美好家园。</w:t>
            </w:r>
          </w:p>
        </w:tc>
        <w:tc>
          <w:tcPr>
            <w:tcW w:w="164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根据 2024 年 4 月 30 日轮台县第十三届党委第 15 次财经 委员会会议精神，按照《国家卫生城市和国家县标准》要求，已完成病媒生物防治监测消杀服务4次，提高居民病媒生物防治意识,已完成病媒生物防治宣传4种，巩固国家卫生县城，共建和谐美好家园。</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24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p>
            <w:pPr>
              <w:jc w:val="center"/>
              <w:rPr>
                <w:rFonts w:ascii="仿宋_GB2312" w:eastAsia="仿宋_GB2312" w:hAnsi="仿宋_GB2312" w:cs="仿宋_GB2312" w:hint="eastAsia"/>
                <w:i w:val="0"/>
                <w:iCs w:val="0"/>
                <w:color w:val="auto"/>
                <w:sz w:val="18"/>
                <w:szCs w:val="18"/>
                <w:highlight w:val="none"/>
                <w:u w:val="none"/>
                <w:lang w:val="en-US" w:eastAsia="zh-CN"/>
              </w:rPr>
            </w:pPr>
          </w:p>
          <w:p>
            <w:pPr>
              <w:jc w:val="center"/>
              <w:rPr>
                <w:rFonts w:ascii="仿宋_GB2312" w:eastAsia="仿宋_GB2312" w:hAnsi="仿宋_GB2312" w:cs="仿宋_GB2312" w:hint="eastAsia"/>
                <w:i w:val="0"/>
                <w:iCs w:val="0"/>
                <w:color w:val="auto"/>
                <w:sz w:val="18"/>
                <w:szCs w:val="18"/>
                <w:highlight w:val="none"/>
                <w:u w:val="none"/>
                <w:lang w:val="en-US" w:eastAsia="zh-CN"/>
              </w:rPr>
            </w:pPr>
          </w:p>
          <w:p>
            <w:pPr>
              <w:jc w:val="center"/>
              <w:rPr>
                <w:rFonts w:ascii="仿宋_GB2312" w:eastAsia="仿宋_GB2312" w:hAnsi="仿宋_GB2312" w:cs="仿宋_GB2312" w:hint="eastAsia"/>
                <w:i w:val="0"/>
                <w:iCs w:val="0"/>
                <w:color w:val="auto"/>
                <w:sz w:val="18"/>
                <w:szCs w:val="18"/>
                <w:highlight w:val="none"/>
                <w:u w:val="none"/>
                <w:lang w:val="en-US" w:eastAsia="zh-CN"/>
              </w:rPr>
            </w:pPr>
          </w:p>
          <w:p>
            <w:pPr>
              <w:jc w:val="center"/>
              <w:rPr>
                <w:rFonts w:ascii="仿宋_GB2312" w:eastAsia="仿宋_GB2312" w:hAnsi="仿宋_GB2312" w:cs="仿宋_GB2312" w:hint="eastAsia"/>
                <w:i w:val="0"/>
                <w:iCs w:val="0"/>
                <w:color w:val="auto"/>
                <w:sz w:val="18"/>
                <w:szCs w:val="18"/>
                <w:highlight w:val="none"/>
                <w:u w:val="none"/>
                <w:lang w:val="en-US" w:eastAsia="zh-CN"/>
              </w:rPr>
            </w:pPr>
          </w:p>
          <w:p>
            <w:pPr>
              <w:jc w:val="center"/>
              <w:rPr>
                <w:rFonts w:ascii="仿宋_GB2312" w:eastAsia="仿宋_GB2312" w:hAnsi="仿宋_GB2312" w:cs="仿宋_GB2312" w:hint="eastAsia"/>
                <w:i w:val="0"/>
                <w:iCs w:val="0"/>
                <w:color w:val="auto"/>
                <w:sz w:val="18"/>
                <w:szCs w:val="18"/>
                <w:highlight w:val="none"/>
                <w:u w:val="none"/>
                <w:lang w:val="en-US" w:eastAsia="zh-CN"/>
              </w:rPr>
            </w:pPr>
          </w:p>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绩效指标</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一级指标</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二级指标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三级指标</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指标值</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指标值设置依据</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上年完成值</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指标分值权重</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指标赋分规则</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佐证资料</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指标实际完成值</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完成率</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指标得分</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偏差原因分析及改进措施</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4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0" w:type="pct"/>
            <w:vMerge w:val="restart"/>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产出指标</w:t>
            </w:r>
          </w:p>
        </w:tc>
        <w:tc>
          <w:tcPr>
            <w:tcW w:w="402" w:type="pct"/>
            <w:tcBorders>
              <w:top w:val="single" w:sz="4" w:space="0" w:color="auto"/>
              <w:left w:val="single" w:sz="4" w:space="0" w:color="auto"/>
              <w:bottom w:val="nil"/>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数量指标</w:t>
            </w:r>
          </w:p>
        </w:tc>
        <w:tc>
          <w:tcPr>
            <w:tcW w:w="719" w:type="pct"/>
            <w:tcBorders>
              <w:top w:val="single" w:sz="4" w:space="0" w:color="auto"/>
              <w:left w:val="nil"/>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病媒生物防治监测消杀服务次数</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&gt;=4次</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6</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4次</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6</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无</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4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0" w:type="pct"/>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402" w:type="pct"/>
            <w:tcBorders>
              <w:top w:val="single" w:sz="4" w:space="0" w:color="auto"/>
              <w:left w:val="single" w:sz="4" w:space="0" w:color="auto"/>
              <w:bottom w:val="nil"/>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数量指标</w:t>
            </w:r>
          </w:p>
        </w:tc>
        <w:tc>
          <w:tcPr>
            <w:tcW w:w="719" w:type="pct"/>
            <w:tcBorders>
              <w:top w:val="single" w:sz="4" w:space="0" w:color="auto"/>
              <w:left w:val="nil"/>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卫生县城复审宣传品制作种类</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&gt;=4种</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6</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4种</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6</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无</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4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0" w:type="pct"/>
            <w:vMerge/>
            <w:tcBorders>
              <w:left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质量指标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病媒生物防治监测消杀合格率</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7</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7</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无</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4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0" w:type="pct"/>
            <w:vMerge/>
            <w:tcBorders>
              <w:left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质量指标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卫生县城复审宣传品质量合格率</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7</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7</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无</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4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0" w:type="pct"/>
            <w:vMerge/>
            <w:tcBorders>
              <w:left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2" w:type="pct"/>
            <w:tcBorders>
              <w:top w:val="single" w:sz="4" w:space="0" w:color="auto"/>
              <w:left w:val="single" w:sz="4" w:space="0" w:color="auto"/>
              <w:bottom w:val="nil"/>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时效指标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病媒生物防治监测消杀及时率</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7</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7</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无</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4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0" w:type="pct"/>
            <w:vMerge/>
            <w:tcBorders>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2" w:type="pct"/>
            <w:tcBorders>
              <w:top w:val="single" w:sz="4" w:space="0" w:color="auto"/>
              <w:left w:val="single" w:sz="4" w:space="0" w:color="auto"/>
              <w:bottom w:val="nil"/>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时效指标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卫生县城复审宣传及时率</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7</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7</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无</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4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0" w:type="pct"/>
            <w:vMerge w:val="restart"/>
            <w:tcBorders>
              <w:top w:val="single" w:sz="4" w:space="0" w:color="auto"/>
              <w:left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成本指标</w:t>
            </w:r>
          </w:p>
        </w:tc>
        <w:tc>
          <w:tcPr>
            <w:tcW w:w="402" w:type="pct"/>
            <w:tcBorders>
              <w:top w:val="single" w:sz="4" w:space="0" w:color="auto"/>
              <w:left w:val="single" w:sz="4" w:space="0" w:color="auto"/>
              <w:bottom w:val="nil"/>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经济成本指标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病媒生物防治成本控制数</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&lt;=13.40万元</w:t>
            </w:r>
          </w:p>
        </w:tc>
        <w:tc>
          <w:tcPr>
            <w:tcW w:w="410"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311"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13.40万元</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无</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4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0" w:type="pct"/>
            <w:vMerge/>
            <w:tcBorders>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402" w:type="pct"/>
            <w:tcBorders>
              <w:top w:val="single" w:sz="4" w:space="0" w:color="auto"/>
              <w:left w:val="single" w:sz="4" w:space="0" w:color="auto"/>
              <w:bottom w:val="nil"/>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经济成本指标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卫生县城复审宣传品制作成本控制数</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&lt;=10.65万元</w:t>
            </w:r>
          </w:p>
        </w:tc>
        <w:tc>
          <w:tcPr>
            <w:tcW w:w="410"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311"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10.65万元</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无</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4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效益指标</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社会效益指标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提高居民病媒生物防治意识</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显著提高</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达成目标</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无</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4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0"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社会效益指标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国家卫生县城成果</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有效</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达成目标</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无</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4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满意度指标</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满意度指标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群众满意度</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&gt;=95%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95%</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10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无</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1657" w:type="pct"/>
            <w:gridSpan w:val="4"/>
            <w:tcBorders>
              <w:top w:val="single" w:sz="4" w:space="0" w:color="auto"/>
              <w:left w:val="single" w:sz="4" w:space="0" w:color="auto"/>
              <w:bottom w:val="single" w:sz="4" w:space="0" w:color="auto"/>
              <w:right w:val="nil"/>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lang w:val="en-US" w:eastAsia="zh-CN"/>
              </w:rPr>
              <w:t xml:space="preserve">总分</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10" w:type="pct"/>
            <w:tcBorders>
              <w:top w:val="single" w:sz="4" w:space="0" w:color="auto"/>
              <w:left w:val="nil"/>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100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bl>
    <w:p>
      <w:pPr>
        <w:rPr>
          <w:rFonts w:ascii="Times New Roman" w:hAnsi="Times New Roman" w:cs="Times New Roman" w:hint="default"/>
          <w:color w:val="auto"/>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sectPr>
      <w:pgSz w:w="16838" w:h="11906" w:orient="landscape"/>
      <w:pgMar w:top="1531" w:right="1928" w:bottom="1531" w:left="1701" w:header="737" w:footer="851" w:gutter="0"/>
      <w:pgBorders/>
      <w:cols w:num="1" w:space="720">
        <w:col w:w="13209"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autoRedefine/>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table" w:styleId="TableGrid">
    <w:name w:val="Table Grid"/>
    <w:basedOn w:val="NormalTable"/>
    <w:uiPriority w:val="39"/>
    <w:pPr>
      <w:widowControl w:val="0"/>
      <w:jc w:val="both"/>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autoRedefine/>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DFF0787588C34603A74FA104BC3FC087</vt:lpwstr>
  </property>
  <property fmtid="{D5CDD505-2E9C-101B-9397-08002B2CF9AE}" pid="4" name="KSOTemplateDocerSaveRecord">
    <vt:lpwstr>eyJoZGlkIjoiNjNkMTIxODEwOTdmYWIxN2YzY2NkZGUwYWYzZGZiODYiLCJ1c2VySWQiOiIzOTYzNDM0ODIifQ==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20</TotalTime>
  <Pages>33</Pages>
  <Words>13845</Words>
  <Characters>14226</Characters>
  <Application>WPS Office_12.1.0.20784_F1E327BC-269C-435d-A152-05C5408002CA</Application>
  <DocSecurity>0</DocSecurity>
  <Lines>37</Lines>
  <Paragraphs>10</Paragraphs>
  <CharactersWithSpaces>14255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Administrator</cp:lastModifiedBy>
  <cp:revision>4</cp:revision>
  <dcterms:created xsi:type="dcterms:W3CDTF">2021-04-07T08:01:00Z</dcterms:created>
  <dcterms:modified xsi:type="dcterms:W3CDTF">2025-04-18T12:59:18Z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2052-12.1.0.20784</vt:lpwstr>
  </property>
  <property fmtid="{D5CDD505-2E9C-101B-9397-08002B2CF9AE}" pid="3" name="ICV">
    <vt:lpwstr>DFF0787588C34603A74FA104BC3FC087</vt:lpwstr>
  </property>
  <property fmtid="{D5CDD505-2E9C-101B-9397-08002B2CF9AE}" pid="4" name="KSOTemplateDocerSaveRecord">
    <vt:lpwstr>eyJoZGlkIjoiNjNkMTIxODEwOTdmYWIxN2YzY2NkZGUwYWYzZGZiODYiLCJ1c2VySWQiOiIzOTYzNDM0ODIifQ_x003D__x003D_</vt:lpwstr>
  </property>
</Properties>
</file>