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轮台县哈尔巴克乡卫生院2024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（1）为人民提供基本医疗服务，处理常见病，多发病，对疑难重症进行恰当的处理并转诊。承担乡村现场应急救护，转诊服务和康复服务。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（3）对辖区内传染病防治，食品卫生、饮水卫生以及村级预防保健工作进行指导、培训、考核与监督。</w:t>
      </w:r>
    </w:p>
    <w:p>
      <w:pPr>
        <w:spacing w:line="580" w:lineRule="exact"/>
        <w:ind w:firstLine="640"/>
        <w:jc w:val="both"/>
      </w:pPr>
      <w:r>
        <w:rPr>
          <w:rFonts w:ascii="仿宋_GB2312" w:hAnsi="仿宋_GB2312" w:eastAsia="仿宋_GB2312"/>
          <w:sz w:val="32"/>
        </w:rPr>
        <w:t>（4）深入推进乡村一体化卫生服务一体化管理，对村卫生室实行以人员，业务，药品，财产规范管理；负责村卫生室的技术指导和乡村医生培训等工作。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ascii="仿宋_GB2312" w:hAnsi="仿宋_GB2312" w:eastAsia="仿宋_GB2312"/>
          <w:sz w:val="32"/>
        </w:rPr>
        <w:t>（5）承担农村居民健康档案规范建档指导，管理及服务。</w:t>
      </w:r>
    </w:p>
    <w:p>
      <w:pPr>
        <w:spacing w:line="580" w:lineRule="exact"/>
        <w:ind w:firstLine="640"/>
        <w:jc w:val="both"/>
      </w:pPr>
      <w:r>
        <w:rPr>
          <w:rFonts w:ascii="仿宋_GB2312" w:hAnsi="仿宋_GB2312" w:eastAsia="仿宋_GB2312"/>
          <w:sz w:val="32"/>
        </w:rPr>
        <w:t>（6）普及卫生保健常识，在重点人群和重点场所开展健康教育，帮助居民形成有利于维护和增进健康的行为方式；指导开展爱国卫生工作。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（7）提供并组织实施辖区预防接种服务，落实国家免疫规划。</w:t>
      </w:r>
    </w:p>
    <w:p>
      <w:pPr>
        <w:spacing w:line="580" w:lineRule="exact"/>
        <w:ind w:firstLine="640"/>
        <w:jc w:val="both"/>
      </w:pPr>
      <w:r>
        <w:rPr>
          <w:rFonts w:ascii="仿宋_GB2312" w:hAnsi="仿宋_GB2312" w:eastAsia="仿宋_GB2312"/>
          <w:sz w:val="32"/>
        </w:rPr>
        <w:t>（8）及时发现，登记并报告辖区内发现的传染病病例和疑似病例，参与现场清理处理。</w:t>
      </w:r>
    </w:p>
    <w:p>
      <w:pPr>
        <w:spacing w:line="580" w:lineRule="exact"/>
        <w:ind w:firstLine="640"/>
        <w:jc w:val="both"/>
      </w:pPr>
      <w:r>
        <w:rPr>
          <w:rFonts w:ascii="仿宋_GB2312" w:hAnsi="仿宋_GB2312" w:eastAsia="仿宋_GB2312"/>
          <w:sz w:val="32"/>
        </w:rPr>
        <w:t>（9）开展新生儿访视及儿童保健系统管理，进行体格检查和生长发育监测及评价，开展健康指导。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（10）开展孕产妇保健系统管理和产后访视，进行一般体格检查及孕期营养，心理健康指导等。</w:t>
      </w:r>
    </w:p>
    <w:p>
      <w:pPr>
        <w:spacing w:line="580" w:lineRule="exact"/>
        <w:ind w:firstLine="640"/>
        <w:jc w:val="both"/>
      </w:pPr>
      <w:r>
        <w:rPr>
          <w:rFonts w:ascii="仿宋_GB2312" w:hAnsi="仿宋_GB2312" w:eastAsia="仿宋_GB2312"/>
          <w:sz w:val="32"/>
        </w:rPr>
        <w:t>（11）对辖区65岁及以上老年人进行登记管理，进行健康危险因素调查和一般体格检查，开展健康指导。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（12）对高血压、糖尿病等慢性病高危人群进行指导，对确诊高血压，糖尿病等慢性病病例进行登记管理，定期随访和健康指导。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（13）对辖区重性精神病患者进行登记管理，治疗随访和康复指导。</w:t>
      </w:r>
    </w:p>
    <w:p>
      <w:pPr>
        <w:spacing w:line="580" w:lineRule="exact"/>
        <w:ind w:firstLine="640"/>
        <w:jc w:val="both"/>
      </w:pPr>
      <w:r>
        <w:rPr>
          <w:rFonts w:ascii="仿宋_GB2312" w:hAnsi="仿宋_GB2312" w:eastAsia="仿宋_GB2312"/>
          <w:sz w:val="32"/>
        </w:rPr>
        <w:t>（14）负责辖区内突发公共卫生事件的报告并协助处理。</w:t>
      </w:r>
    </w:p>
    <w:p>
      <w:pPr>
        <w:spacing w:line="580" w:lineRule="exact"/>
        <w:ind w:firstLine="640"/>
        <w:jc w:val="both"/>
      </w:pPr>
      <w:r>
        <w:rPr>
          <w:rFonts w:ascii="仿宋_GB2312" w:hAnsi="仿宋_GB2312" w:eastAsia="仿宋_GB2312"/>
          <w:sz w:val="32"/>
        </w:rPr>
        <w:t>（15）做好卫生行政部门规定的其他基本医疗和公共卫生服务。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轮台县哈尔巴克乡卫生院2024年度，实有人数33人，其中：在职人员26人，增加0人；离休人员0人，增加0人；退休人员7人,增加0人。</w:t>
      </w:r>
    </w:p>
    <w:p>
      <w:pPr>
        <w:spacing w:line="580" w:lineRule="exact"/>
        <w:ind w:firstLine="640"/>
        <w:jc w:val="both"/>
      </w:pPr>
      <w:r>
        <w:rPr>
          <w:rFonts w:ascii="仿宋_GB2312" w:hAnsi="仿宋_GB2312" w:eastAsia="仿宋_GB2312"/>
          <w:sz w:val="32"/>
        </w:rPr>
        <w:t>轮台县哈尔巴克乡卫生院无下属预算单位，下设13个科室，分别是：住院部、门诊、中心药房、财务科、体检科、防疫科、公共卫生科、行政办公室、检验科、影像科、妇幼办公室、安全保卫科、中医民族医疗馆。</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2024年度收入总计817.89万元，</w:t>
      </w:r>
      <w:r>
        <w:rPr>
          <w:rFonts w:ascii="仿宋_GB2312" w:hAnsi="仿宋_GB2312" w:eastAsia="仿宋_GB2312"/>
          <w:b w:val="0"/>
          <w:sz w:val="32"/>
        </w:rPr>
        <w:t>其中：本年收入合计817.89万元，使用非财政拨款结余（含专用结余）0.00万元，年初结转和结余0.00万元。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2024年度支出总计817.89万元，</w:t>
      </w:r>
      <w:r>
        <w:rPr>
          <w:rFonts w:ascii="仿宋_GB2312" w:hAnsi="仿宋_GB2312" w:eastAsia="仿宋_GB2312"/>
          <w:b w:val="0"/>
          <w:sz w:val="32"/>
        </w:rPr>
        <w:t>其中：本年支出合计817.89万元，结余分配0.00万元，年末结转和结余0.00万元。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收入支出总体与上年相比，增加36.44万元，增长4.66%，主要原因是：本年在职人员工资调增，社保、公积金基数调增，人员经费增加。本年度增加重大公共卫生传染病经费项目，专用材料及办公经费支出增加。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本年收入817.89万元，</w:t>
      </w:r>
      <w:r>
        <w:rPr>
          <w:rFonts w:ascii="仿宋_GB2312" w:hAnsi="仿宋_GB2312" w:eastAsia="仿宋_GB2312"/>
          <w:b w:val="0"/>
          <w:sz w:val="32"/>
        </w:rPr>
        <w:t>其中：财政拨款收入638.84万元，占78.11%；上级补助收入0.00万元，占0.00%；事业收入178.78万元，占21.86%；经营收入0.00万元，占0.00%；附属单位上缴收入0.00万元，占0.00%；其他收入0.27万元，占0.03%。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本年支出817.89万元，</w:t>
      </w:r>
      <w:r>
        <w:rPr>
          <w:rFonts w:ascii="仿宋_GB2312" w:hAnsi="仿宋_GB2312" w:eastAsia="仿宋_GB2312"/>
          <w:b w:val="0"/>
          <w:sz w:val="32"/>
        </w:rPr>
        <w:t>其中：基本支出817.89万元，占100.00%；项目支出0.00万元，占0.00%；上缴上级支出0.00万元，占0.00%；经营支出0.00万元，占0.00%；对附属单位补助支出0.00万元，占0.00%。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2024年度财政拨款收入总计638.84万元，</w:t>
      </w:r>
      <w:r>
        <w:rPr>
          <w:rFonts w:ascii="仿宋_GB2312" w:hAnsi="仿宋_GB2312" w:eastAsia="仿宋_GB2312"/>
          <w:b w:val="0"/>
          <w:sz w:val="32"/>
        </w:rPr>
        <w:t>其中：年初财政拨款结转和结余0.00万元，本年财政拨款收入638.84万元。</w:t>
      </w:r>
      <w:r>
        <w:rPr>
          <w:rFonts w:ascii="仿宋_GB2312" w:hAnsi="仿宋_GB2312" w:eastAsia="仿宋_GB2312"/>
          <w:b/>
          <w:sz w:val="32"/>
        </w:rPr>
        <w:t>财政拨款支出总计638.84万元，</w:t>
      </w:r>
      <w:r>
        <w:rPr>
          <w:rFonts w:ascii="仿宋_GB2312" w:hAnsi="仿宋_GB2312" w:eastAsia="仿宋_GB2312"/>
          <w:b w:val="0"/>
          <w:sz w:val="32"/>
        </w:rPr>
        <w:t>其中：年末财政拨款结转和结余0.00万元，本年财政拨款支出638.84万元。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增加49.65万元，增长8.43%，主要原因是：本年在职人员工资调增，社保、公积金基数调增，人员经费增加。本年度增加重大公共卫生传染病经费项目，专用材料及办公经费支出增加。</w:t>
      </w:r>
      <w:r>
        <w:rPr>
          <w:rFonts w:ascii="仿宋_GB2312" w:hAnsi="仿宋_GB2312" w:eastAsia="仿宋_GB2312"/>
          <w:b/>
          <w:sz w:val="32"/>
        </w:rPr>
        <w:t>与年初预算相比，</w:t>
      </w:r>
      <w:r>
        <w:rPr>
          <w:rFonts w:ascii="仿宋_GB2312" w:hAnsi="仿宋_GB2312" w:eastAsia="仿宋_GB2312"/>
          <w:b w:val="0"/>
          <w:sz w:val="32"/>
        </w:rPr>
        <w:t>年初预算数430.52万元，决算数638.84万元，预决算差异率48.39%，主要原因是：年中追加人员工资、社保、公积金基数调增部分资金，导致预决算存在差异。年中追加公共卫生经费，全民健康体检经费，基本药物补助经费等预算，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2024年度一般公共预算财政拨款支出636.87万元，</w:t>
      </w:r>
      <w:r>
        <w:rPr>
          <w:rFonts w:ascii="仿宋_GB2312" w:hAnsi="仿宋_GB2312" w:eastAsia="仿宋_GB2312"/>
          <w:b w:val="0"/>
          <w:sz w:val="32"/>
        </w:rPr>
        <w:t>占本年支出合计的77.87%。</w:t>
      </w:r>
      <w:r>
        <w:rPr>
          <w:rFonts w:ascii="仿宋_GB2312" w:hAnsi="仿宋_GB2312" w:eastAsia="仿宋_GB2312"/>
          <w:b/>
          <w:sz w:val="32"/>
        </w:rPr>
        <w:t>与上年相比，</w:t>
      </w:r>
      <w:r>
        <w:rPr>
          <w:rFonts w:ascii="仿宋_GB2312" w:hAnsi="仿宋_GB2312" w:eastAsia="仿宋_GB2312"/>
          <w:b w:val="0"/>
          <w:sz w:val="32"/>
        </w:rPr>
        <w:t>增加48.69万元，增长8.28%，主要原因是：本年在职人员工资调增，社保、公积金基数调增，人员经费增加。本年度增加重大公共卫生传染病经费项目，专用材料及办公经费支出增加。</w:t>
      </w:r>
      <w:r>
        <w:rPr>
          <w:rFonts w:ascii="仿宋_GB2312" w:hAnsi="仿宋_GB2312" w:eastAsia="仿宋_GB2312"/>
          <w:b/>
          <w:sz w:val="32"/>
        </w:rPr>
        <w:t>与年初预算相比,</w:t>
      </w:r>
      <w:r>
        <w:rPr>
          <w:rFonts w:ascii="仿宋_GB2312" w:hAnsi="仿宋_GB2312" w:eastAsia="仿宋_GB2312"/>
          <w:b w:val="0"/>
          <w:sz w:val="32"/>
        </w:rPr>
        <w:t>年初预算数430.52万元，决算数636.87万元，预决算差异率47.93%，主要原因是：年中追加人员工资、社保、公积金基数调增部分资金，导致预决算存在差异。年中追加公共卫生经费，全民健康体检经费，基本药物补助经费等预算，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1.社会保障和就业支出(类)41.13万元,占6.46%。</w:t>
      </w:r>
    </w:p>
    <w:p>
      <w:pPr>
        <w:spacing w:line="580" w:lineRule="exact"/>
        <w:ind w:firstLine="640"/>
        <w:jc w:val="both"/>
      </w:pPr>
      <w:r>
        <w:rPr>
          <w:rFonts w:ascii="仿宋_GB2312" w:hAnsi="仿宋_GB2312" w:eastAsia="仿宋_GB2312"/>
          <w:b w:val="0"/>
          <w:sz w:val="32"/>
        </w:rPr>
        <w:t>2.卫生健康支出(类)565.70万元,占88.83%。</w:t>
      </w:r>
    </w:p>
    <w:p>
      <w:pPr>
        <w:spacing w:line="580" w:lineRule="exact"/>
        <w:ind w:firstLine="640"/>
        <w:jc w:val="both"/>
      </w:pPr>
      <w:r>
        <w:rPr>
          <w:rFonts w:ascii="仿宋_GB2312" w:hAnsi="仿宋_GB2312" w:eastAsia="仿宋_GB2312"/>
          <w:b w:val="0"/>
          <w:sz w:val="32"/>
        </w:rPr>
        <w:t>3.住房保障支出(类)30.05万元,占4.72%。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1.社会保障和就业支出(类)行政事业单位养老支出(款)事业单位离退休(项):支出决算数为4.59万元，比上年决算增加1.47万元，增长47.12%,主要原因是：本年补发退休人员绩效，导致退休费较上年增加。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2.社会保障和就业支出(类)行政事业单位养老支出(款)机关事业单位基本养老保险缴费支出(项):支出决算数为36.34万元，比上年决算增加2.16万元，增长6.32%,主要原因是：本年在职人员调薪，机关养老保险缴费增加。</w:t>
      </w:r>
    </w:p>
    <w:p>
      <w:pPr>
        <w:spacing w:line="580" w:lineRule="exact"/>
        <w:ind w:firstLine="640"/>
        <w:jc w:val="both"/>
      </w:pPr>
      <w:r>
        <w:rPr>
          <w:rFonts w:ascii="仿宋_GB2312" w:hAnsi="仿宋_GB2312" w:eastAsia="仿宋_GB2312"/>
          <w:b w:val="0"/>
          <w:sz w:val="32"/>
        </w:rPr>
        <w:t>3.社会保障和就业支出(类)社会福利(款)老年福利(项):支出决算数为0.20万元，比上年决算增加0.20万元，增长100.00%,主要原因是：本年度新增老年人福利经费支出，专用材料费支出增加。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1.44万元，比上年决算增加0.08万元，增长5.88%,主要原因是：本年度助理执业资格证村医人数增加，劳务费支出增加，导致经费较上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5.卫生健康支出(类)基层医疗卫生机构(款)乡镇卫生院(项):支出决算数为288.05万元，比上年决算增加19.94万元，增长7.44%,主要原因是：本年在职人员工资调薪，相关人员经费增加。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39.01万元，比上年决算增加4.74万元，增长13.83%,主要原因是：本年度增加基本药物补助专项经费，村卫生室门诊就诊人次增加，相应支出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7.卫生健康支出(类)公共卫生(款)基本公共卫生服务(项):支出决算数为165.25万元，比上年决算增加9.66万元，增长6.21%,主要原因是：本年度增加基本公共卫生专项经费，村医公共卫生补助经费增加。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8.卫生健康支出(类)公共卫生(款)重大公共卫生服务(项):支出决算数为28.29万元，比上年决算增加24.69万元，增长685.83%,主要原因是：本年度增加重大公共卫生传染病经费项目，专用材料及办公经费支出增加。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9.卫生健康支出(类)公共卫生(款)其他公共卫生支出(项):支出决算数为24.46万元，比上年决算减少18.87万元，下降43.55%,主要原因是：本年度减少全民健康体检经费，体检专干补助及专用材料支出减少。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10.卫生健康支出(类)计划生育事务(款)计划生育服务(项):支出决算数为2.56万元，比上年决算增加2.01万元，增长365.45%,主要原因是：本年度增加计划生育经服务经费，办公费及其他交通费支出增加。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11.卫生健康支出(类)行政事业单位医疗(款)事业单位医疗(项):支出决算数为16.64万元，比上年决算增加0.84万元，增长5.32%,主要原因是：本年在职人员调薪，医疗保险缴费增加。</w:t>
      </w:r>
    </w:p>
    <w:p>
      <w:pPr>
        <w:spacing w:line="580" w:lineRule="exact"/>
        <w:ind w:firstLine="640"/>
        <w:jc w:val="both"/>
      </w:pPr>
      <w:r>
        <w:rPr>
          <w:rFonts w:ascii="仿宋_GB2312" w:hAnsi="仿宋_GB2312" w:eastAsia="仿宋_GB2312"/>
          <w:b w:val="0"/>
          <w:sz w:val="32"/>
        </w:rPr>
        <w:t>12.住房保障支出(类)住房改革支出(款)住房公积金(项):支出决算数为30.05万元，比上年决算增加1.78万元，增长6.30%,主要原因是：本年在职人员调薪，住房公积金缴费增加。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2024年度一般公共预算财政拨款基本支出636.87万元，其中：</w:t>
      </w:r>
      <w:r>
        <w:rPr>
          <w:rFonts w:ascii="仿宋_GB2312" w:hAnsi="仿宋_GB2312" w:eastAsia="仿宋_GB2312"/>
          <w:b/>
          <w:sz w:val="32"/>
        </w:rPr>
        <w:t>人员经费375.67万元，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公用经费261.21万元，</w:t>
      </w:r>
      <w:r>
        <w:rPr>
          <w:rFonts w:ascii="仿宋_GB2312" w:hAnsi="仿宋_GB2312" w:eastAsia="仿宋_GB2312"/>
          <w:b w:val="0"/>
          <w:sz w:val="32"/>
        </w:rPr>
        <w:t>包括：办公费、水费、电费、邮电费、差旅费、维修（护）费、专用材料费、劳务费、其他交通费用、办公设备购置、专用设备购置。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2024年度政府性基金预算财政拨款收入总计1.96万元，</w:t>
      </w:r>
      <w:r>
        <w:rPr>
          <w:rFonts w:ascii="仿宋_GB2312" w:hAnsi="仿宋_GB2312" w:eastAsia="仿宋_GB2312"/>
          <w:b w:val="0"/>
          <w:sz w:val="32"/>
        </w:rPr>
        <w:t>其中：年初结转和结余0.00万元，本年收入1.96万元。</w:t>
      </w:r>
      <w:r>
        <w:rPr>
          <w:rFonts w:ascii="仿宋_GB2312" w:hAnsi="仿宋_GB2312" w:eastAsia="仿宋_GB2312"/>
          <w:b/>
          <w:sz w:val="32"/>
        </w:rPr>
        <w:t>政府性基金预算财政拨款支出总计1.96万元，</w:t>
      </w:r>
      <w:r>
        <w:rPr>
          <w:rFonts w:ascii="仿宋_GB2312" w:hAnsi="仿宋_GB2312" w:eastAsia="仿宋_GB2312"/>
          <w:b w:val="0"/>
          <w:sz w:val="32"/>
        </w:rPr>
        <w:t>其中：年末结转和结余0.00万元，本年支出1.96万元。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增加0.94万元，增长92.16%，主要原因是：本年增加80岁老年人体检经费项目，专用材料经费支出增加。</w:t>
      </w:r>
      <w:r>
        <w:rPr>
          <w:rFonts w:ascii="仿宋_GB2312" w:hAnsi="仿宋_GB2312" w:eastAsia="仿宋_GB2312"/>
          <w:b/>
          <w:sz w:val="32"/>
        </w:rPr>
        <w:t>与年初预算相比，</w:t>
      </w:r>
      <w:r>
        <w:rPr>
          <w:rFonts w:ascii="仿宋_GB2312" w:hAnsi="仿宋_GB2312" w:eastAsia="仿宋_GB2312"/>
          <w:b w:val="0"/>
          <w:sz w:val="32"/>
        </w:rPr>
        <w:t>年初预算数0.00万元，决算数1.96万元，预决算差异率100.00%，主要原因是：本年年初未安排政府性基金预算，年中追加80岁老年人体检经费项目，导致预决算存在差异。</w:t>
      </w:r>
    </w:p>
    <w:p>
      <w:pPr>
        <w:spacing w:line="580" w:lineRule="exact"/>
        <w:ind w:firstLine="640"/>
        <w:jc w:val="both"/>
      </w:pPr>
      <w:r>
        <w:rPr>
          <w:rFonts w:ascii="仿宋_GB2312" w:hAnsi="仿宋_GB2312" w:eastAsia="仿宋_GB2312"/>
          <w:b w:val="0"/>
          <w:sz w:val="32"/>
        </w:rPr>
        <w:t>政府性基金预算财政拨款支出1.96万元。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1.其他支出(类)彩票公益金安排的支出(款)用于社会福利的彩票公益金支出(项):支出决算数为1.96万元，比上年决算增加0.94万元，增长92.16%,主要原因是：本年增加80岁老年人体检经费项目，专用材料经费支出增加。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救护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2024年度轮台县哈尔巴克乡卫生院（事业单位）公用经费支出263.17万元，比上年增加23.45万元，增长9.78%，主要原因是：本年度办公费及劳务费支出增加。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2024年度政府采购支出总额81.34万元，其中：政府采购货物支出35.87万元、政府采购工程支出3.06万元、政府采购服务支出42.41万元。</w:t>
      </w:r>
    </w:p>
    <w:p>
      <w:pPr>
        <w:spacing w:line="580" w:lineRule="exact"/>
        <w:ind w:firstLine="640"/>
        <w:jc w:val="both"/>
      </w:pPr>
      <w:r>
        <w:rPr>
          <w:rFonts w:ascii="仿宋_GB2312" w:hAnsi="仿宋_GB2312" w:eastAsia="仿宋_GB2312"/>
          <w:b w:val="0"/>
          <w:sz w:val="32"/>
        </w:rPr>
        <w:t>授予中小企业合同金额81.19万元，占政府采购支出总额的99.82%，其中：授予小微企业合同金额52.91万元，占政府采购支出总额的65.05%。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2,341.00平方米，价值291.27万元。车辆2辆，价值62.54万元，其中：副部（省）级及以上领导用车0辆、主要负责人用车0辆、机要通信用车0辆、应急保障用车0辆、执法执勤用车0辆、特种专业技术用车0辆、离退休干部服务用车0辆、其他用车2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817.89万元，实际执行总额817.89万元；预算绩效评价项目1个，全年预算数179.05万元，全年执行数179.05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231"/>
        <w:gridCol w:w="874"/>
        <w:gridCol w:w="1105"/>
        <w:gridCol w:w="1105"/>
      </w:tblGrid>
      <w:tr>
        <w:tblPrEx>
          <w:tblCellMar>
            <w:top w:w="0" w:type="dxa"/>
            <w:left w:w="108" w:type="dxa"/>
            <w:bottom w:w="0" w:type="dxa"/>
            <w:right w:w="108" w:type="dxa"/>
          </w:tblCellMar>
        </w:tblPrEx>
        <w:tc>
          <w:tcPr>
            <w:tcW w:w="8840"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221.21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417.63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1、辖区内适龄儿童免疫规划疫苗接种率达到百分之95以上；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2、全民健康体检人数达到7000人以上；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3、高血压、糖尿病患者基层规范管理服务率达到百分之90以上；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4、接待门诊和住院患者人次达到14500人次以上；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5、居民健康教育次数达到70次以上；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6、重点人群家庭医生签约服务率达到百分之50以上；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7、辖区居民健康档案管理个数达到15000个以上；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8、卫生健康知识知晓率达到百分之65以上；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做好辖区内医疗救治服务，保障</w:t>
            </w:r>
            <w:r>
              <w:rPr>
                <w:rFonts w:hint="eastAsia" w:ascii="宋体" w:hAnsi="宋体"/>
                <w:sz w:val="16"/>
                <w:lang w:eastAsia="zh-CN"/>
              </w:rPr>
              <w:t>基本公共卫生服务</w:t>
            </w:r>
            <w:r>
              <w:rPr>
                <w:rFonts w:ascii="宋体" w:hAnsi="宋体" w:eastAsia="宋体"/>
                <w:sz w:val="16"/>
              </w:rPr>
              <w:t>开展，提升医疗收入；为本乡持有村医证书人员发放村医补助，稳定和壮大乡村医生队伍，筑牢农村卫生服务体系；做好本乡村居民健康档案规范建档指导、管理及服务，提高卫生健康知识知晓率，提高本乡村居民健康水平；做好群众的健康管理工作，开展全民健康体检工作，实现辖区居民全覆盖；为广大人民群众提供更加优质有效的中医药服务，推进中药材产业高质量发展重点目标任务落实。</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w:t>
            </w:r>
            <w:bookmarkStart w:id="0" w:name="_GoBack"/>
            <w:bookmarkEnd w:id="0"/>
            <w:r>
              <w:rPr>
                <w:rFonts w:ascii="宋体" w:hAnsi="宋体" w:eastAsia="宋体"/>
                <w:sz w:val="16"/>
              </w:rPr>
              <w:t>国民健康政策，以民生改善、提升传染病和突发公共卫生事件应对能力为目标，2024年已完成: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1.已完成适龄儿童免疫规划疫苗接种；接种率为99.48%，保障儿童身体健康，为其提供更好的医疗预防保健服务；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2.已完成全民健康体检，体检人数7024人，提升了辖区内居民的健康水平；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3.已完成高血压、糖尿病患者基层规范管理率91.96%，促进基层“两病”患者健康管理，增强基本医保门诊保障能力，减轻患者门诊用药费用负担；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4.已完成接待门诊和住院患者14990人次，确保居民能够得到及时救治，为居民身体健康提供保障；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5.已开展居民健康教育71次，提升卫生健康知识知晓率，提高本乡村居民健康认知水平。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6.本乡重点人群家庭医生签约服务率达到54.88%，保障对特殊人群</w:t>
            </w:r>
            <w:r>
              <w:rPr>
                <w:rFonts w:hint="eastAsia" w:ascii="宋体" w:hAnsi="宋体"/>
                <w:sz w:val="16"/>
                <w:lang w:eastAsia="zh-CN"/>
              </w:rPr>
              <w:t>提供</w:t>
            </w:r>
            <w:r>
              <w:rPr>
                <w:rFonts w:ascii="宋体" w:hAnsi="宋体" w:eastAsia="宋体"/>
                <w:sz w:val="16"/>
              </w:rPr>
              <w:t>更便捷的医疗服务，及时做好疾病预防；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7.完成辖区居民健康档案管理15316个，充分掌握居民健康状况以及变化趋势，为后续实施健康状况的评估和危险因素的干预奠定基础；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8.本乡群众卫生健康知识知晓率达到了68.15%，提升了群众的健康知识水平。</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&gt;=7000人</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&gt;=14500人次</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&gt;=79次</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辖区居民健康档案管理个数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&gt;=15000个</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轮台县哈尔巴克乡卫生院2024年工作计划</w:t>
            </w:r>
          </w:p>
        </w:tc>
        <w:tc>
          <w:tcPr>
            <w:tcW w:w="8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轮台县哈尔巴克乡卫生院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25人，按月发放工资，稳定医疗队伍,提升医院服务能力，持续为群众提供医疗保障服务；目标2：保障本单位日常办公经费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开展，完成卫生健康重点工作任务；目标3：计划采购药品及耗材，提升医疗服务水平，保障医疗服务质量；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了国家、自治区医疗卫生重大政策，推进了医疗与护理保健服务正常开展，已完成外聘医务人员25人，按月发放工资，保障60人日常办公经费运转支出，采购药品及耗材22批次，提升了医疗服务水平，保障了医疗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采购药品及耗材批次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药品及耗材验收合格率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采购药品及耗材完成时间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药品及耗材利用率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耗材使用人员满意度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6AA751-FFD3-4DBB-A15C-6BEAE0841D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B9024106-BB14-4648-B2E5-C5CC3B252965}"/>
  </w:font>
  <w:font w:name="仿宋_GB2312">
    <w:panose1 w:val="02010609030101010101"/>
    <w:charset w:val="86"/>
    <w:family w:val="auto"/>
    <w:pitch w:val="default"/>
    <w:sig w:usb0="00000001" w:usb1="080E0000" w:usb2="00000000" w:usb3="00000000" w:csb0="00040000" w:csb1="00000000"/>
    <w:embedRegular r:id="rId3" w:fontKey="{8C457DD6-A26B-473C-A341-C66F594170C8}"/>
  </w:font>
  <w:font w:name="楷体_GB2312">
    <w:panose1 w:val="02010609030101010101"/>
    <w:charset w:val="86"/>
    <w:family w:val="auto"/>
    <w:pitch w:val="default"/>
    <w:sig w:usb0="00000001" w:usb1="080E0000" w:usb2="00000000" w:usb3="00000000" w:csb0="00040000" w:csb1="00000000"/>
    <w:embedRegular r:id="rId4" w:fontKey="{43950B87-811A-4E35-B1A8-26CB2A92F0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DD2A9E"/>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C02EF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455883"/>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8F77CA"/>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743BDB"/>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5809</Words>
  <Characters>6593</Characters>
  <Lines>0</Lines>
  <Paragraphs>0</Paragraphs>
  <TotalTime>8</TotalTime>
  <ScaleCrop>false</ScaleCrop>
  <LinksUpToDate>false</LinksUpToDate>
  <CharactersWithSpaces>6601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