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轮台县商务和工业信息化局2024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3A87074">
      <w:r>
        <w:br w:type="page"/>
      </w:r>
    </w:p>
    <w:p w14:paraId="35A48E43">
      <w:pPr>
        <w:spacing w:line="640" w:lineRule="exact"/>
        <w:jc w:val="center"/>
        <w:outlineLvl w:val="1"/>
      </w:pPr>
      <w:r>
        <w:rPr>
          <w:rFonts w:ascii="黑体" w:hAnsi="黑体" w:eastAsia="黑体"/>
          <w:sz w:val="32"/>
        </w:rPr>
        <w:t>第一部分 单位概况</w:t>
      </w:r>
    </w:p>
    <w:p w14:paraId="6B81E30D">
      <w:pPr>
        <w:spacing w:line="640" w:lineRule="exact"/>
        <w:ind w:firstLine="640"/>
        <w:jc w:val="both"/>
        <w:outlineLvl w:val="2"/>
      </w:pPr>
      <w:r>
        <w:rPr>
          <w:rFonts w:ascii="黑体" w:hAnsi="黑体" w:eastAsia="黑体"/>
          <w:sz w:val="32"/>
        </w:rPr>
        <w:t>一、主要职能</w:t>
      </w:r>
    </w:p>
    <w:p w14:paraId="57CA960C">
      <w:pPr>
        <w:spacing w:line="580" w:lineRule="exact"/>
        <w:ind w:firstLine="640"/>
        <w:jc w:val="both"/>
      </w:pPr>
      <w:r>
        <w:rPr>
          <w:rFonts w:ascii="仿宋_GB2312" w:hAnsi="仿宋_GB2312" w:eastAsia="仿宋_GB2312"/>
          <w:sz w:val="32"/>
        </w:rPr>
        <w:t>（一）贯彻执行国家、自治区经济信息化和国家有关外贸、外资、对外经济合作的法律、法规、规章和方针、政策；提出县新型工业化、信息化发展战略建议；协调解决工业化和信息化进程中的重大问题；指导和协调县内外贸管理及外商投资管理、对外经济合作。</w:t>
      </w:r>
    </w:p>
    <w:p w14:paraId="256120E9">
      <w:pPr>
        <w:spacing w:line="580" w:lineRule="exact"/>
        <w:ind w:firstLine="640"/>
        <w:jc w:val="both"/>
      </w:pPr>
      <w:r>
        <w:rPr>
          <w:rFonts w:ascii="仿宋_GB2312" w:hAnsi="仿宋_GB2312" w:eastAsia="仿宋_GB2312"/>
          <w:sz w:val="32"/>
        </w:rPr>
        <w:t>（二）制定县商务和经济信息化发展规划、年度计划，并组织实施；拟订并组织实施县贸易、电子信息产业、招</w:t>
      </w:r>
      <w:r>
        <w:rPr>
          <w:rFonts w:hint="eastAsia" w:ascii="仿宋_GB2312" w:hAnsi="仿宋_GB2312" w:eastAsia="仿宋_GB2312"/>
          <w:sz w:val="32"/>
          <w:lang w:eastAsia="zh-CN"/>
        </w:rPr>
        <w:t>商引资</w:t>
      </w:r>
      <w:r>
        <w:rPr>
          <w:rFonts w:ascii="仿宋_GB2312" w:hAnsi="仿宋_GB2312" w:eastAsia="仿宋_GB2312"/>
          <w:sz w:val="32"/>
        </w:rPr>
        <w:t>发展规划、工作措施及外贸进出口中长期发展战略和促进外贸发展方式转变的措施；组织实施国家、自治区、自治州产业政策，指导县产业合理布局和结构调整，促进</w:t>
      </w:r>
      <w:r>
        <w:rPr>
          <w:rFonts w:hint="eastAsia" w:ascii="仿宋_GB2312" w:hAnsi="仿宋_GB2312" w:eastAsia="仿宋_GB2312"/>
          <w:sz w:val="32"/>
          <w:lang w:eastAsia="zh-CN"/>
        </w:rPr>
        <w:t>一二三产业</w:t>
      </w:r>
      <w:r>
        <w:rPr>
          <w:rFonts w:ascii="仿宋_GB2312" w:hAnsi="仿宋_GB2312" w:eastAsia="仿宋_GB2312"/>
          <w:sz w:val="32"/>
        </w:rPr>
        <w:t>协调发展；制定工业和信息产业优化布局、结构调整的措施并组织实施，组织协调重点产业调整和振兴规划的制定与实施。</w:t>
      </w:r>
    </w:p>
    <w:p w14:paraId="3D85922B">
      <w:pPr>
        <w:spacing w:line="580" w:lineRule="exact"/>
        <w:ind w:firstLine="640"/>
        <w:jc w:val="both"/>
      </w:pPr>
      <w:r>
        <w:rPr>
          <w:rFonts w:ascii="仿宋_GB2312" w:hAnsi="仿宋_GB2312" w:eastAsia="仿宋_GB2312"/>
          <w:sz w:val="32"/>
        </w:rPr>
        <w:t>（三）监测分析县国民经济运行态势，调节国民经济日常运行，制定并组织实施近期经济运行调控目标、措施并组织实施，统计和发布经济信息，进行预测预警和信息引导；组织协调解决县经济运行中的重大问题并提出建议；负责县能源保障和重要物资供需平衡有关工作；组织制定并实施现代物流业发展的相关措施；负责交通运输综合协调、经济运行应急管理、产业安全和国防动员有关工作。</w:t>
      </w:r>
    </w:p>
    <w:p w14:paraId="6494E760">
      <w:pPr>
        <w:spacing w:line="580" w:lineRule="exact"/>
        <w:ind w:firstLine="640"/>
        <w:jc w:val="both"/>
      </w:pPr>
      <w:r>
        <w:rPr>
          <w:rFonts w:ascii="仿宋_GB2312" w:hAnsi="仿宋_GB2312" w:eastAsia="仿宋_GB2312"/>
          <w:sz w:val="32"/>
        </w:rPr>
        <w:t>（四）负责县经济和信息化领域各行业的管理，组织拟订行业规划、计划、措施、技术规范并组织实施；执行自治区、自治州行业技术标准；制定电力、石油化工、墙改及散装水泥、轻工产品、盐业、黄金等行业管理规划；规范墙改及散装水泥的执法程序；负责全县民用爆破器材流通行业管理；负责县煤电煤化工产业发展工作。</w:t>
      </w:r>
    </w:p>
    <w:p w14:paraId="0EBF720F">
      <w:pPr>
        <w:spacing w:line="580" w:lineRule="exact"/>
        <w:ind w:firstLine="640"/>
        <w:jc w:val="both"/>
      </w:pPr>
      <w:r>
        <w:rPr>
          <w:rFonts w:ascii="仿宋_GB2312" w:hAnsi="仿宋_GB2312" w:eastAsia="仿宋_GB2312"/>
          <w:sz w:val="32"/>
        </w:rPr>
        <w:t>（五）负责县工业、信息产业及信息化建设的技术改造、投资管理工作；组织实施自治区、自治州技术改造、投资的有关政策措施；制定县技术改造、投资有关措施并组织实施；研究和规划技术改造项目投资方向和布局，引导企业、金融机构及社会资金的投向；负责技术改造、投资项目审核上报、核准、备案工作；负责重点技术改造项目招投标活动的监督管理。</w:t>
      </w:r>
    </w:p>
    <w:p w14:paraId="0225272B">
      <w:pPr>
        <w:spacing w:line="580" w:lineRule="exact"/>
        <w:ind w:firstLine="640"/>
        <w:jc w:val="both"/>
      </w:pPr>
      <w:r>
        <w:rPr>
          <w:rFonts w:ascii="仿宋_GB2312" w:hAnsi="仿宋_GB2312" w:eastAsia="仿宋_GB2312"/>
          <w:sz w:val="32"/>
        </w:rPr>
        <w:t>（六）制定县商务和经济信息化领域技术进步及自主创新措施，推动技术创新和科研相结合，推进相关科研成果产业化；制定产业中涉及生物医药、新材料、信息产业等规划，落实相关政策和标准，推动新兴产业发展；负责实施重大产业技术开发项目；组织实施新产品开发和新技术推广工作。</w:t>
      </w:r>
    </w:p>
    <w:p w14:paraId="1A0F820A">
      <w:pPr>
        <w:spacing w:line="580" w:lineRule="exact"/>
        <w:ind w:firstLine="640"/>
        <w:jc w:val="both"/>
      </w:pPr>
      <w:r>
        <w:rPr>
          <w:rFonts w:ascii="仿宋_GB2312" w:hAnsi="仿宋_GB2312" w:eastAsia="仿宋_GB2312"/>
          <w:sz w:val="32"/>
        </w:rPr>
        <w:t>（七）推进县商务和经济信息化领域体制改革和管理创新，对各种经济成分的企业实行宏观管理和指导；落实国家、自治区、自治州促进中小企业发展和非国有经济发展的相关政策措施，指导中小企业改革与发展，推动建立完善服务体系及信用担保体系，协调解决有关重大问题；指导商务和经济信息化领域人员的培训，会同有关部门实施企业智力引进工作；管理企业法律顾问工作；负责组织协调减轻企业负担工作。</w:t>
      </w:r>
    </w:p>
    <w:p w14:paraId="5B6C95DE">
      <w:pPr>
        <w:spacing w:line="580" w:lineRule="exact"/>
        <w:ind w:firstLine="640"/>
        <w:jc w:val="both"/>
      </w:pPr>
      <w:r>
        <w:rPr>
          <w:rFonts w:ascii="仿宋_GB2312" w:hAnsi="仿宋_GB2312" w:eastAsia="仿宋_GB2312"/>
          <w:sz w:val="32"/>
        </w:rPr>
        <w:t>（八）负责县重点企业服务工作，组织实施大企业大集团战略，协调煤电油气及资金等生产要素保障，促进重点企业加快发展。</w:t>
      </w:r>
    </w:p>
    <w:p w14:paraId="5EB1196F">
      <w:pPr>
        <w:spacing w:line="580" w:lineRule="exact"/>
        <w:ind w:firstLine="640"/>
        <w:jc w:val="both"/>
      </w:pPr>
      <w:r>
        <w:rPr>
          <w:rFonts w:ascii="仿宋_GB2312" w:hAnsi="仿宋_GB2312" w:eastAsia="仿宋_GB2312"/>
          <w:sz w:val="32"/>
        </w:rPr>
        <w:t>（九）负责研究提出县企业上市发展规划，支持上市公司、拟上市公司发展的措施建议，做好后备上市企业的筛选、培育、服务和推荐工作，贯彻落实自治区促进上市公司发展有关政策，协调解决企业上市有关问题。</w:t>
      </w:r>
    </w:p>
    <w:p w14:paraId="59B6D15A">
      <w:pPr>
        <w:spacing w:line="580" w:lineRule="exact"/>
        <w:ind w:firstLine="640"/>
        <w:jc w:val="both"/>
      </w:pPr>
      <w:r>
        <w:rPr>
          <w:rFonts w:ascii="仿宋_GB2312" w:hAnsi="仿宋_GB2312" w:eastAsia="仿宋_GB2312"/>
          <w:sz w:val="32"/>
        </w:rPr>
        <w:t>（十）负责统筹推进</w:t>
      </w:r>
      <w:r>
        <w:rPr>
          <w:rFonts w:hint="eastAsia" w:ascii="仿宋_GB2312" w:hAnsi="仿宋_GB2312" w:eastAsia="仿宋_GB2312"/>
          <w:sz w:val="32"/>
          <w:lang w:eastAsia="zh-CN"/>
        </w:rPr>
        <w:t>县域</w:t>
      </w:r>
      <w:r>
        <w:rPr>
          <w:rFonts w:ascii="仿宋_GB2312" w:hAnsi="仿宋_GB2312" w:eastAsia="仿宋_GB2312"/>
          <w:sz w:val="32"/>
        </w:rPr>
        <w:t>信息化工作；指导、协调县经济社会各领域信息技术的推广应用工作；组织协调国家、自治区、自治州重点信息化工程；推进跨行业、跨部门面向社会服务的互联互通及重要信息资源开发利用和共享，协调通信业有关工作；对县信息服务市场进行监督管理；推进信息化知识、技能的普及教育。</w:t>
      </w:r>
    </w:p>
    <w:p w14:paraId="3CAF0379">
      <w:pPr>
        <w:spacing w:line="580" w:lineRule="exact"/>
        <w:ind w:firstLine="640"/>
        <w:jc w:val="both"/>
      </w:pPr>
      <w:r>
        <w:rPr>
          <w:rFonts w:ascii="仿宋_GB2312" w:hAnsi="仿宋_GB2312" w:eastAsia="仿宋_GB2312"/>
          <w:sz w:val="32"/>
        </w:rPr>
        <w:t>（十一）组织指导县电子信息产业的发展；组织推进县电子信息产品制造业、软件业、信息服务业的研发、生产；组织协调县电子信息产业重大专项实施；对县电子信息产品市场进行监督管理。</w:t>
      </w:r>
    </w:p>
    <w:p w14:paraId="179D87D6">
      <w:pPr>
        <w:spacing w:line="580" w:lineRule="exact"/>
        <w:ind w:firstLine="640"/>
        <w:jc w:val="both"/>
      </w:pPr>
      <w:r>
        <w:rPr>
          <w:rFonts w:ascii="仿宋_GB2312" w:hAnsi="仿宋_GB2312" w:eastAsia="仿宋_GB2312"/>
          <w:sz w:val="32"/>
        </w:rPr>
        <w:t>（十二）负责归口管理、指导、协调县电子政务建设和应用规划工作；负责指导、协调、管理县有关网络与信息安全工作。</w:t>
      </w:r>
    </w:p>
    <w:p w14:paraId="3EC6AEBE">
      <w:pPr>
        <w:spacing w:line="580" w:lineRule="exact"/>
        <w:ind w:firstLine="640"/>
        <w:jc w:val="both"/>
      </w:pPr>
      <w:r>
        <w:rPr>
          <w:rFonts w:ascii="仿宋_GB2312" w:hAnsi="仿宋_GB2312" w:eastAsia="仿宋_GB2312"/>
          <w:sz w:val="32"/>
        </w:rPr>
        <w:t>（十三）负责县工业节能减排综合协调和监督管理工作，制定能源资源节约规划并组织实施；推进县有关循环经济发展；组织协调县有关清洁生产和节能环保产业发展工作；负责县工业节能执法工作。</w:t>
      </w:r>
    </w:p>
    <w:p w14:paraId="4DE89F22">
      <w:pPr>
        <w:spacing w:line="640" w:lineRule="exact"/>
        <w:ind w:firstLine="640"/>
        <w:jc w:val="both"/>
        <w:outlineLvl w:val="2"/>
      </w:pPr>
      <w:r>
        <w:rPr>
          <w:rFonts w:ascii="黑体" w:hAnsi="黑体" w:eastAsia="黑体"/>
          <w:sz w:val="32"/>
        </w:rPr>
        <w:t>二、机构设置及人员情况</w:t>
      </w:r>
    </w:p>
    <w:p w14:paraId="0775D4D9">
      <w:pPr>
        <w:spacing w:line="580" w:lineRule="exact"/>
        <w:ind w:firstLine="640"/>
        <w:jc w:val="both"/>
      </w:pPr>
      <w:r>
        <w:rPr>
          <w:rFonts w:ascii="仿宋_GB2312" w:hAnsi="仿宋_GB2312" w:eastAsia="仿宋_GB2312"/>
          <w:sz w:val="32"/>
        </w:rPr>
        <w:t>轮台县商务和工业信息化局2024年度，实有人数33人，其中：在职人员12人，增加0人；离休人员2人，增加0人；退休人员19人,增加1人。</w:t>
      </w:r>
    </w:p>
    <w:p w14:paraId="3C2CF932">
      <w:pPr>
        <w:spacing w:line="580" w:lineRule="exact"/>
        <w:ind w:firstLine="640"/>
        <w:jc w:val="both"/>
      </w:pPr>
      <w:r>
        <w:rPr>
          <w:rFonts w:ascii="仿宋_GB2312" w:hAnsi="仿宋_GB2312" w:eastAsia="仿宋_GB2312"/>
          <w:sz w:val="32"/>
        </w:rPr>
        <w:t>轮台县商务和工业信息化局无下属预算单位，下设5个科室，分别是：党建办公室、行政办公室、财务室、招商股、商务股。</w:t>
      </w:r>
    </w:p>
    <w:p w14:paraId="7076B36E">
      <w:r>
        <w:br w:type="page"/>
      </w:r>
    </w:p>
    <w:p w14:paraId="5D6DD877">
      <w:pPr>
        <w:spacing w:line="240" w:lineRule="auto"/>
        <w:jc w:val="center"/>
        <w:outlineLvl w:val="1"/>
      </w:pPr>
      <w:r>
        <w:rPr>
          <w:rFonts w:ascii="黑体" w:hAnsi="黑体" w:eastAsia="黑体"/>
          <w:sz w:val="32"/>
        </w:rPr>
        <w:t>第二部分 部门决算情况说明</w:t>
      </w:r>
    </w:p>
    <w:p w14:paraId="0CCC6732">
      <w:pPr>
        <w:spacing w:line="640" w:lineRule="exact"/>
        <w:ind w:firstLine="640"/>
        <w:jc w:val="both"/>
        <w:outlineLvl w:val="2"/>
      </w:pPr>
      <w:r>
        <w:rPr>
          <w:rFonts w:ascii="黑体" w:hAnsi="黑体" w:eastAsia="黑体"/>
          <w:sz w:val="32"/>
        </w:rPr>
        <w:t>一、收入支出决算总体情况说明</w:t>
      </w:r>
    </w:p>
    <w:p w14:paraId="3B5A6549">
      <w:pPr>
        <w:spacing w:line="580" w:lineRule="exact"/>
        <w:ind w:firstLine="640"/>
        <w:jc w:val="both"/>
      </w:pPr>
      <w:r>
        <w:rPr>
          <w:rFonts w:ascii="仿宋_GB2312" w:hAnsi="仿宋_GB2312" w:eastAsia="仿宋_GB2312"/>
          <w:b/>
          <w:sz w:val="32"/>
        </w:rPr>
        <w:t>2024年度收入总计3,859.05万元，</w:t>
      </w:r>
      <w:r>
        <w:rPr>
          <w:rFonts w:ascii="仿宋_GB2312" w:hAnsi="仿宋_GB2312" w:eastAsia="仿宋_GB2312"/>
          <w:b w:val="0"/>
          <w:sz w:val="32"/>
        </w:rPr>
        <w:t>其中：本年收入合计3,857.62万元，使用非财政拨款结余（含专用结余）0.00万元，年初结转和结余1.43万元。</w:t>
      </w:r>
    </w:p>
    <w:p w14:paraId="317BD52F">
      <w:pPr>
        <w:spacing w:line="580" w:lineRule="exact"/>
        <w:ind w:firstLine="640"/>
        <w:jc w:val="both"/>
      </w:pPr>
      <w:r>
        <w:rPr>
          <w:rFonts w:ascii="仿宋_GB2312" w:hAnsi="仿宋_GB2312" w:eastAsia="仿宋_GB2312"/>
          <w:b/>
          <w:sz w:val="32"/>
        </w:rPr>
        <w:t>2024年度支出总计3,859.05万元，</w:t>
      </w:r>
      <w:r>
        <w:rPr>
          <w:rFonts w:ascii="仿宋_GB2312" w:hAnsi="仿宋_GB2312" w:eastAsia="仿宋_GB2312"/>
          <w:b w:val="0"/>
          <w:sz w:val="32"/>
        </w:rPr>
        <w:t>其中：本年支出合计3,857.87万元，结余分配0.00万元，年末结转和结余1.18万元。</w:t>
      </w:r>
    </w:p>
    <w:p w14:paraId="082426F1">
      <w:pPr>
        <w:spacing w:line="580" w:lineRule="exact"/>
        <w:ind w:firstLine="640"/>
        <w:jc w:val="both"/>
      </w:pPr>
      <w:r>
        <w:rPr>
          <w:rFonts w:ascii="仿宋_GB2312" w:hAnsi="仿宋_GB2312" w:eastAsia="仿宋_GB2312"/>
          <w:b w:val="0"/>
          <w:sz w:val="32"/>
        </w:rPr>
        <w:t>收入支出总体与上年相比，减少1,007.22万元，下降20.70%，主要原因是：本年度减少援疆资金拨付的轮台县仓储冷链物流基地建设项目资金和轮台县“援疆盛果”农产品外销平台扶持项目，导致收入支出总体与上年相比减少。</w:t>
      </w:r>
    </w:p>
    <w:p w14:paraId="6536B5F9">
      <w:pPr>
        <w:spacing w:line="640" w:lineRule="exact"/>
        <w:ind w:firstLine="640"/>
        <w:jc w:val="both"/>
        <w:outlineLvl w:val="2"/>
      </w:pPr>
      <w:r>
        <w:rPr>
          <w:rFonts w:ascii="黑体" w:hAnsi="黑体" w:eastAsia="黑体"/>
          <w:sz w:val="32"/>
        </w:rPr>
        <w:t>二、收入决算情况说明</w:t>
      </w:r>
    </w:p>
    <w:p w14:paraId="47E57930">
      <w:pPr>
        <w:spacing w:line="580" w:lineRule="exact"/>
        <w:ind w:firstLine="640"/>
        <w:jc w:val="both"/>
      </w:pPr>
      <w:r>
        <w:rPr>
          <w:rFonts w:ascii="仿宋_GB2312" w:hAnsi="仿宋_GB2312" w:eastAsia="仿宋_GB2312"/>
          <w:b/>
          <w:sz w:val="32"/>
        </w:rPr>
        <w:t>本年收入3,857.62万元，</w:t>
      </w:r>
      <w:r>
        <w:rPr>
          <w:rFonts w:ascii="仿宋_GB2312" w:hAnsi="仿宋_GB2312" w:eastAsia="仿宋_GB2312"/>
          <w:b w:val="0"/>
          <w:sz w:val="32"/>
        </w:rPr>
        <w:t>其中：财政拨款收入2,915.52万元，占75.58%；上级补助收入0.00万元，占0.00%；事业收入0.00万元，占0.00%；经营收入0.00万元，占0.00%；附属单位上缴收入0.00万元，占0.00%；其他收入942.10万元，占24.42%。</w:t>
      </w:r>
    </w:p>
    <w:p w14:paraId="728C357C">
      <w:pPr>
        <w:spacing w:line="640" w:lineRule="exact"/>
        <w:ind w:firstLine="640"/>
        <w:jc w:val="both"/>
        <w:outlineLvl w:val="2"/>
      </w:pPr>
      <w:r>
        <w:rPr>
          <w:rFonts w:ascii="黑体" w:hAnsi="黑体" w:eastAsia="黑体"/>
          <w:sz w:val="32"/>
        </w:rPr>
        <w:t>三、支出决算情况说明</w:t>
      </w:r>
    </w:p>
    <w:p w14:paraId="5C786C07">
      <w:pPr>
        <w:spacing w:line="580" w:lineRule="exact"/>
        <w:ind w:firstLine="640"/>
        <w:jc w:val="both"/>
      </w:pPr>
      <w:r>
        <w:rPr>
          <w:rFonts w:ascii="仿宋_GB2312" w:hAnsi="仿宋_GB2312" w:eastAsia="仿宋_GB2312"/>
          <w:b/>
          <w:sz w:val="32"/>
        </w:rPr>
        <w:t>本年支出3,857.87万元，</w:t>
      </w:r>
      <w:r>
        <w:rPr>
          <w:rFonts w:ascii="仿宋_GB2312" w:hAnsi="仿宋_GB2312" w:eastAsia="仿宋_GB2312"/>
          <w:b w:val="0"/>
          <w:sz w:val="32"/>
        </w:rPr>
        <w:t>其中：基本支出1,869.77万元，占48.47%；项目支出1,988.10万元，占51.53%；上缴上级支出0.00万元，占0.00%；经营支出0.00万元，占0.00%；对附属单位补助支出0.00万元，占0.00%。</w:t>
      </w:r>
    </w:p>
    <w:p w14:paraId="741E087A">
      <w:pPr>
        <w:spacing w:line="640" w:lineRule="exact"/>
        <w:ind w:firstLine="640"/>
        <w:jc w:val="both"/>
        <w:outlineLvl w:val="2"/>
      </w:pPr>
      <w:r>
        <w:rPr>
          <w:rFonts w:ascii="黑体" w:hAnsi="黑体" w:eastAsia="黑体"/>
          <w:sz w:val="32"/>
        </w:rPr>
        <w:t>四、财政拨款收入支出决算总体情况说明</w:t>
      </w:r>
    </w:p>
    <w:p w14:paraId="122AB125">
      <w:pPr>
        <w:spacing w:line="580" w:lineRule="exact"/>
        <w:ind w:firstLine="640"/>
        <w:jc w:val="both"/>
      </w:pPr>
      <w:r>
        <w:rPr>
          <w:rFonts w:ascii="仿宋_GB2312" w:hAnsi="仿宋_GB2312" w:eastAsia="仿宋_GB2312"/>
          <w:b/>
          <w:sz w:val="32"/>
        </w:rPr>
        <w:t>2024年度财政拨款收入总计2,915.52万元，</w:t>
      </w:r>
      <w:r>
        <w:rPr>
          <w:rFonts w:ascii="仿宋_GB2312" w:hAnsi="仿宋_GB2312" w:eastAsia="仿宋_GB2312"/>
          <w:b w:val="0"/>
          <w:sz w:val="32"/>
        </w:rPr>
        <w:t>其中：年初财政拨款结转和结余0.00万元，本年财政拨款收入2,915.52万元。</w:t>
      </w:r>
      <w:r>
        <w:rPr>
          <w:rFonts w:ascii="仿宋_GB2312" w:hAnsi="仿宋_GB2312" w:eastAsia="仿宋_GB2312"/>
          <w:b/>
          <w:sz w:val="32"/>
        </w:rPr>
        <w:t>财政拨款支出总计2,915.52万元，</w:t>
      </w:r>
      <w:r>
        <w:rPr>
          <w:rFonts w:ascii="仿宋_GB2312" w:hAnsi="仿宋_GB2312" w:eastAsia="仿宋_GB2312"/>
          <w:b w:val="0"/>
          <w:sz w:val="32"/>
        </w:rPr>
        <w:t>其中：年末财政拨款结转和结余0.00万元，本年财政拨款支出2,915.52万元。</w:t>
      </w:r>
    </w:p>
    <w:p w14:paraId="3A400C4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增加68.60万元，增长2.41%，主要原因是：本年增加轮台县仓储冷链物流基地建设项目经费、巴州佳鑫源专精特新培育项目经费、新疆华油油气工程有限公司外贸发展资金，导致相关经费增加。</w:t>
      </w:r>
      <w:r>
        <w:rPr>
          <w:rFonts w:ascii="仿宋_GB2312" w:hAnsi="仿宋_GB2312" w:eastAsia="仿宋_GB2312"/>
          <w:b/>
          <w:sz w:val="32"/>
        </w:rPr>
        <w:t>与年初预算相比，</w:t>
      </w:r>
      <w:r>
        <w:rPr>
          <w:rFonts w:ascii="仿宋_GB2312" w:hAnsi="仿宋_GB2312" w:eastAsia="仿宋_GB2312"/>
          <w:b w:val="0"/>
          <w:sz w:val="32"/>
        </w:rPr>
        <w:t>年初预算数298.44万元，决算数2,915.52万元，预决算差异率876.92%，主要原因是：年中追加支付自然资源局智能物流配送中心项目土地保证金，导致预决算存在差异。</w:t>
      </w:r>
    </w:p>
    <w:p w14:paraId="75B0D426">
      <w:pPr>
        <w:spacing w:line="640" w:lineRule="exact"/>
        <w:ind w:firstLine="640"/>
        <w:jc w:val="both"/>
        <w:outlineLvl w:val="2"/>
      </w:pPr>
      <w:r>
        <w:rPr>
          <w:rFonts w:ascii="黑体" w:hAnsi="黑体" w:eastAsia="黑体"/>
          <w:sz w:val="32"/>
        </w:rPr>
        <w:t>五、一般公共预算财政拨款支出决算情况说明</w:t>
      </w:r>
    </w:p>
    <w:p w14:paraId="490EB9D7">
      <w:pPr>
        <w:spacing w:line="640" w:lineRule="exact"/>
        <w:ind w:firstLine="640"/>
        <w:jc w:val="both"/>
        <w:outlineLvl w:val="3"/>
      </w:pPr>
      <w:r>
        <w:rPr>
          <w:rFonts w:ascii="楷体_GB2312" w:hAnsi="楷体_GB2312" w:eastAsia="楷体_GB2312"/>
          <w:b/>
          <w:sz w:val="32"/>
        </w:rPr>
        <w:t>（一）一般公共预算财政拨款支出决算总体情况</w:t>
      </w:r>
    </w:p>
    <w:p w14:paraId="3EEECD92">
      <w:pPr>
        <w:spacing w:line="580" w:lineRule="exact"/>
        <w:ind w:firstLine="640"/>
        <w:jc w:val="both"/>
      </w:pPr>
      <w:r>
        <w:rPr>
          <w:rFonts w:ascii="仿宋_GB2312" w:hAnsi="仿宋_GB2312" w:eastAsia="仿宋_GB2312"/>
          <w:b/>
          <w:sz w:val="32"/>
        </w:rPr>
        <w:t>2024年度一般公共预算财政拨款支出2,902.93万元，</w:t>
      </w:r>
      <w:r>
        <w:rPr>
          <w:rFonts w:ascii="仿宋_GB2312" w:hAnsi="仿宋_GB2312" w:eastAsia="仿宋_GB2312"/>
          <w:b w:val="0"/>
          <w:sz w:val="32"/>
        </w:rPr>
        <w:t>占本年支出合计的75.25%。</w:t>
      </w:r>
      <w:r>
        <w:rPr>
          <w:rFonts w:ascii="仿宋_GB2312" w:hAnsi="仿宋_GB2312" w:eastAsia="仿宋_GB2312"/>
          <w:b/>
          <w:sz w:val="32"/>
        </w:rPr>
        <w:t>与上年相比，</w:t>
      </w:r>
      <w:r>
        <w:rPr>
          <w:rFonts w:ascii="仿宋_GB2312" w:hAnsi="仿宋_GB2312" w:eastAsia="仿宋_GB2312"/>
          <w:b w:val="0"/>
          <w:sz w:val="32"/>
        </w:rPr>
        <w:t>增加69.36万元，增长2.45%，主要原因是：本年增加轮台县仓储冷链物流基地建设项目经费、巴州佳鑫源专精特新培育项目经费、新疆华油油气工程有限公司外贸发展资金，导致相关经费增加。</w:t>
      </w:r>
      <w:r>
        <w:rPr>
          <w:rFonts w:ascii="仿宋_GB2312" w:hAnsi="仿宋_GB2312" w:eastAsia="仿宋_GB2312"/>
          <w:b/>
          <w:sz w:val="32"/>
        </w:rPr>
        <w:t>与年初预算相比,</w:t>
      </w:r>
      <w:r>
        <w:rPr>
          <w:rFonts w:ascii="仿宋_GB2312" w:hAnsi="仿宋_GB2312" w:eastAsia="仿宋_GB2312"/>
          <w:b w:val="0"/>
          <w:sz w:val="32"/>
        </w:rPr>
        <w:t>年初预算数283.27万元，决算数2,902.93万元，预决算差异率924.79%，主要原因是：年中追加支付自然资源局智能物流配送中心项目土地保证金，导致预决算存在差异。</w:t>
      </w:r>
    </w:p>
    <w:p w14:paraId="44C7CBC2">
      <w:pPr>
        <w:spacing w:line="640" w:lineRule="exact"/>
        <w:ind w:firstLine="640"/>
        <w:jc w:val="both"/>
        <w:outlineLvl w:val="3"/>
      </w:pPr>
      <w:r>
        <w:rPr>
          <w:rFonts w:ascii="楷体_GB2312" w:hAnsi="楷体_GB2312" w:eastAsia="楷体_GB2312"/>
          <w:b/>
          <w:sz w:val="32"/>
        </w:rPr>
        <w:t>（二）一般公共预算财政拨款支出决算结构情况</w:t>
      </w:r>
    </w:p>
    <w:p w14:paraId="51D7413B">
      <w:pPr>
        <w:spacing w:line="580" w:lineRule="exact"/>
        <w:ind w:firstLine="640"/>
        <w:jc w:val="both"/>
      </w:pPr>
      <w:r>
        <w:rPr>
          <w:rFonts w:ascii="仿宋_GB2312" w:hAnsi="仿宋_GB2312" w:eastAsia="仿宋_GB2312"/>
          <w:b w:val="0"/>
          <w:sz w:val="32"/>
        </w:rPr>
        <w:t>1.一般公共服务支出(类)558.06万元,占19.22%。</w:t>
      </w:r>
    </w:p>
    <w:p w14:paraId="02CD2F57">
      <w:pPr>
        <w:spacing w:line="580" w:lineRule="exact"/>
        <w:ind w:firstLine="640"/>
        <w:jc w:val="both"/>
      </w:pPr>
      <w:r>
        <w:rPr>
          <w:rFonts w:ascii="仿宋_GB2312" w:hAnsi="仿宋_GB2312" w:eastAsia="仿宋_GB2312"/>
          <w:b w:val="0"/>
          <w:sz w:val="32"/>
        </w:rPr>
        <w:t>2.社会保障和就业支出(类)94.93万元,占3.27%。</w:t>
      </w:r>
    </w:p>
    <w:p w14:paraId="68A4DCCE">
      <w:pPr>
        <w:spacing w:line="580" w:lineRule="exact"/>
        <w:ind w:firstLine="640"/>
        <w:jc w:val="both"/>
      </w:pPr>
      <w:r>
        <w:rPr>
          <w:rFonts w:ascii="仿宋_GB2312" w:hAnsi="仿宋_GB2312" w:eastAsia="仿宋_GB2312"/>
          <w:b w:val="0"/>
          <w:sz w:val="32"/>
        </w:rPr>
        <w:t>3.卫生健康支出(类)16.65万元,占0.57%。</w:t>
      </w:r>
    </w:p>
    <w:p w14:paraId="5408FB46">
      <w:pPr>
        <w:spacing w:line="580" w:lineRule="exact"/>
        <w:ind w:firstLine="640"/>
        <w:jc w:val="both"/>
      </w:pPr>
      <w:r>
        <w:rPr>
          <w:rFonts w:ascii="仿宋_GB2312" w:hAnsi="仿宋_GB2312" w:eastAsia="仿宋_GB2312"/>
          <w:b w:val="0"/>
          <w:sz w:val="32"/>
        </w:rPr>
        <w:t>4.节能环保支出(类)96.00万元,占3.31%。</w:t>
      </w:r>
    </w:p>
    <w:p w14:paraId="363E5AAC">
      <w:pPr>
        <w:spacing w:line="580" w:lineRule="exact"/>
        <w:ind w:firstLine="640"/>
        <w:jc w:val="both"/>
      </w:pPr>
      <w:r>
        <w:rPr>
          <w:rFonts w:ascii="仿宋_GB2312" w:hAnsi="仿宋_GB2312" w:eastAsia="仿宋_GB2312"/>
          <w:b w:val="0"/>
          <w:sz w:val="32"/>
        </w:rPr>
        <w:t>5.城乡社区支出(类)821.34万元,占28.29%。</w:t>
      </w:r>
    </w:p>
    <w:p w14:paraId="4FF83A79">
      <w:pPr>
        <w:spacing w:line="580" w:lineRule="exact"/>
        <w:ind w:firstLine="640"/>
        <w:jc w:val="both"/>
      </w:pPr>
      <w:r>
        <w:rPr>
          <w:rFonts w:ascii="仿宋_GB2312" w:hAnsi="仿宋_GB2312" w:eastAsia="仿宋_GB2312"/>
          <w:b w:val="0"/>
          <w:sz w:val="32"/>
        </w:rPr>
        <w:t>6.农林水支出(类)702.33万元,占24.19%。</w:t>
      </w:r>
    </w:p>
    <w:p w14:paraId="1BD9C104">
      <w:pPr>
        <w:spacing w:line="580" w:lineRule="exact"/>
        <w:ind w:firstLine="640"/>
        <w:jc w:val="both"/>
      </w:pPr>
      <w:r>
        <w:rPr>
          <w:rFonts w:ascii="仿宋_GB2312" w:hAnsi="仿宋_GB2312" w:eastAsia="仿宋_GB2312"/>
          <w:b w:val="0"/>
          <w:sz w:val="32"/>
        </w:rPr>
        <w:t>7.资源勘探工业信息等支出(类)420.17万元,占14.47%。</w:t>
      </w:r>
    </w:p>
    <w:p w14:paraId="3B451538">
      <w:pPr>
        <w:spacing w:line="580" w:lineRule="exact"/>
        <w:ind w:firstLine="640"/>
        <w:jc w:val="both"/>
      </w:pPr>
      <w:r>
        <w:rPr>
          <w:rFonts w:ascii="仿宋_GB2312" w:hAnsi="仿宋_GB2312" w:eastAsia="仿宋_GB2312"/>
          <w:b w:val="0"/>
          <w:sz w:val="32"/>
        </w:rPr>
        <w:t>8.商业服务业等支出(类)176.23万元,占6.07%。</w:t>
      </w:r>
    </w:p>
    <w:p w14:paraId="2D45F3C5">
      <w:pPr>
        <w:spacing w:line="580" w:lineRule="exact"/>
        <w:ind w:firstLine="640"/>
        <w:jc w:val="both"/>
      </w:pPr>
      <w:r>
        <w:rPr>
          <w:rFonts w:ascii="仿宋_GB2312" w:hAnsi="仿宋_GB2312" w:eastAsia="仿宋_GB2312"/>
          <w:b w:val="0"/>
          <w:sz w:val="32"/>
        </w:rPr>
        <w:t>9.住房保障支出(类)17.23万元,占0.59%。</w:t>
      </w:r>
    </w:p>
    <w:p w14:paraId="1847179D">
      <w:pPr>
        <w:spacing w:line="640" w:lineRule="exact"/>
        <w:ind w:firstLine="640"/>
        <w:jc w:val="both"/>
        <w:outlineLvl w:val="3"/>
      </w:pPr>
      <w:r>
        <w:rPr>
          <w:rFonts w:ascii="楷体_GB2312" w:hAnsi="楷体_GB2312" w:eastAsia="楷体_GB2312"/>
          <w:b/>
          <w:sz w:val="32"/>
        </w:rPr>
        <w:t>（三）一般公共预算财政拨款支出决算具体情况</w:t>
      </w:r>
    </w:p>
    <w:p w14:paraId="52BE6FA7">
      <w:pPr>
        <w:spacing w:line="580" w:lineRule="exact"/>
        <w:ind w:firstLine="640"/>
        <w:jc w:val="both"/>
      </w:pPr>
      <w:r>
        <w:rPr>
          <w:rFonts w:ascii="仿宋_GB2312" w:hAnsi="仿宋_GB2312" w:eastAsia="仿宋_GB2312"/>
          <w:b w:val="0"/>
          <w:sz w:val="32"/>
        </w:rPr>
        <w:t>1.一般公共服务支出(类)商贸事务(款)行政运行(项):支出决算数为155.50万元，比上年决算减少23.20万元，下降12.98%,主要原因是：本年在职人员调入调出，人员职级不同，工资基数不同，导致人员经费较上年减少。</w:t>
      </w:r>
    </w:p>
    <w:p w14:paraId="1FC2A1F7">
      <w:pPr>
        <w:spacing w:line="580" w:lineRule="exact"/>
        <w:ind w:firstLine="640"/>
        <w:jc w:val="both"/>
      </w:pPr>
      <w:r>
        <w:rPr>
          <w:rFonts w:ascii="仿宋_GB2312" w:hAnsi="仿宋_GB2312" w:eastAsia="仿宋_GB2312"/>
          <w:b w:val="0"/>
          <w:sz w:val="32"/>
        </w:rPr>
        <w:t>2.一般公共服务支出(类)商贸事务(款)招商引资(项):支出决算数为53.09万元，比上年决算增加53.09万元，增长100.00%,主要原因是：本年度增加委托业务费等经费，导致相关经费增加。</w:t>
      </w:r>
    </w:p>
    <w:p w14:paraId="2D3EA805">
      <w:pPr>
        <w:spacing w:line="580" w:lineRule="exact"/>
        <w:ind w:firstLine="640"/>
        <w:jc w:val="both"/>
      </w:pPr>
      <w:r>
        <w:rPr>
          <w:rFonts w:ascii="仿宋_GB2312" w:hAnsi="仿宋_GB2312" w:eastAsia="仿宋_GB2312"/>
          <w:b w:val="0"/>
          <w:sz w:val="32"/>
        </w:rPr>
        <w:t>3.一般公共服务支出(类)商贸事务(款)事业运行(项):支出决算数为13.83万元，比上年决算增加1.01万元，增长7.88%,主要原因是：本年在职人员工资调增，导致相关人员经费较上年有所增加。</w:t>
      </w:r>
    </w:p>
    <w:p w14:paraId="592245E1">
      <w:pPr>
        <w:spacing w:line="580" w:lineRule="exact"/>
        <w:ind w:firstLine="640"/>
        <w:jc w:val="both"/>
      </w:pPr>
      <w:r>
        <w:rPr>
          <w:rFonts w:ascii="仿宋_GB2312" w:hAnsi="仿宋_GB2312" w:eastAsia="仿宋_GB2312"/>
          <w:b w:val="0"/>
          <w:sz w:val="32"/>
        </w:rPr>
        <w:t>4.一般公共服务支出(类)商贸事务(款)其他商贸事务支出(项):支出决算数为335.65万元，比上年决算增加306.27万元，增长1,042.44%,主要原因是：本年度新增轮台县政府消费券活动补贴支出，导致相关经费增加。</w:t>
      </w:r>
    </w:p>
    <w:p w14:paraId="16A8DF38">
      <w:pPr>
        <w:spacing w:line="580" w:lineRule="exact"/>
        <w:ind w:firstLine="640"/>
        <w:jc w:val="both"/>
      </w:pPr>
      <w:r>
        <w:rPr>
          <w:rFonts w:ascii="仿宋_GB2312" w:hAnsi="仿宋_GB2312" w:eastAsia="仿宋_GB2312"/>
          <w:b w:val="0"/>
          <w:sz w:val="32"/>
        </w:rPr>
        <w:t>5.科学技术支出(类)技术研究与开发(款)科技成果转化与扩散(项):支出决算数为0.00万元，比上年决算减少200.00万元，下降100.00%,主要原因是：本年度减少巴州新意纺织装修补贴，导致经费减少。</w:t>
      </w:r>
    </w:p>
    <w:p w14:paraId="16341A5F">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6.社会保障和就业支出(类)行政事业单位养老支出(款)行政单位离退休(项):支出决算数为69.17万元，比上年决算减少49.16万元，下降41.54%,主要原因是：本年</w:t>
      </w:r>
      <w:r>
        <w:rPr>
          <w:rFonts w:hint="eastAsia" w:ascii="仿宋_GB2312" w:hAnsi="仿宋_GB2312" w:eastAsia="仿宋_GB2312"/>
          <w:b w:val="0"/>
          <w:sz w:val="32"/>
          <w:lang w:val="en-US" w:eastAsia="zh-CN"/>
        </w:rPr>
        <w:t>未补发以前年度退休人员基础绩效</w:t>
      </w:r>
      <w:r>
        <w:rPr>
          <w:rFonts w:ascii="仿宋_GB2312" w:hAnsi="仿宋_GB2312" w:eastAsia="仿宋_GB2312"/>
          <w:b w:val="0"/>
          <w:sz w:val="32"/>
        </w:rPr>
        <w:t>，行政单位离退休经费较上年减少。</w:t>
      </w:r>
    </w:p>
    <w:p w14:paraId="4D907157">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7.社会保障和就业支出(类)行政事业单位养老支出(款)事业单位离退休(项):支出决算数为3.05万元，比上年决算减少4.43万元，下降59.22%,主要原因是：本年</w:t>
      </w:r>
      <w:r>
        <w:rPr>
          <w:rFonts w:hint="eastAsia" w:ascii="仿宋_GB2312" w:hAnsi="仿宋_GB2312" w:eastAsia="仿宋_GB2312"/>
          <w:b w:val="0"/>
          <w:sz w:val="32"/>
          <w:lang w:val="en-US" w:eastAsia="zh-CN"/>
        </w:rPr>
        <w:t>未补发以前年度退休人员基础绩效</w:t>
      </w:r>
      <w:r>
        <w:rPr>
          <w:rFonts w:ascii="仿宋_GB2312" w:hAnsi="仿宋_GB2312" w:eastAsia="仿宋_GB2312"/>
          <w:b w:val="0"/>
          <w:sz w:val="32"/>
        </w:rPr>
        <w:t>，事业单位离退休经费较上年减少。</w:t>
      </w:r>
    </w:p>
    <w:p w14:paraId="24D41699">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22.71万元，比上年决算增加3.21万元，增长16.46%,主要原因是：本年在职人员工资基数调增，养老缴费基数上涨，相应支出增加。</w:t>
      </w:r>
    </w:p>
    <w:p w14:paraId="1173D95E">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15.50万元，下降100.00%,主要原因是：本年新增退休人员职业年金未做实，导致职业年金缴费较上年减少。</w:t>
      </w:r>
    </w:p>
    <w:p w14:paraId="76426697">
      <w:pPr>
        <w:spacing w:line="580" w:lineRule="exact"/>
        <w:ind w:firstLine="640"/>
        <w:jc w:val="both"/>
      </w:pPr>
      <w:r>
        <w:rPr>
          <w:rFonts w:ascii="仿宋_GB2312" w:hAnsi="仿宋_GB2312" w:eastAsia="仿宋_GB2312"/>
          <w:b w:val="0"/>
          <w:sz w:val="32"/>
        </w:rPr>
        <w:t>10.卫生健康支出(类)行政事业单位医疗(款)行政单位医疗(项):支出决算数为11.88万元，比上年决算增加4.20万元，增长54.69%,主要原因是：本年在职人员工资基数调增，医疗缴费基数上涨，相应支出增加。</w:t>
      </w:r>
    </w:p>
    <w:p w14:paraId="2283643E">
      <w:pPr>
        <w:spacing w:line="580" w:lineRule="exact"/>
        <w:ind w:firstLine="640"/>
        <w:jc w:val="both"/>
      </w:pPr>
      <w:r>
        <w:rPr>
          <w:rFonts w:ascii="仿宋_GB2312" w:hAnsi="仿宋_GB2312" w:eastAsia="仿宋_GB2312"/>
          <w:b w:val="0"/>
          <w:sz w:val="32"/>
        </w:rPr>
        <w:t>11.卫生健康支出(类)行政事业单位医疗(款)事业单位医疗(项):支出决算数为0.88万元，比上年决算减少0.58万元，下降39.73%,主要原因是：本年在职人员调入调出，人员职级不同，缴费基数不同，导致事业单位医疗较上年减少。</w:t>
      </w:r>
    </w:p>
    <w:p w14:paraId="1EC88B05">
      <w:pPr>
        <w:spacing w:line="580" w:lineRule="exact"/>
        <w:ind w:firstLine="640"/>
        <w:jc w:val="both"/>
      </w:pPr>
      <w:r>
        <w:rPr>
          <w:rFonts w:ascii="仿宋_GB2312" w:hAnsi="仿宋_GB2312" w:eastAsia="仿宋_GB2312"/>
          <w:b w:val="0"/>
          <w:sz w:val="32"/>
        </w:rPr>
        <w:t>12.卫生健康支出(类)行政事业单位医疗(款)公务员医疗补助(项):支出决算数为3.89万元，比上年决算增加0.31万元，增长8.66%,主要原因是：本年在职人员工资基数调增，医疗缴费基数上涨，相应支出增加。</w:t>
      </w:r>
    </w:p>
    <w:p w14:paraId="25D6C302">
      <w:pPr>
        <w:spacing w:line="580" w:lineRule="exact"/>
        <w:ind w:firstLine="640"/>
        <w:jc w:val="both"/>
      </w:pPr>
      <w:r>
        <w:rPr>
          <w:rFonts w:ascii="仿宋_GB2312" w:hAnsi="仿宋_GB2312" w:eastAsia="仿宋_GB2312"/>
          <w:b w:val="0"/>
          <w:sz w:val="32"/>
        </w:rPr>
        <w:t>13.节能环保支出(类)能源节约利用(款)能源节约利用(项):支出决算数为96.00万元，比上年决算增加96.00万元，增长100.00%,主要原因是：本年度新增鼎博公司节能减排资金增加，导致能源节约利用增加。</w:t>
      </w:r>
    </w:p>
    <w:p w14:paraId="50E8275E">
      <w:pPr>
        <w:spacing w:line="580" w:lineRule="exact"/>
        <w:ind w:firstLine="640"/>
        <w:jc w:val="both"/>
      </w:pPr>
      <w:r>
        <w:rPr>
          <w:rFonts w:ascii="仿宋_GB2312" w:hAnsi="仿宋_GB2312" w:eastAsia="仿宋_GB2312"/>
          <w:b w:val="0"/>
          <w:sz w:val="32"/>
        </w:rPr>
        <w:t>14.城乡社区支出(类)城乡社区公共设施(款)其他城乡社区公共设施支出(项):支出决算数为821.34万元，比上年决算增加821.34万元，增长100.00%,主要原因是：本年新增轮台县仓储冷链物流基地建设项目经费，导致支出增加。</w:t>
      </w:r>
    </w:p>
    <w:p w14:paraId="26C4EB6E">
      <w:pPr>
        <w:spacing w:line="580" w:lineRule="exact"/>
        <w:ind w:firstLine="640"/>
        <w:jc w:val="both"/>
      </w:pPr>
      <w:r>
        <w:rPr>
          <w:rFonts w:ascii="仿宋_GB2312" w:hAnsi="仿宋_GB2312" w:eastAsia="仿宋_GB2312"/>
          <w:b w:val="0"/>
          <w:sz w:val="32"/>
        </w:rPr>
        <w:t>15.农林水支出(类)巩固脱贫攻坚成果衔接乡村振兴(款)生产发展(项):支出决算数为702.33万元，比上年决算减少814.92万元，下降53.71%,主要原因是：本年度减少轮台县面粉加工厂建设项目经费，导致支出减少。</w:t>
      </w:r>
    </w:p>
    <w:p w14:paraId="5F534EB1">
      <w:pPr>
        <w:spacing w:line="580" w:lineRule="exact"/>
        <w:ind w:firstLine="640"/>
        <w:jc w:val="both"/>
      </w:pPr>
      <w:r>
        <w:rPr>
          <w:rFonts w:ascii="仿宋_GB2312" w:hAnsi="仿宋_GB2312" w:eastAsia="仿宋_GB2312"/>
          <w:b w:val="0"/>
          <w:sz w:val="32"/>
        </w:rPr>
        <w:t>16.农林水支出(类)普惠金融发展支出(款)其他普惠金融发展支出(项):支出决算数为0.00万元，比上年决算减少80.00万元，下降100.00%,主要原因是：本年度减少</w:t>
      </w:r>
      <w:r>
        <w:rPr>
          <w:rFonts w:hint="eastAsia" w:ascii="仿宋_GB2312" w:hAnsi="仿宋_GB2312" w:eastAsia="仿宋_GB2312"/>
          <w:b w:val="0"/>
          <w:sz w:val="32"/>
          <w:lang w:eastAsia="zh-CN"/>
        </w:rPr>
        <w:t>通过</w:t>
      </w:r>
      <w:r>
        <w:rPr>
          <w:rFonts w:ascii="仿宋_GB2312" w:hAnsi="仿宋_GB2312" w:eastAsia="仿宋_GB2312"/>
          <w:b w:val="0"/>
          <w:sz w:val="32"/>
        </w:rPr>
        <w:t>上市引导资金，导致支出减少。</w:t>
      </w:r>
    </w:p>
    <w:p w14:paraId="70D50BF2">
      <w:pPr>
        <w:spacing w:line="580" w:lineRule="exact"/>
        <w:ind w:firstLine="640"/>
        <w:jc w:val="both"/>
      </w:pPr>
      <w:r>
        <w:rPr>
          <w:rFonts w:ascii="仿宋_GB2312" w:hAnsi="仿宋_GB2312" w:eastAsia="仿宋_GB2312"/>
          <w:b w:val="0"/>
          <w:sz w:val="32"/>
        </w:rPr>
        <w:t>17.资源勘探工业信息等支出(类)制造业(款)纺织业(项):支出决算数为395.17万元，比上年决算减少230.59万元，下降36.85%,主要原因是：本年度减少巴州新意纺织补贴资金，导致支出减少。</w:t>
      </w:r>
    </w:p>
    <w:p w14:paraId="2E987A28">
      <w:pPr>
        <w:spacing w:line="580" w:lineRule="exact"/>
        <w:ind w:firstLine="640"/>
        <w:jc w:val="both"/>
      </w:pPr>
      <w:r>
        <w:rPr>
          <w:rFonts w:ascii="仿宋_GB2312" w:hAnsi="仿宋_GB2312" w:eastAsia="仿宋_GB2312"/>
          <w:b w:val="0"/>
          <w:sz w:val="32"/>
        </w:rPr>
        <w:t>18.资源勘探工业信息等支出(类)支持中小企业发展和管理支出(款)中小企业发展专项(项):支出决算数为25.00万元，比上年决算增加25.00万元，增长100.00%,主要原因是：本年度增加巴州佳鑫源专精特新培育项目，导致经费增加。</w:t>
      </w:r>
    </w:p>
    <w:p w14:paraId="3ABC9979">
      <w:pPr>
        <w:spacing w:line="580" w:lineRule="exact"/>
        <w:ind w:firstLine="640"/>
        <w:jc w:val="both"/>
      </w:pPr>
      <w:r>
        <w:rPr>
          <w:rFonts w:ascii="仿宋_GB2312" w:hAnsi="仿宋_GB2312" w:eastAsia="仿宋_GB2312"/>
          <w:b w:val="0"/>
          <w:sz w:val="32"/>
        </w:rPr>
        <w:t>19.商业服务业等支出(类)涉外发展服务支出(款)其他涉外发展服务支出(项):支出决算数为12.00万元，比上年决算增加12.00万元，增长100.00%,主要原因是：本年度增加新疆华油油气工程有限公司外贸发展资金，导致经费增加。</w:t>
      </w:r>
    </w:p>
    <w:p w14:paraId="6551760B">
      <w:pPr>
        <w:spacing w:line="580" w:lineRule="exact"/>
        <w:ind w:firstLine="640"/>
        <w:jc w:val="both"/>
      </w:pPr>
      <w:r>
        <w:rPr>
          <w:rFonts w:ascii="仿宋_GB2312" w:hAnsi="仿宋_GB2312" w:eastAsia="仿宋_GB2312"/>
          <w:b w:val="0"/>
          <w:sz w:val="32"/>
        </w:rPr>
        <w:t>20.商业服务业等支出(类)其他商业服务业等支出(款)其他商业服务业等支出(项):支出决算数为164.23万元，比上年决算增加164.23万元，增长100.00%,主要原因是：本年度新增对创新农牧业屠宰加工项目的资金补助，导致支出增加。</w:t>
      </w:r>
    </w:p>
    <w:p w14:paraId="37FADEFE">
      <w:pPr>
        <w:spacing w:line="580" w:lineRule="exact"/>
        <w:ind w:firstLine="640"/>
        <w:jc w:val="both"/>
      </w:pPr>
      <w:r>
        <w:rPr>
          <w:rFonts w:ascii="仿宋_GB2312" w:hAnsi="仿宋_GB2312" w:eastAsia="仿宋_GB2312"/>
          <w:b w:val="0"/>
          <w:sz w:val="32"/>
        </w:rPr>
        <w:t>21.住房保障支出(类)住房改革支出(款)住房公积金(项):支出决算数为17.23万元，比上年决算增加1.10万元，增长6.82%,主要原因是：本年在职人员工资基数调增，公积金缴费基数上涨，相应支出增加。</w:t>
      </w:r>
    </w:p>
    <w:p w14:paraId="199DCF7C">
      <w:pPr>
        <w:spacing w:line="640" w:lineRule="exact"/>
        <w:ind w:firstLine="640"/>
        <w:jc w:val="both"/>
        <w:outlineLvl w:val="2"/>
      </w:pPr>
      <w:r>
        <w:rPr>
          <w:rFonts w:ascii="黑体" w:hAnsi="黑体" w:eastAsia="黑体"/>
          <w:sz w:val="32"/>
        </w:rPr>
        <w:t>六、一般公共预算财政拨款基本支出决算情况说明</w:t>
      </w:r>
    </w:p>
    <w:p w14:paraId="14618231">
      <w:pPr>
        <w:spacing w:line="580" w:lineRule="exact"/>
        <w:ind w:firstLine="640"/>
        <w:jc w:val="both"/>
      </w:pPr>
      <w:r>
        <w:rPr>
          <w:rFonts w:ascii="仿宋_GB2312" w:hAnsi="仿宋_GB2312" w:eastAsia="仿宋_GB2312"/>
          <w:b w:val="0"/>
          <w:sz w:val="32"/>
        </w:rPr>
        <w:t>2024年度一般公共预算财政拨款基本支出1,868.91万元，其中：</w:t>
      </w:r>
      <w:r>
        <w:rPr>
          <w:rFonts w:ascii="仿宋_GB2312" w:hAnsi="仿宋_GB2312" w:eastAsia="仿宋_GB2312"/>
          <w:b/>
          <w:sz w:val="32"/>
        </w:rPr>
        <w:t>人员经费283.07万元，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包括：基本工资、津贴补贴、奖金、绩效工资、机关事业单位基本养老保险缴费、职工基本医疗保险缴费、公务员医疗补助缴费、其他社会保障缴费、住房公积金、离休费、退休费、抚恤金、生活补助、奖励金。</w:t>
      </w:r>
    </w:p>
    <w:p w14:paraId="04BD61A5">
      <w:pPr>
        <w:spacing w:line="580" w:lineRule="exact"/>
        <w:ind w:firstLine="640"/>
        <w:jc w:val="both"/>
      </w:pPr>
      <w:r>
        <w:rPr>
          <w:rFonts w:ascii="仿宋_GB2312" w:hAnsi="仿宋_GB2312" w:eastAsia="仿宋_GB2312"/>
          <w:b/>
          <w:sz w:val="32"/>
        </w:rPr>
        <w:t>公用经费1,585.84万元，</w:t>
      </w:r>
      <w:r>
        <w:rPr>
          <w:rFonts w:ascii="仿宋_GB2312" w:hAnsi="仿宋_GB2312" w:eastAsia="仿宋_GB2312"/>
          <w:b w:val="0"/>
          <w:sz w:val="32"/>
        </w:rPr>
        <w:t>包括：办公费、邮电费、差旅费、维修（护）费、专用材料费、委托业务费、公务用车运行维护费、其他交通费用、税金及附加费用、费用补贴。</w:t>
      </w:r>
    </w:p>
    <w:p w14:paraId="51104433">
      <w:pPr>
        <w:spacing w:line="640" w:lineRule="exact"/>
        <w:ind w:firstLine="640"/>
        <w:jc w:val="both"/>
        <w:outlineLvl w:val="2"/>
      </w:pPr>
      <w:r>
        <w:rPr>
          <w:rFonts w:ascii="黑体" w:hAnsi="黑体" w:eastAsia="黑体"/>
          <w:sz w:val="32"/>
        </w:rPr>
        <w:t>七、政府性基金预算财政拨款收入支出决算情况说明</w:t>
      </w:r>
    </w:p>
    <w:p w14:paraId="099649B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96174E8">
      <w:pPr>
        <w:spacing w:line="640" w:lineRule="exact"/>
        <w:ind w:firstLine="640"/>
        <w:jc w:val="both"/>
        <w:outlineLvl w:val="2"/>
      </w:pPr>
      <w:r>
        <w:rPr>
          <w:rFonts w:ascii="黑体" w:hAnsi="黑体" w:eastAsia="黑体"/>
          <w:sz w:val="32"/>
        </w:rPr>
        <w:t>八、国有资本经营预算财政拨款收入支出决算情况说明</w:t>
      </w:r>
    </w:p>
    <w:p w14:paraId="67E895E1">
      <w:pPr>
        <w:spacing w:line="580" w:lineRule="exact"/>
        <w:ind w:firstLine="640"/>
        <w:jc w:val="both"/>
      </w:pPr>
      <w:r>
        <w:rPr>
          <w:rFonts w:ascii="仿宋_GB2312" w:hAnsi="仿宋_GB2312" w:eastAsia="仿宋_GB2312"/>
          <w:b/>
          <w:sz w:val="32"/>
        </w:rPr>
        <w:t>2024年度国有资本经营预算财政拨款收入总计12.59万元，</w:t>
      </w:r>
      <w:r>
        <w:rPr>
          <w:rFonts w:ascii="仿宋_GB2312" w:hAnsi="仿宋_GB2312" w:eastAsia="仿宋_GB2312"/>
          <w:b w:val="0"/>
          <w:sz w:val="32"/>
        </w:rPr>
        <w:t>其中：年初结转和结余0.00万元，本年收入12.59万元。</w:t>
      </w:r>
      <w:r>
        <w:rPr>
          <w:rFonts w:ascii="仿宋_GB2312" w:hAnsi="仿宋_GB2312" w:eastAsia="仿宋_GB2312"/>
          <w:b/>
          <w:sz w:val="32"/>
        </w:rPr>
        <w:t>国有资本经营预算财政拨款支出总计12.59万元，</w:t>
      </w:r>
      <w:r>
        <w:rPr>
          <w:rFonts w:ascii="仿宋_GB2312" w:hAnsi="仿宋_GB2312" w:eastAsia="仿宋_GB2312"/>
          <w:b w:val="0"/>
          <w:sz w:val="32"/>
        </w:rPr>
        <w:t>其中：年末结转和结余0.00万元，本年支出12.59万元。</w:t>
      </w:r>
    </w:p>
    <w:p w14:paraId="370D4492">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减少0.76万元，下降5.69%，主要原因是：本年度国有企业退休人员医保费减少，导致经费较上年减少。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年初预算数15.18万元，决算数12.59万元，预决算差异率-17.06%，主要原因是：年中调减国有企业退休人员医保费，导致预决算存在差异。</w:t>
      </w:r>
    </w:p>
    <w:p w14:paraId="484F038C">
      <w:pPr>
        <w:spacing w:line="580" w:lineRule="exact"/>
        <w:ind w:firstLine="640"/>
        <w:jc w:val="both"/>
      </w:pPr>
      <w:r>
        <w:rPr>
          <w:rFonts w:ascii="仿宋_GB2312" w:hAnsi="仿宋_GB2312" w:eastAsia="仿宋_GB2312"/>
          <w:sz w:val="32"/>
        </w:rPr>
        <w:t>国有资本经营预算财政拨款支出12.59万元。</w:t>
      </w:r>
    </w:p>
    <w:p w14:paraId="1EAB42BC">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12.59万元，比上年决算减少0.76万元，下降5.69%,主要原因是：本年度国有企业退休人员医保费减少，导致经费较上年减少。</w:t>
      </w:r>
    </w:p>
    <w:p w14:paraId="5C59611F">
      <w:pPr>
        <w:spacing w:line="640" w:lineRule="exact"/>
        <w:ind w:firstLine="640"/>
        <w:jc w:val="both"/>
        <w:outlineLvl w:val="2"/>
      </w:pPr>
      <w:r>
        <w:rPr>
          <w:rFonts w:ascii="黑体" w:hAnsi="黑体" w:eastAsia="黑体"/>
          <w:sz w:val="32"/>
        </w:rPr>
        <w:t>九、财政拨款“三公”经费支出决算情况说明</w:t>
      </w:r>
    </w:p>
    <w:p w14:paraId="07228BAB">
      <w:pPr>
        <w:spacing w:line="580" w:lineRule="exact"/>
        <w:ind w:firstLine="640"/>
        <w:jc w:val="both"/>
      </w:pPr>
      <w:r>
        <w:rPr>
          <w:rFonts w:ascii="仿宋_GB2312" w:hAnsi="仿宋_GB2312" w:eastAsia="仿宋_GB2312"/>
          <w:b/>
          <w:sz w:val="32"/>
        </w:rPr>
        <w:t>2024年度财政拨款“三公”经费支出0.51万元，</w:t>
      </w:r>
      <w:r>
        <w:rPr>
          <w:rFonts w:ascii="仿宋_GB2312" w:hAnsi="仿宋_GB2312" w:eastAsia="仿宋_GB2312"/>
          <w:b w:val="0"/>
          <w:sz w:val="32"/>
        </w:rPr>
        <w:t>比上年增加0.51万元，增长100.00%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0.51万元，占100.00%，比上年增加0.51万元，增长100.00%，主要原因是：本单位公务用车日渐老化，维修维护成本增加，导致公务用车运行维护费较上年增加。公务接待费支出0.00万元，占0.00%，比上年增加0.00万元，增长0.00%，主要原因是：2023年与2024年均未安排公务接待费支出。</w:t>
      </w:r>
    </w:p>
    <w:p w14:paraId="4FD2E91A">
      <w:pPr>
        <w:spacing w:line="580" w:lineRule="exact"/>
        <w:ind w:firstLine="640"/>
        <w:jc w:val="both"/>
      </w:pPr>
      <w:r>
        <w:rPr>
          <w:rFonts w:ascii="仿宋_GB2312" w:hAnsi="仿宋_GB2312" w:eastAsia="仿宋_GB2312"/>
          <w:b/>
          <w:sz w:val="32"/>
        </w:rPr>
        <w:t>具体情况如下：</w:t>
      </w:r>
    </w:p>
    <w:p w14:paraId="311809E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E3236C">
      <w:pPr>
        <w:spacing w:line="580" w:lineRule="exact"/>
        <w:ind w:firstLine="640"/>
        <w:jc w:val="both"/>
      </w:pPr>
      <w:r>
        <w:rPr>
          <w:rFonts w:ascii="仿宋_GB2312" w:hAnsi="仿宋_GB2312" w:eastAsia="仿宋_GB2312"/>
          <w:b w:val="0"/>
          <w:sz w:val="32"/>
        </w:rPr>
        <w:t>公务用车购置及运行维护费0.51万元，其中：公务用车购置费0.00万元，公务用车运行维护费0.51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79D3C47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D48DC6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0.51万元，决算数0.51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0.51万元，决算数0.51万元，预决算差异率0.00%，主要原因是：严格按照预算执行，预决算无差异。公务接待费全年预算数0.00万元，决算数0.00万元，预决算差异率0.00%，主要原因是：本单位无公务接待费。</w:t>
      </w:r>
    </w:p>
    <w:p w14:paraId="4428FB8A">
      <w:pPr>
        <w:spacing w:line="640" w:lineRule="exact"/>
        <w:ind w:firstLine="640"/>
        <w:jc w:val="both"/>
        <w:outlineLvl w:val="2"/>
      </w:pPr>
      <w:r>
        <w:rPr>
          <w:rFonts w:ascii="黑体" w:hAnsi="黑体" w:eastAsia="黑体"/>
          <w:sz w:val="32"/>
        </w:rPr>
        <w:t>十、其他重要事项的情况说明</w:t>
      </w:r>
    </w:p>
    <w:p w14:paraId="50024B60">
      <w:pPr>
        <w:spacing w:line="640" w:lineRule="exact"/>
        <w:ind w:firstLine="640"/>
        <w:jc w:val="both"/>
        <w:outlineLvl w:val="3"/>
      </w:pPr>
      <w:r>
        <w:rPr>
          <w:rFonts w:ascii="楷体_GB2312" w:hAnsi="楷体_GB2312" w:eastAsia="楷体_GB2312"/>
          <w:b/>
          <w:sz w:val="32"/>
        </w:rPr>
        <w:t>（一）机关运行经费及公用经费支出情况</w:t>
      </w:r>
    </w:p>
    <w:p w14:paraId="097C1F26">
      <w:pPr>
        <w:spacing w:line="580" w:lineRule="exact"/>
        <w:ind w:firstLine="640"/>
        <w:jc w:val="both"/>
      </w:pPr>
      <w:r>
        <w:rPr>
          <w:rFonts w:ascii="仿宋_GB2312" w:hAnsi="仿宋_GB2312" w:eastAsia="仿宋_GB2312"/>
          <w:b w:val="0"/>
          <w:sz w:val="32"/>
        </w:rPr>
        <w:t>2024年度轮台县商务和工业信息化局（行政单位和参照公务员法管理事业单位）机关运行经费支出1,585.84万元，比上年增加644.12万元，增长68.40%，主要原因是：本</w:t>
      </w:r>
      <w:bookmarkStart w:id="0" w:name="_GoBack"/>
      <w:r>
        <w:rPr>
          <w:rFonts w:ascii="仿宋_GB2312" w:hAnsi="仿宋_GB2312" w:eastAsia="仿宋_GB2312"/>
          <w:b w:val="0"/>
          <w:sz w:val="32"/>
        </w:rPr>
        <w:t>年度增加鸿泰棉业的电费、运费补贴、新意纺织装修补贴等经</w:t>
      </w:r>
      <w:bookmarkEnd w:id="0"/>
      <w:r>
        <w:rPr>
          <w:rFonts w:ascii="仿宋_GB2312" w:hAnsi="仿宋_GB2312" w:eastAsia="仿宋_GB2312"/>
          <w:b w:val="0"/>
          <w:sz w:val="32"/>
        </w:rPr>
        <w:t>费，导致机关运行经费支出比上年增加。</w:t>
      </w:r>
    </w:p>
    <w:p w14:paraId="5FB41F03">
      <w:pPr>
        <w:spacing w:line="640" w:lineRule="exact"/>
        <w:ind w:firstLine="640"/>
        <w:jc w:val="both"/>
        <w:outlineLvl w:val="3"/>
      </w:pPr>
      <w:r>
        <w:rPr>
          <w:rFonts w:ascii="楷体_GB2312" w:hAnsi="楷体_GB2312" w:eastAsia="楷体_GB2312"/>
          <w:b/>
          <w:sz w:val="32"/>
        </w:rPr>
        <w:t>（二）政府采购情况</w:t>
      </w:r>
    </w:p>
    <w:p w14:paraId="48DA0BFA">
      <w:pPr>
        <w:spacing w:line="580" w:lineRule="exact"/>
        <w:ind w:firstLine="640"/>
        <w:jc w:val="both"/>
      </w:pPr>
      <w:r>
        <w:rPr>
          <w:rFonts w:ascii="仿宋_GB2312" w:hAnsi="仿宋_GB2312" w:eastAsia="仿宋_GB2312"/>
          <w:b w:val="0"/>
          <w:sz w:val="32"/>
        </w:rPr>
        <w:t>2024年度政府采购支出总额87.51万元，其中：政府采购货物支出7.73万元、政府采购工程支出0.00万元、政府采购服务支出79.78万元。</w:t>
      </w:r>
    </w:p>
    <w:p w14:paraId="77BA88A2">
      <w:pPr>
        <w:spacing w:line="580" w:lineRule="exact"/>
        <w:ind w:firstLine="640"/>
        <w:jc w:val="both"/>
      </w:pPr>
      <w:r>
        <w:rPr>
          <w:rFonts w:ascii="仿宋_GB2312" w:hAnsi="仿宋_GB2312" w:eastAsia="仿宋_GB2312"/>
          <w:b w:val="0"/>
          <w:sz w:val="32"/>
        </w:rPr>
        <w:t>授予中小企业合同金额87.51万元，占政府采购支出总额的100.00%，其中：授予小微企业合同金额73.30万元，占政府采购支出总额的83.76%。</w:t>
      </w:r>
    </w:p>
    <w:p w14:paraId="331FDB69">
      <w:pPr>
        <w:spacing w:line="640" w:lineRule="exact"/>
        <w:ind w:firstLine="640"/>
        <w:jc w:val="both"/>
        <w:outlineLvl w:val="3"/>
      </w:pPr>
      <w:r>
        <w:rPr>
          <w:rFonts w:ascii="楷体_GB2312" w:hAnsi="楷体_GB2312" w:eastAsia="楷体_GB2312"/>
          <w:b/>
          <w:sz w:val="32"/>
        </w:rPr>
        <w:t>（三）国有资产占用情况说明</w:t>
      </w:r>
    </w:p>
    <w:p w14:paraId="6CA229D5">
      <w:pPr>
        <w:spacing w:line="580" w:lineRule="exact"/>
        <w:ind w:firstLine="640"/>
        <w:jc w:val="both"/>
      </w:pPr>
      <w:r>
        <w:rPr>
          <w:rFonts w:ascii="仿宋_GB2312" w:hAnsi="仿宋_GB2312" w:eastAsia="仿宋_GB2312"/>
          <w:b w:val="0"/>
          <w:sz w:val="32"/>
        </w:rPr>
        <w:t>截至2024年12月31日，房屋93,948.64平方米，价值16,171.32万元。车辆1辆，价值5.00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2台（套）。</w:t>
      </w:r>
    </w:p>
    <w:p w14:paraId="0F06C5B4">
      <w:pPr>
        <w:spacing w:line="640" w:lineRule="exact"/>
        <w:ind w:firstLine="640"/>
        <w:jc w:val="both"/>
        <w:outlineLvl w:val="2"/>
      </w:pPr>
      <w:r>
        <w:rPr>
          <w:rFonts w:ascii="黑体" w:hAnsi="黑体" w:eastAsia="黑体"/>
          <w:sz w:val="32"/>
        </w:rPr>
        <w:t>十一、预算绩效的情况说明</w:t>
      </w:r>
    </w:p>
    <w:p w14:paraId="60898AE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3,859.05万元，实际执行总额3,857.87万元；预算绩效评价项目10个，全年预算数854.27万元，全年执行数854.27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进一步完善项目评价过程中有关数据和资料的收集、整理、审核及分析。项目启动时同步做好档案的归纳与整理，及时整理、收集、汇总，健全档案资料。项目后续管理有待进一步加强和跟踪。二是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具体附整体支出绩效自评表，项目支出绩效自评表和评价报告。</w:t>
      </w:r>
    </w:p>
    <w:p w14:paraId="2ECCE40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DBE9A1F">
        <w:tblPrEx>
          <w:tblCellMar>
            <w:top w:w="0" w:type="dxa"/>
            <w:left w:w="108" w:type="dxa"/>
            <w:bottom w:w="0" w:type="dxa"/>
            <w:right w:w="108" w:type="dxa"/>
          </w:tblCellMar>
        </w:tblPrEx>
        <w:tc>
          <w:tcPr>
            <w:tcW w:w="8840" w:type="dxa"/>
            <w:gridSpan w:val="8"/>
            <w:vAlign w:val="center"/>
          </w:tcPr>
          <w:p w14:paraId="67E4F741">
            <w:pPr>
              <w:jc w:val="center"/>
            </w:pPr>
            <w:r>
              <w:rPr>
                <w:rFonts w:ascii="宋体" w:hAnsi="宋体" w:eastAsia="宋体"/>
                <w:sz w:val="24"/>
              </w:rPr>
              <w:t>单位整体支出绩效自评表</w:t>
            </w:r>
          </w:p>
        </w:tc>
      </w:tr>
      <w:tr w14:paraId="25F639A3">
        <w:tblPrEx>
          <w:tblCellMar>
            <w:top w:w="0" w:type="dxa"/>
            <w:left w:w="108" w:type="dxa"/>
            <w:bottom w:w="0" w:type="dxa"/>
            <w:right w:w="108" w:type="dxa"/>
          </w:tblCellMar>
        </w:tblPrEx>
        <w:tc>
          <w:tcPr>
            <w:tcW w:w="8840" w:type="dxa"/>
            <w:gridSpan w:val="8"/>
            <w:vAlign w:val="center"/>
          </w:tcPr>
          <w:p w14:paraId="30D5F84F">
            <w:pPr>
              <w:jc w:val="center"/>
            </w:pPr>
            <w:r>
              <w:rPr>
                <w:rFonts w:ascii="宋体" w:hAnsi="宋体" w:eastAsia="宋体"/>
                <w:sz w:val="24"/>
              </w:rPr>
              <w:t>（2024年度）</w:t>
            </w:r>
          </w:p>
        </w:tc>
      </w:tr>
      <w:tr w14:paraId="1656665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FBC7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AC6EE">
            <w:pPr>
              <w:jc w:val="center"/>
            </w:pPr>
            <w:r>
              <w:rPr>
                <w:rFonts w:ascii="宋体" w:hAnsi="宋体" w:eastAsia="宋体"/>
                <w:sz w:val="16"/>
              </w:rPr>
              <w:t>轮台县商务和工业信息化局</w:t>
            </w:r>
          </w:p>
        </w:tc>
      </w:tr>
      <w:tr w14:paraId="670A16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DE29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ED51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74C5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128F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D1E3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7439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43AE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24577">
            <w:pPr>
              <w:jc w:val="center"/>
            </w:pPr>
            <w:r>
              <w:rPr>
                <w:rFonts w:ascii="宋体" w:hAnsi="宋体" w:eastAsia="宋体"/>
                <w:sz w:val="16"/>
              </w:rPr>
              <w:t>得分</w:t>
            </w:r>
          </w:p>
        </w:tc>
      </w:tr>
      <w:tr w14:paraId="2E3001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7816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ACB8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9AF55">
            <w:pPr>
              <w:jc w:val="center"/>
            </w:pPr>
            <w:r>
              <w:rPr>
                <w:rFonts w:ascii="宋体" w:hAnsi="宋体" w:eastAsia="宋体"/>
                <w:sz w:val="16"/>
              </w:rPr>
              <w:t>298.44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88182">
            <w:pPr>
              <w:jc w:val="center"/>
            </w:pPr>
            <w:r>
              <w:rPr>
                <w:rFonts w:ascii="宋体" w:hAnsi="宋体" w:eastAsia="宋体"/>
                <w:sz w:val="16"/>
              </w:rPr>
              <w:t>3,859.05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A5835">
            <w:pPr>
              <w:jc w:val="center"/>
            </w:pPr>
            <w:r>
              <w:rPr>
                <w:rFonts w:ascii="宋体" w:hAnsi="宋体" w:eastAsia="宋体"/>
                <w:sz w:val="16"/>
              </w:rPr>
              <w:t>3,857.87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802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EA1DC">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E2E7C">
            <w:pPr>
              <w:jc w:val="center"/>
            </w:pPr>
            <w:r>
              <w:rPr>
                <w:rFonts w:ascii="宋体" w:hAnsi="宋体" w:eastAsia="宋体"/>
                <w:sz w:val="16"/>
              </w:rPr>
              <w:t>10</w:t>
            </w:r>
          </w:p>
        </w:tc>
      </w:tr>
      <w:tr w14:paraId="761267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517C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FABF6">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9D41A">
            <w:pPr>
              <w:jc w:val="center"/>
            </w:pPr>
            <w:r>
              <w:rPr>
                <w:rFonts w:ascii="宋体" w:hAnsi="宋体" w:eastAsia="宋体"/>
                <w:sz w:val="16"/>
              </w:rPr>
              <w:t>19.37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15883">
            <w:pPr>
              <w:jc w:val="center"/>
            </w:pPr>
            <w:r>
              <w:rPr>
                <w:rFonts w:ascii="宋体" w:hAnsi="宋体" w:eastAsia="宋体"/>
                <w:sz w:val="16"/>
              </w:rPr>
              <w:t>2,231.07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079BA">
            <w:pPr>
              <w:jc w:val="center"/>
            </w:pPr>
            <w:r>
              <w:rPr>
                <w:rFonts w:ascii="宋体" w:hAnsi="宋体" w:eastAsia="宋体"/>
                <w:sz w:val="16"/>
              </w:rPr>
              <w:t>2,231.07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D9D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EB3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CB0EC">
            <w:pPr>
              <w:jc w:val="center"/>
            </w:pPr>
            <w:r>
              <w:rPr>
                <w:rFonts w:ascii="宋体" w:hAnsi="宋体" w:eastAsia="宋体"/>
                <w:sz w:val="16"/>
              </w:rPr>
              <w:t>-</w:t>
            </w:r>
          </w:p>
        </w:tc>
      </w:tr>
      <w:tr w14:paraId="21657E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1C99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1C796">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6CEA2">
            <w:pPr>
              <w:jc w:val="center"/>
            </w:pPr>
            <w:r>
              <w:rPr>
                <w:rFonts w:ascii="宋体" w:hAnsi="宋体" w:eastAsia="宋体"/>
                <w:sz w:val="16"/>
              </w:rPr>
              <w:t>279.07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6E1FC">
            <w:pPr>
              <w:jc w:val="center"/>
            </w:pPr>
            <w:r>
              <w:rPr>
                <w:rFonts w:ascii="宋体" w:hAnsi="宋体" w:eastAsia="宋体"/>
                <w:sz w:val="16"/>
              </w:rPr>
              <w:t>684.45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8E3A7">
            <w:pPr>
              <w:jc w:val="center"/>
            </w:pPr>
            <w:r>
              <w:rPr>
                <w:rFonts w:ascii="宋体" w:hAnsi="宋体" w:eastAsia="宋体"/>
                <w:sz w:val="16"/>
              </w:rPr>
              <w:t>684.45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6FB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389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40DA1">
            <w:pPr>
              <w:jc w:val="center"/>
            </w:pPr>
            <w:r>
              <w:rPr>
                <w:rFonts w:ascii="宋体" w:hAnsi="宋体" w:eastAsia="宋体"/>
                <w:sz w:val="16"/>
              </w:rPr>
              <w:t>-</w:t>
            </w:r>
          </w:p>
        </w:tc>
      </w:tr>
      <w:tr w14:paraId="5DC7B5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4E72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316E8">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AF7A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0A705">
            <w:pPr>
              <w:jc w:val="center"/>
            </w:pPr>
            <w:r>
              <w:rPr>
                <w:rFonts w:ascii="宋体" w:hAnsi="宋体" w:eastAsia="宋体"/>
                <w:sz w:val="16"/>
              </w:rPr>
              <w:t>943.53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8B346">
            <w:pPr>
              <w:jc w:val="center"/>
            </w:pPr>
            <w:r>
              <w:rPr>
                <w:rFonts w:ascii="宋体" w:hAnsi="宋体" w:eastAsia="宋体"/>
                <w:sz w:val="16"/>
              </w:rPr>
              <w:t>942.35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AE4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D47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1AC8D">
            <w:pPr>
              <w:jc w:val="center"/>
            </w:pPr>
            <w:r>
              <w:rPr>
                <w:rFonts w:ascii="宋体" w:hAnsi="宋体" w:eastAsia="宋体"/>
                <w:sz w:val="16"/>
              </w:rPr>
              <w:t>-</w:t>
            </w:r>
          </w:p>
        </w:tc>
      </w:tr>
      <w:tr w14:paraId="56BCC8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ECF3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D0F43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E0EA57">
            <w:pPr>
              <w:jc w:val="center"/>
            </w:pPr>
            <w:r>
              <w:rPr>
                <w:rFonts w:ascii="宋体" w:hAnsi="宋体" w:eastAsia="宋体"/>
                <w:sz w:val="16"/>
              </w:rPr>
              <w:t>实际完成情况</w:t>
            </w:r>
          </w:p>
        </w:tc>
      </w:tr>
      <w:tr w14:paraId="5735A6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61486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F6728E">
            <w:pPr>
              <w:jc w:val="both"/>
            </w:pPr>
            <w:r>
              <w:rPr>
                <w:rFonts w:ascii="宋体" w:hAnsi="宋体" w:eastAsia="宋体"/>
                <w:sz w:val="16"/>
              </w:rPr>
              <w:t>1.稳实经济措施，助力企业发展，新增升归入统工业企业5家，工业增加值增速5.5%；2.指导和管理县域招</w:t>
            </w:r>
            <w:r>
              <w:rPr>
                <w:rFonts w:hint="eastAsia" w:ascii="宋体" w:hAnsi="宋体"/>
                <w:sz w:val="16"/>
                <w:lang w:eastAsia="zh-CN"/>
              </w:rPr>
              <w:t>商引资</w:t>
            </w:r>
            <w:r>
              <w:rPr>
                <w:rFonts w:ascii="宋体" w:hAnsi="宋体" w:eastAsia="宋体"/>
                <w:sz w:val="16"/>
              </w:rPr>
              <w:t>工作，组织参加招商活动等，力争招</w:t>
            </w:r>
            <w:r>
              <w:rPr>
                <w:rFonts w:hint="eastAsia" w:ascii="宋体" w:hAnsi="宋体"/>
                <w:sz w:val="16"/>
                <w:lang w:eastAsia="zh-CN"/>
              </w:rPr>
              <w:t>商引资</w:t>
            </w:r>
            <w:r>
              <w:rPr>
                <w:rFonts w:ascii="宋体" w:hAnsi="宋体" w:eastAsia="宋体"/>
                <w:sz w:val="16"/>
              </w:rPr>
              <w:t>投资资金达到60亿元；3.积极引导外贸企业向好发展，进口贸易总额达到0.5亿元，增速20%；4.协调组织县域重大招</w:t>
            </w:r>
            <w:r>
              <w:rPr>
                <w:rFonts w:hint="eastAsia" w:ascii="宋体" w:hAnsi="宋体"/>
                <w:sz w:val="16"/>
                <w:lang w:eastAsia="zh-CN"/>
              </w:rPr>
              <w:t>商引资</w:t>
            </w:r>
            <w:r>
              <w:rPr>
                <w:rFonts w:ascii="宋体" w:hAnsi="宋体" w:eastAsia="宋体"/>
                <w:sz w:val="16"/>
              </w:rPr>
              <w:t>活动、招</w:t>
            </w:r>
            <w:r>
              <w:rPr>
                <w:rFonts w:hint="eastAsia" w:ascii="宋体" w:hAnsi="宋体"/>
                <w:sz w:val="16"/>
                <w:lang w:eastAsia="zh-CN"/>
              </w:rPr>
              <w:t>商引资</w:t>
            </w:r>
            <w:r>
              <w:rPr>
                <w:rFonts w:ascii="宋体" w:hAnsi="宋体" w:eastAsia="宋体"/>
                <w:sz w:val="16"/>
              </w:rPr>
              <w:t>和经济技术协作项目的实施跟踪服务工作，监督招</w:t>
            </w:r>
            <w:r>
              <w:rPr>
                <w:rFonts w:hint="eastAsia" w:ascii="宋体" w:hAnsi="宋体"/>
                <w:sz w:val="16"/>
                <w:lang w:eastAsia="zh-CN"/>
              </w:rPr>
              <w:t>商引资</w:t>
            </w:r>
            <w:r>
              <w:rPr>
                <w:rFonts w:ascii="宋体" w:hAnsi="宋体" w:eastAsia="宋体"/>
                <w:sz w:val="16"/>
              </w:rPr>
              <w:t>和经济技术协作有关优惠政策的落实，建立招</w:t>
            </w:r>
            <w:r>
              <w:rPr>
                <w:rFonts w:hint="eastAsia" w:ascii="宋体" w:hAnsi="宋体"/>
                <w:sz w:val="16"/>
                <w:lang w:eastAsia="zh-CN"/>
              </w:rPr>
              <w:t>商引资</w:t>
            </w:r>
            <w:r>
              <w:rPr>
                <w:rFonts w:ascii="宋体" w:hAnsi="宋体" w:eastAsia="宋体"/>
                <w:sz w:val="16"/>
              </w:rPr>
              <w:t>和经济技术协作服务体系，争取招</w:t>
            </w:r>
            <w:r>
              <w:rPr>
                <w:rFonts w:hint="eastAsia" w:ascii="宋体" w:hAnsi="宋体"/>
                <w:sz w:val="16"/>
                <w:lang w:eastAsia="zh-CN"/>
              </w:rPr>
              <w:t>商引资</w:t>
            </w:r>
            <w:r>
              <w:rPr>
                <w:rFonts w:ascii="宋体" w:hAnsi="宋体" w:eastAsia="宋体"/>
                <w:sz w:val="16"/>
              </w:rPr>
              <w:t>到位资金增长率达到15%；5.促进消费市场繁荣，社会消费品零售总额增速达到3%；6.招</w:t>
            </w:r>
            <w:r>
              <w:rPr>
                <w:rFonts w:hint="eastAsia" w:ascii="宋体" w:hAnsi="宋体"/>
                <w:sz w:val="16"/>
                <w:lang w:eastAsia="zh-CN"/>
              </w:rPr>
              <w:t>商引资</w:t>
            </w:r>
            <w:r>
              <w:rPr>
                <w:rFonts w:ascii="宋体" w:hAnsi="宋体" w:eastAsia="宋体"/>
                <w:sz w:val="16"/>
              </w:rPr>
              <w:t>入驻企业满意度达到95%。</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8C73D9">
            <w:pPr>
              <w:jc w:val="both"/>
            </w:pPr>
            <w:r>
              <w:rPr>
                <w:rFonts w:ascii="宋体" w:hAnsi="宋体" w:eastAsia="宋体"/>
                <w:sz w:val="16"/>
              </w:rPr>
              <w:t>为了落实县商工局年度工作要求，2024年已完成：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1.已完成新增升归入统工业企业5家，持续挖掘工业潜能，提升了工业经济总量；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2.已完成招</w:t>
            </w:r>
            <w:r>
              <w:rPr>
                <w:rFonts w:hint="eastAsia" w:ascii="宋体" w:hAnsi="宋体"/>
                <w:sz w:val="16"/>
                <w:lang w:eastAsia="zh-CN"/>
              </w:rPr>
              <w:t>商引资</w:t>
            </w:r>
            <w:r>
              <w:rPr>
                <w:rFonts w:ascii="宋体" w:hAnsi="宋体" w:eastAsia="宋体"/>
                <w:sz w:val="16"/>
              </w:rPr>
              <w:t>到位资金61亿元，提升了基础设施建设和公共服务水平；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3.已完成进出口贸易总额0.55亿元，满足了消费需求，推动产业发展；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4.已完成社会消费品零售总额增长率3.1%，居民消费信心得到了明显提升；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5.已完成招</w:t>
            </w:r>
            <w:r>
              <w:rPr>
                <w:rFonts w:hint="eastAsia" w:ascii="宋体" w:hAnsi="宋体"/>
                <w:sz w:val="16"/>
                <w:lang w:eastAsia="zh-CN"/>
              </w:rPr>
              <w:t>商引资</w:t>
            </w:r>
            <w:r>
              <w:rPr>
                <w:rFonts w:ascii="宋体" w:hAnsi="宋体" w:eastAsia="宋体"/>
                <w:sz w:val="16"/>
              </w:rPr>
              <w:t>到位资金增长率15.31%，带动了更多区外招</w:t>
            </w:r>
            <w:r>
              <w:rPr>
                <w:rFonts w:hint="eastAsia" w:ascii="宋体" w:hAnsi="宋体"/>
                <w:sz w:val="16"/>
                <w:lang w:eastAsia="zh-CN"/>
              </w:rPr>
              <w:t>商引资</w:t>
            </w:r>
            <w:r>
              <w:rPr>
                <w:rFonts w:ascii="宋体" w:hAnsi="宋体" w:eastAsia="宋体"/>
                <w:sz w:val="16"/>
              </w:rPr>
              <w:t>企业到当地投资兴业，促进项目落地和发挥效益；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6.招</w:t>
            </w:r>
            <w:r>
              <w:rPr>
                <w:rFonts w:hint="eastAsia" w:ascii="宋体" w:hAnsi="宋体"/>
                <w:sz w:val="16"/>
                <w:lang w:eastAsia="zh-CN"/>
              </w:rPr>
              <w:t>商引资</w:t>
            </w:r>
            <w:r>
              <w:rPr>
                <w:rFonts w:ascii="宋体" w:hAnsi="宋体" w:eastAsia="宋体"/>
                <w:sz w:val="16"/>
              </w:rPr>
              <w:t>入驻企业满意度95%，为当地营造了亲商、安商、富商的良好环境。</w:t>
            </w:r>
          </w:p>
        </w:tc>
      </w:tr>
      <w:tr w14:paraId="11D973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F2EA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10AD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01B4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93F6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4036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0641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119A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5E86D">
            <w:pPr>
              <w:jc w:val="center"/>
            </w:pPr>
            <w:r>
              <w:rPr>
                <w:rFonts w:ascii="宋体" w:hAnsi="宋体" w:eastAsia="宋体"/>
                <w:sz w:val="16"/>
              </w:rPr>
              <w:t>得分</w:t>
            </w:r>
          </w:p>
        </w:tc>
      </w:tr>
      <w:tr w14:paraId="24F3B5A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482E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45E8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9107E">
            <w:pPr>
              <w:jc w:val="center"/>
            </w:pPr>
            <w:r>
              <w:rPr>
                <w:rFonts w:ascii="宋体" w:hAnsi="宋体" w:eastAsia="宋体"/>
                <w:sz w:val="16"/>
              </w:rPr>
              <w:t>新增升归入统工业企业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56DD8">
            <w:pPr>
              <w:jc w:val="center"/>
            </w:pPr>
            <w:r>
              <w:rPr>
                <w:rFonts w:ascii="宋体" w:hAnsi="宋体" w:eastAsia="宋体"/>
                <w:sz w:val="16"/>
              </w:rPr>
              <w:t>&gt;=5家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CE8EB">
            <w:pPr>
              <w:jc w:val="center"/>
            </w:pPr>
            <w:r>
              <w:rPr>
                <w:rFonts w:ascii="宋体" w:hAnsi="宋体" w:eastAsia="宋体"/>
                <w:sz w:val="16"/>
              </w:rPr>
              <w:t>轮台县商务和工业信息化局2024年工作计划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4BE4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DAC8E">
            <w:pPr>
              <w:jc w:val="center"/>
            </w:pPr>
            <w:r>
              <w:rPr>
                <w:rFonts w:ascii="宋体" w:hAnsi="宋体" w:eastAsia="宋体"/>
                <w:sz w:val="16"/>
              </w:rPr>
              <w:t>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03EDA">
            <w:pPr>
              <w:jc w:val="center"/>
            </w:pPr>
            <w:r>
              <w:rPr>
                <w:rFonts w:ascii="宋体" w:hAnsi="宋体" w:eastAsia="宋体"/>
                <w:sz w:val="16"/>
              </w:rPr>
              <w:t>20</w:t>
            </w:r>
          </w:p>
        </w:tc>
      </w:tr>
      <w:tr w14:paraId="7CEE05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CD31B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A592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BE7D7">
            <w:pPr>
              <w:jc w:val="center"/>
            </w:pPr>
            <w:r>
              <w:rPr>
                <w:rFonts w:ascii="宋体" w:hAnsi="宋体" w:eastAsia="宋体"/>
                <w:sz w:val="16"/>
              </w:rPr>
              <w:t>招商引资到位资金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5CE21">
            <w:pPr>
              <w:jc w:val="center"/>
            </w:pPr>
            <w:r>
              <w:rPr>
                <w:rFonts w:ascii="宋体" w:hAnsi="宋体" w:eastAsia="宋体"/>
                <w:sz w:val="16"/>
              </w:rPr>
              <w:t>&gt;=60亿元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EBDC8">
            <w:pPr>
              <w:jc w:val="center"/>
            </w:pPr>
            <w:r>
              <w:rPr>
                <w:rFonts w:ascii="宋体" w:hAnsi="宋体" w:eastAsia="宋体"/>
                <w:sz w:val="16"/>
              </w:rPr>
              <w:t>轮台县商务和工业信息化局2024年工作计划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E6BB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C68AC">
            <w:pPr>
              <w:jc w:val="center"/>
            </w:pPr>
            <w:r>
              <w:rPr>
                <w:rFonts w:ascii="宋体" w:hAnsi="宋体" w:eastAsia="宋体"/>
                <w:sz w:val="16"/>
              </w:rPr>
              <w:t>61亿元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6F38A">
            <w:pPr>
              <w:jc w:val="center"/>
            </w:pPr>
            <w:r>
              <w:rPr>
                <w:rFonts w:ascii="宋体" w:hAnsi="宋体" w:eastAsia="宋体"/>
                <w:sz w:val="16"/>
              </w:rPr>
              <w:t>20</w:t>
            </w:r>
          </w:p>
        </w:tc>
      </w:tr>
      <w:tr w14:paraId="1A8E58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6A1B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A98B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3EDBF">
            <w:pPr>
              <w:jc w:val="center"/>
            </w:pPr>
            <w:r>
              <w:rPr>
                <w:rFonts w:ascii="宋体" w:hAnsi="宋体" w:eastAsia="宋体"/>
                <w:sz w:val="16"/>
              </w:rPr>
              <w:t>进出口贸易总额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A908F">
            <w:pPr>
              <w:jc w:val="center"/>
            </w:pPr>
            <w:r>
              <w:rPr>
                <w:rFonts w:ascii="宋体" w:hAnsi="宋体" w:eastAsia="宋体"/>
                <w:sz w:val="16"/>
              </w:rPr>
              <w:t>&gt;=0.5亿元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B66C9">
            <w:pPr>
              <w:jc w:val="center"/>
            </w:pPr>
            <w:r>
              <w:rPr>
                <w:rFonts w:ascii="宋体" w:hAnsi="宋体" w:eastAsia="宋体"/>
                <w:sz w:val="16"/>
              </w:rPr>
              <w:t>轮台县商务和工业信息化局2024年工作计划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E608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68105">
            <w:pPr>
              <w:jc w:val="center"/>
            </w:pPr>
            <w:r>
              <w:rPr>
                <w:rFonts w:ascii="宋体" w:hAnsi="宋体" w:eastAsia="宋体"/>
                <w:sz w:val="16"/>
              </w:rPr>
              <w:t>0.55亿元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6FB80">
            <w:pPr>
              <w:jc w:val="center"/>
            </w:pPr>
            <w:r>
              <w:rPr>
                <w:rFonts w:ascii="宋体" w:hAnsi="宋体" w:eastAsia="宋体"/>
                <w:sz w:val="16"/>
              </w:rPr>
              <w:t>15</w:t>
            </w:r>
          </w:p>
        </w:tc>
      </w:tr>
      <w:tr w14:paraId="3DB25F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6FA65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CB4F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3EF40">
            <w:pPr>
              <w:jc w:val="center"/>
            </w:pPr>
            <w:r>
              <w:rPr>
                <w:rFonts w:ascii="宋体" w:hAnsi="宋体" w:eastAsia="宋体"/>
                <w:sz w:val="16"/>
              </w:rPr>
              <w:t>社会消费品零售总额增长率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33B72">
            <w:pPr>
              <w:jc w:val="center"/>
            </w:pPr>
            <w:r>
              <w:rPr>
                <w:rFonts w:ascii="宋体" w:hAnsi="宋体" w:eastAsia="宋体"/>
                <w:sz w:val="16"/>
              </w:rPr>
              <w:t>&gt;=3%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C6DDF">
            <w:pPr>
              <w:jc w:val="center"/>
            </w:pPr>
            <w:r>
              <w:rPr>
                <w:rFonts w:ascii="宋体" w:hAnsi="宋体" w:eastAsia="宋体"/>
                <w:sz w:val="16"/>
              </w:rPr>
              <w:t>轮台县商务和工业信息化局2024年工作计划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FEDB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5AA45">
            <w:pPr>
              <w:jc w:val="center"/>
            </w:pPr>
            <w:r>
              <w:rPr>
                <w:rFonts w:ascii="宋体" w:hAnsi="宋体" w:eastAsia="宋体"/>
                <w:sz w:val="16"/>
              </w:rPr>
              <w:t>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EB06A">
            <w:pPr>
              <w:jc w:val="center"/>
            </w:pPr>
            <w:r>
              <w:rPr>
                <w:rFonts w:ascii="宋体" w:hAnsi="宋体" w:eastAsia="宋体"/>
                <w:sz w:val="16"/>
              </w:rPr>
              <w:t>15</w:t>
            </w:r>
          </w:p>
        </w:tc>
      </w:tr>
      <w:tr w14:paraId="57424B1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128FA">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C6D4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85BFB">
            <w:pPr>
              <w:jc w:val="center"/>
            </w:pPr>
            <w:r>
              <w:rPr>
                <w:rFonts w:ascii="宋体" w:hAnsi="宋体" w:eastAsia="宋体"/>
                <w:sz w:val="16"/>
              </w:rPr>
              <w:t>招商引资到位资金增长率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FD82D">
            <w:pPr>
              <w:jc w:val="center"/>
            </w:pPr>
            <w:r>
              <w:rPr>
                <w:rFonts w:ascii="宋体" w:hAnsi="宋体" w:eastAsia="宋体"/>
                <w:sz w:val="16"/>
              </w:rPr>
              <w:t>&gt;=15%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50A56">
            <w:pPr>
              <w:jc w:val="center"/>
            </w:pPr>
            <w:r>
              <w:rPr>
                <w:rFonts w:ascii="宋体" w:hAnsi="宋体" w:eastAsia="宋体"/>
                <w:sz w:val="16"/>
              </w:rPr>
              <w:t>轮台县商务和工业信息化局2024年工作计划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9549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D384E">
            <w:pPr>
              <w:jc w:val="center"/>
            </w:pPr>
            <w:r>
              <w:rPr>
                <w:rFonts w:ascii="宋体" w:hAnsi="宋体" w:eastAsia="宋体"/>
                <w:sz w:val="16"/>
              </w:rPr>
              <w:t>15.31%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D2AB3">
            <w:pPr>
              <w:jc w:val="center"/>
            </w:pPr>
            <w:r>
              <w:rPr>
                <w:rFonts w:ascii="宋体" w:hAnsi="宋体" w:eastAsia="宋体"/>
                <w:sz w:val="16"/>
              </w:rPr>
              <w:t>10</w:t>
            </w:r>
          </w:p>
        </w:tc>
      </w:tr>
      <w:tr w14:paraId="30211B3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DB13B">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AE7DD">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1030A">
            <w:pPr>
              <w:jc w:val="center"/>
            </w:pPr>
            <w:r>
              <w:rPr>
                <w:rFonts w:ascii="宋体" w:hAnsi="宋体" w:eastAsia="宋体"/>
                <w:sz w:val="16"/>
              </w:rPr>
              <w:t>招商引资入驻企业满意度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9688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4A455">
            <w:pPr>
              <w:jc w:val="center"/>
            </w:pPr>
            <w:r>
              <w:rPr>
                <w:rFonts w:ascii="宋体" w:hAnsi="宋体" w:eastAsia="宋体"/>
                <w:sz w:val="16"/>
              </w:rPr>
              <w:t>轮台县商务和工业信息化局2024年工作计划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E3E2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253B4">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D9B37">
            <w:pPr>
              <w:jc w:val="center"/>
            </w:pPr>
            <w:r>
              <w:rPr>
                <w:rFonts w:ascii="宋体" w:hAnsi="宋体" w:eastAsia="宋体"/>
                <w:sz w:val="16"/>
              </w:rPr>
              <w:t>10</w:t>
            </w:r>
          </w:p>
        </w:tc>
      </w:tr>
    </w:tbl>
    <w:p w14:paraId="6CCE46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EA9B044">
        <w:tblPrEx>
          <w:tblCellMar>
            <w:top w:w="0" w:type="dxa"/>
            <w:left w:w="108" w:type="dxa"/>
            <w:bottom w:w="0" w:type="dxa"/>
            <w:right w:w="108" w:type="dxa"/>
          </w:tblCellMar>
        </w:tblPrEx>
        <w:tc>
          <w:tcPr>
            <w:tcW w:w="8848" w:type="dxa"/>
            <w:gridSpan w:val="14"/>
            <w:vAlign w:val="center"/>
          </w:tcPr>
          <w:p w14:paraId="243054F3">
            <w:pPr>
              <w:jc w:val="center"/>
            </w:pPr>
            <w:r>
              <w:rPr>
                <w:rFonts w:ascii="宋体" w:hAnsi="宋体" w:eastAsia="宋体"/>
                <w:sz w:val="24"/>
              </w:rPr>
              <w:t>项目支出绩效自评表</w:t>
            </w:r>
          </w:p>
        </w:tc>
      </w:tr>
      <w:tr w14:paraId="0A3DDFE1">
        <w:tblPrEx>
          <w:tblCellMar>
            <w:top w:w="0" w:type="dxa"/>
            <w:left w:w="108" w:type="dxa"/>
            <w:bottom w:w="0" w:type="dxa"/>
            <w:right w:w="108" w:type="dxa"/>
          </w:tblCellMar>
        </w:tblPrEx>
        <w:tc>
          <w:tcPr>
            <w:tcW w:w="8848" w:type="dxa"/>
            <w:gridSpan w:val="14"/>
            <w:vAlign w:val="center"/>
          </w:tcPr>
          <w:p w14:paraId="5ACC56E2">
            <w:pPr>
              <w:jc w:val="center"/>
            </w:pPr>
            <w:r>
              <w:rPr>
                <w:rFonts w:ascii="宋体" w:hAnsi="宋体" w:eastAsia="宋体"/>
                <w:sz w:val="24"/>
              </w:rPr>
              <w:t>(2024年度)</w:t>
            </w:r>
          </w:p>
        </w:tc>
      </w:tr>
      <w:tr w14:paraId="501441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D3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7B131F">
            <w:pPr>
              <w:jc w:val="center"/>
            </w:pPr>
            <w:r>
              <w:rPr>
                <w:rFonts w:ascii="宋体" w:hAnsi="宋体" w:eastAsia="宋体"/>
                <w:sz w:val="16"/>
              </w:rPr>
              <w:t>商工局：2024年轮台县“喜迎古尔邦节·悦享轮台·消费嘉年华”活动经费</w:t>
            </w:r>
          </w:p>
        </w:tc>
      </w:tr>
      <w:tr w14:paraId="050EF8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BC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4FCC1">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05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99A0A5">
            <w:pPr>
              <w:jc w:val="center"/>
            </w:pPr>
            <w:r>
              <w:rPr>
                <w:rFonts w:ascii="宋体" w:hAnsi="宋体" w:eastAsia="宋体"/>
                <w:sz w:val="16"/>
              </w:rPr>
              <w:t>轮台县商务和工业信息化局</w:t>
            </w:r>
          </w:p>
        </w:tc>
      </w:tr>
      <w:tr w14:paraId="6C79DD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C0AC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69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C1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AAD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1E0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4624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92D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6691">
            <w:pPr>
              <w:jc w:val="center"/>
            </w:pPr>
            <w:r>
              <w:rPr>
                <w:rFonts w:ascii="宋体" w:hAnsi="宋体" w:eastAsia="宋体"/>
                <w:sz w:val="16"/>
              </w:rPr>
              <w:t>得分</w:t>
            </w:r>
          </w:p>
        </w:tc>
      </w:tr>
      <w:tr w14:paraId="532FEF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808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935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4980C">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FCB80">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CB57E">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21A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B0E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BB8A">
            <w:pPr>
              <w:jc w:val="center"/>
            </w:pPr>
            <w:r>
              <w:rPr>
                <w:rFonts w:ascii="宋体" w:hAnsi="宋体" w:eastAsia="宋体"/>
                <w:sz w:val="16"/>
              </w:rPr>
              <w:t>10.00</w:t>
            </w:r>
          </w:p>
        </w:tc>
      </w:tr>
      <w:tr w14:paraId="76984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49B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1B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92A0B">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CC3B0">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8BC2">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DB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205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8209">
            <w:pPr>
              <w:jc w:val="center"/>
            </w:pPr>
            <w:r>
              <w:rPr>
                <w:rFonts w:ascii="宋体" w:hAnsi="宋体" w:eastAsia="宋体"/>
                <w:sz w:val="16"/>
              </w:rPr>
              <w:t>-</w:t>
            </w:r>
          </w:p>
        </w:tc>
      </w:tr>
      <w:tr w14:paraId="60BB7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A9A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1273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050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A6F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920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ABB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751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9300">
            <w:pPr>
              <w:jc w:val="center"/>
            </w:pPr>
            <w:r>
              <w:rPr>
                <w:rFonts w:ascii="宋体" w:hAnsi="宋体" w:eastAsia="宋体"/>
                <w:sz w:val="16"/>
              </w:rPr>
              <w:t>-</w:t>
            </w:r>
          </w:p>
        </w:tc>
      </w:tr>
      <w:tr w14:paraId="6139EB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F026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A774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2D6DD8">
            <w:pPr>
              <w:jc w:val="center"/>
            </w:pPr>
            <w:r>
              <w:rPr>
                <w:rFonts w:ascii="宋体" w:hAnsi="宋体" w:eastAsia="宋体"/>
                <w:sz w:val="16"/>
              </w:rPr>
              <w:t>总体目标完成情况</w:t>
            </w:r>
          </w:p>
        </w:tc>
      </w:tr>
      <w:tr w14:paraId="0E4D2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AFA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738BF">
            <w:pPr>
              <w:jc w:val="both"/>
            </w:pPr>
            <w:r>
              <w:rPr>
                <w:rFonts w:ascii="宋体" w:hAnsi="宋体" w:eastAsia="宋体"/>
                <w:sz w:val="16"/>
              </w:rPr>
              <w:t>根据自治区商务厅“疆乐购·乐生活”2024消费促进年活动要求，结合本单位商贸流通方面管理职能和工作职责：</w:t>
            </w:r>
            <w:r>
              <w:rPr>
                <w:rFonts w:ascii="宋体" w:hAnsi="宋体" w:eastAsia="宋体"/>
                <w:sz w:val="16"/>
              </w:rPr>
              <w:br w:type="textWrapping"/>
            </w:r>
            <w:r>
              <w:rPr>
                <w:rFonts w:ascii="宋体" w:hAnsi="宋体" w:eastAsia="宋体"/>
                <w:sz w:val="16"/>
              </w:rPr>
              <w:t>目标1：举办“喜迎古尔邦节·悦享轮台·消费嘉年华”活动，包括舞台搭建，邀请歌手、主持人、车模、乐队进行演出，主要用于促消费活动的舞台和</w:t>
            </w:r>
            <w:r>
              <w:rPr>
                <w:rFonts w:hint="eastAsia" w:ascii="宋体" w:hAnsi="宋体"/>
                <w:sz w:val="16"/>
                <w:lang w:eastAsia="zh-CN"/>
              </w:rPr>
              <w:t>演艺</w:t>
            </w:r>
            <w:r>
              <w:rPr>
                <w:rFonts w:ascii="宋体" w:hAnsi="宋体" w:eastAsia="宋体"/>
                <w:sz w:val="16"/>
              </w:rPr>
              <w:t>费用支出，营造繁荣有序的消费环境，推动轮台县经济高质量发展。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F63475">
            <w:pPr>
              <w:jc w:val="both"/>
            </w:pPr>
            <w:r>
              <w:rPr>
                <w:rFonts w:hint="eastAsia" w:ascii="宋体" w:hAnsi="宋体"/>
                <w:sz w:val="16"/>
                <w:lang w:eastAsia="zh-CN"/>
              </w:rPr>
              <w:t>本单位</w:t>
            </w:r>
            <w:r>
              <w:rPr>
                <w:rFonts w:ascii="宋体" w:hAnsi="宋体" w:eastAsia="宋体"/>
                <w:sz w:val="16"/>
              </w:rPr>
              <w:t>本年度严格执行《新疆维吾尔自治区2024年持续扩大消费工作实施方案》文件精神，认真落实自治区商务厅关于消费促进等政策措施，已完成举办演出活动5场次、举办演出活动天数5天，成功举办了“喜迎古尔邦节·悦享轮台·消费嘉年华”活动，推进了消费环境的繁荣有序，实现了全县经济高质量发展。</w:t>
            </w:r>
          </w:p>
        </w:tc>
      </w:tr>
      <w:tr w14:paraId="0478F8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C9A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7E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0F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AA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AB7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72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7300">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F33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069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F5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A1E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AE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C0B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7174">
            <w:pPr>
              <w:jc w:val="center"/>
            </w:pPr>
            <w:r>
              <w:rPr>
                <w:rFonts w:ascii="宋体" w:hAnsi="宋体" w:eastAsia="宋体"/>
                <w:sz w:val="16"/>
              </w:rPr>
              <w:t>偏差原因分析及改进措施</w:t>
            </w:r>
          </w:p>
        </w:tc>
      </w:tr>
      <w:tr w14:paraId="195685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E53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B80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3FB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FB70">
            <w:pPr>
              <w:jc w:val="center"/>
            </w:pPr>
            <w:r>
              <w:rPr>
                <w:rFonts w:ascii="宋体" w:hAnsi="宋体" w:eastAsia="宋体"/>
                <w:sz w:val="16"/>
              </w:rPr>
              <w:t>举办演出活动场次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B96F">
            <w:pPr>
              <w:jc w:val="center"/>
            </w:pPr>
            <w:r>
              <w:rPr>
                <w:rFonts w:ascii="宋体" w:hAnsi="宋体" w:eastAsia="宋体"/>
                <w:sz w:val="16"/>
              </w:rPr>
              <w:t>&gt;=5场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53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9F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38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4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2D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D8C5">
            <w:pPr>
              <w:jc w:val="center"/>
            </w:pPr>
            <w:r>
              <w:rPr>
                <w:rFonts w:ascii="宋体" w:hAnsi="宋体" w:eastAsia="宋体"/>
                <w:sz w:val="16"/>
              </w:rPr>
              <w: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9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1C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C81C">
            <w:pPr>
              <w:jc w:val="center"/>
            </w:pPr>
          </w:p>
        </w:tc>
      </w:tr>
      <w:tr w14:paraId="7E059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A5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7C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23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B409">
            <w:pPr>
              <w:jc w:val="center"/>
            </w:pPr>
            <w:r>
              <w:rPr>
                <w:rFonts w:ascii="宋体" w:hAnsi="宋体" w:eastAsia="宋体"/>
                <w:sz w:val="16"/>
              </w:rPr>
              <w:t>举办演出活动天数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9C0B">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41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F6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98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EE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E5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7DBF">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3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B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384A">
            <w:pPr>
              <w:jc w:val="center"/>
            </w:pPr>
          </w:p>
        </w:tc>
      </w:tr>
      <w:tr w14:paraId="7F706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CE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4C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EA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2162">
            <w:pPr>
              <w:jc w:val="center"/>
            </w:pPr>
            <w:r>
              <w:rPr>
                <w:rFonts w:ascii="宋体" w:hAnsi="宋体" w:eastAsia="宋体"/>
                <w:sz w:val="16"/>
              </w:rPr>
              <w:t>演出活动完成率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C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9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B4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26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EE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F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B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C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55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B74B">
            <w:pPr>
              <w:jc w:val="center"/>
            </w:pPr>
          </w:p>
        </w:tc>
      </w:tr>
      <w:tr w14:paraId="23AE2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D1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0C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18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1D97">
            <w:pPr>
              <w:jc w:val="center"/>
            </w:pPr>
            <w:r>
              <w:rPr>
                <w:rFonts w:ascii="宋体" w:hAnsi="宋体" w:eastAsia="宋体"/>
                <w:sz w:val="16"/>
              </w:rPr>
              <w:t>演出按期完成率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3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F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DB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62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2E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10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5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A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45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B499">
            <w:pPr>
              <w:jc w:val="center"/>
            </w:pPr>
          </w:p>
        </w:tc>
      </w:tr>
      <w:tr w14:paraId="6FAB1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29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3A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FA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3D3E">
            <w:pPr>
              <w:jc w:val="center"/>
            </w:pPr>
            <w:r>
              <w:rPr>
                <w:rFonts w:ascii="宋体" w:hAnsi="宋体" w:eastAsia="宋体"/>
                <w:sz w:val="16"/>
              </w:rPr>
              <w:t>举办活动平均成本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6157">
            <w:pPr>
              <w:jc w:val="center"/>
            </w:pPr>
            <w:r>
              <w:rPr>
                <w:rFonts w:ascii="宋体" w:hAnsi="宋体" w:eastAsia="宋体"/>
                <w:sz w:val="16"/>
              </w:rPr>
              <w:t>&lt;=2.62万元/天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99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F8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F7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78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36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49C0">
            <w:pPr>
              <w:jc w:val="center"/>
            </w:pPr>
            <w:r>
              <w:rPr>
                <w:rFonts w:ascii="宋体" w:hAnsi="宋体" w:eastAsia="宋体"/>
                <w:sz w:val="16"/>
              </w:rPr>
              <w:t>=2.62万元/天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A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4D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7BC6">
            <w:pPr>
              <w:jc w:val="center"/>
            </w:pPr>
          </w:p>
        </w:tc>
      </w:tr>
      <w:tr w14:paraId="771DE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8A9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70E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68B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1245">
            <w:pPr>
              <w:jc w:val="center"/>
            </w:pPr>
            <w:r>
              <w:rPr>
                <w:rFonts w:ascii="宋体" w:hAnsi="宋体" w:eastAsia="宋体"/>
                <w:sz w:val="16"/>
              </w:rPr>
              <w:t>提高群众消费热情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76D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E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2F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60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44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99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E48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DC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CA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EB55">
            <w:pPr>
              <w:jc w:val="center"/>
            </w:pPr>
          </w:p>
        </w:tc>
      </w:tr>
      <w:tr w14:paraId="41995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771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88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E8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2508">
            <w:pPr>
              <w:jc w:val="center"/>
            </w:pPr>
            <w:r>
              <w:rPr>
                <w:rFonts w:ascii="宋体" w:hAnsi="宋体" w:eastAsia="宋体"/>
                <w:sz w:val="16"/>
              </w:rPr>
              <w:t>推动经济高质量发展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5D07">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9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EF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65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A2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8A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BF5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E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C7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790B">
            <w:pPr>
              <w:jc w:val="center"/>
            </w:pPr>
          </w:p>
        </w:tc>
      </w:tr>
      <w:tr w14:paraId="66B80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E35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FA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12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88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6CF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11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C3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BD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5A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575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7EC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CD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4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98F7">
            <w:pPr>
              <w:jc w:val="center"/>
            </w:pPr>
          </w:p>
        </w:tc>
      </w:tr>
      <w:tr w14:paraId="51E19A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E829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1165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BE53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F59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A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38D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5F29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AE0E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4EE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1A4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846579"/>
        </w:tc>
      </w:tr>
    </w:tbl>
    <w:p w14:paraId="6CCC74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8F4658C">
        <w:tblPrEx>
          <w:tblCellMar>
            <w:top w:w="0" w:type="dxa"/>
            <w:left w:w="108" w:type="dxa"/>
            <w:bottom w:w="0" w:type="dxa"/>
            <w:right w:w="108" w:type="dxa"/>
          </w:tblCellMar>
        </w:tblPrEx>
        <w:tc>
          <w:tcPr>
            <w:tcW w:w="8848" w:type="dxa"/>
            <w:gridSpan w:val="14"/>
            <w:vAlign w:val="center"/>
          </w:tcPr>
          <w:p w14:paraId="4F7FF6FE">
            <w:pPr>
              <w:jc w:val="center"/>
            </w:pPr>
            <w:r>
              <w:rPr>
                <w:rFonts w:ascii="宋体" w:hAnsi="宋体" w:eastAsia="宋体"/>
                <w:sz w:val="24"/>
              </w:rPr>
              <w:t>项目支出绩效自评表</w:t>
            </w:r>
          </w:p>
        </w:tc>
      </w:tr>
      <w:tr w14:paraId="29887A3F">
        <w:tblPrEx>
          <w:tblCellMar>
            <w:top w:w="0" w:type="dxa"/>
            <w:left w:w="108" w:type="dxa"/>
            <w:bottom w:w="0" w:type="dxa"/>
            <w:right w:w="108" w:type="dxa"/>
          </w:tblCellMar>
        </w:tblPrEx>
        <w:tc>
          <w:tcPr>
            <w:tcW w:w="8848" w:type="dxa"/>
            <w:gridSpan w:val="14"/>
            <w:vAlign w:val="center"/>
          </w:tcPr>
          <w:p w14:paraId="2002FDA9">
            <w:pPr>
              <w:jc w:val="center"/>
            </w:pPr>
            <w:r>
              <w:rPr>
                <w:rFonts w:ascii="宋体" w:hAnsi="宋体" w:eastAsia="宋体"/>
                <w:sz w:val="24"/>
              </w:rPr>
              <w:t>(2024年度)</w:t>
            </w:r>
          </w:p>
        </w:tc>
      </w:tr>
      <w:tr w14:paraId="3E1B52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C7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598F02">
            <w:pPr>
              <w:jc w:val="center"/>
            </w:pPr>
            <w:r>
              <w:rPr>
                <w:rFonts w:ascii="宋体" w:hAnsi="宋体" w:eastAsia="宋体"/>
                <w:sz w:val="16"/>
              </w:rPr>
              <w:t>商工局：巴财企</w:t>
            </w:r>
            <w:r>
              <w:rPr>
                <w:rFonts w:hint="eastAsia" w:ascii="宋体" w:hAnsi="宋体"/>
                <w:sz w:val="16"/>
                <w:lang w:eastAsia="zh-CN"/>
              </w:rPr>
              <w:t>〔2024〕21号</w:t>
            </w:r>
            <w:r>
              <w:rPr>
                <w:rFonts w:ascii="宋体" w:hAnsi="宋体" w:eastAsia="宋体"/>
                <w:sz w:val="16"/>
              </w:rPr>
              <w:t>关于拨付2024年自治区中小企业发展专项资金[专精特新中小企业培育方向]的通知</w:t>
            </w:r>
          </w:p>
        </w:tc>
      </w:tr>
      <w:tr w14:paraId="6B80AB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DF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7D97F">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E7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ADE35B">
            <w:pPr>
              <w:jc w:val="center"/>
            </w:pPr>
            <w:r>
              <w:rPr>
                <w:rFonts w:ascii="宋体" w:hAnsi="宋体" w:eastAsia="宋体"/>
                <w:sz w:val="16"/>
              </w:rPr>
              <w:t>轮台县商务和工业信息化局</w:t>
            </w:r>
          </w:p>
        </w:tc>
      </w:tr>
      <w:tr w14:paraId="1DA040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6512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EC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EAA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656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DD9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8767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E77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761C">
            <w:pPr>
              <w:jc w:val="center"/>
            </w:pPr>
            <w:r>
              <w:rPr>
                <w:rFonts w:ascii="宋体" w:hAnsi="宋体" w:eastAsia="宋体"/>
                <w:sz w:val="16"/>
              </w:rPr>
              <w:t>得分</w:t>
            </w:r>
          </w:p>
        </w:tc>
      </w:tr>
      <w:tr w14:paraId="03E761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378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FAD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45CED">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679F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36AD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0D7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4F0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CBA6">
            <w:pPr>
              <w:jc w:val="center"/>
            </w:pPr>
            <w:r>
              <w:rPr>
                <w:rFonts w:ascii="宋体" w:hAnsi="宋体" w:eastAsia="宋体"/>
                <w:sz w:val="16"/>
              </w:rPr>
              <w:t>10.00</w:t>
            </w:r>
          </w:p>
        </w:tc>
      </w:tr>
      <w:tr w14:paraId="4BC61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1A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40F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E5DD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FA76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09F9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38A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32D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9FF3">
            <w:pPr>
              <w:jc w:val="center"/>
            </w:pPr>
            <w:r>
              <w:rPr>
                <w:rFonts w:ascii="宋体" w:hAnsi="宋体" w:eastAsia="宋体"/>
                <w:sz w:val="16"/>
              </w:rPr>
              <w:t>-</w:t>
            </w:r>
          </w:p>
        </w:tc>
      </w:tr>
      <w:tr w14:paraId="265E2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38F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FC11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9AC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B3B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70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E3E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C1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5CDEA">
            <w:pPr>
              <w:jc w:val="center"/>
            </w:pPr>
            <w:r>
              <w:rPr>
                <w:rFonts w:ascii="宋体" w:hAnsi="宋体" w:eastAsia="宋体"/>
                <w:sz w:val="16"/>
              </w:rPr>
              <w:t>-</w:t>
            </w:r>
          </w:p>
        </w:tc>
      </w:tr>
      <w:tr w14:paraId="607DCF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D009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CDDEEA">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B6502">
            <w:pPr>
              <w:jc w:val="center"/>
            </w:pPr>
            <w:r>
              <w:rPr>
                <w:rFonts w:ascii="宋体" w:hAnsi="宋体" w:eastAsia="宋体"/>
                <w:sz w:val="16"/>
              </w:rPr>
              <w:t>总体目标完成情况</w:t>
            </w:r>
          </w:p>
        </w:tc>
      </w:tr>
      <w:tr w14:paraId="775A8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DBD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A1871">
            <w:pPr>
              <w:jc w:val="both"/>
            </w:pPr>
            <w:r>
              <w:rPr>
                <w:rFonts w:ascii="宋体" w:hAnsi="宋体" w:eastAsia="宋体"/>
                <w:sz w:val="16"/>
              </w:rPr>
              <w:t>根据自治区中小企业发展资金扶持政策，不断提升企业创新能力和专业化水平：</w:t>
            </w:r>
            <w:r>
              <w:rPr>
                <w:rFonts w:ascii="宋体" w:hAnsi="宋体" w:eastAsia="宋体"/>
                <w:sz w:val="16"/>
              </w:rPr>
              <w:br w:type="textWrapping"/>
            </w:r>
            <w:r>
              <w:rPr>
                <w:rFonts w:ascii="宋体" w:hAnsi="宋体" w:eastAsia="宋体"/>
                <w:sz w:val="16"/>
              </w:rPr>
              <w:t>目标1：为1家专精特新“小巨人”企业发放补助，发挥专精特新中小企业示范引领作用，带动更多中小企业向专精特新方向发展，提高中小企业发展质量和水平。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178D4">
            <w:pPr>
              <w:jc w:val="both"/>
            </w:pPr>
            <w:r>
              <w:rPr>
                <w:rFonts w:hint="eastAsia" w:ascii="宋体" w:hAnsi="宋体"/>
                <w:sz w:val="16"/>
                <w:lang w:eastAsia="zh-CN"/>
              </w:rPr>
              <w:t>本单位</w:t>
            </w:r>
            <w:r>
              <w:rPr>
                <w:rFonts w:ascii="宋体" w:hAnsi="宋体" w:eastAsia="宋体"/>
                <w:sz w:val="16"/>
              </w:rPr>
              <w:t>本年度严格执行《自治区工信厅、财政厅关于中小企业发展专项资金项目申报指南的通知》文件精神，认真落实《新疆维吾尔自治区工业高质量发展“十四五”规划》等产业政策，已完成为1家专精特新“小巨人”企业发放补助，支持专精特新中小企业发挥示范引领作用，推进了更多中小企业向专精特新方向发展，实现了中小企业向特色化方向发展。</w:t>
            </w:r>
          </w:p>
        </w:tc>
      </w:tr>
      <w:tr w14:paraId="26A4CE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4D55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8A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09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75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1F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4C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405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7DD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476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FF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253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A8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528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C147">
            <w:pPr>
              <w:jc w:val="center"/>
            </w:pPr>
            <w:r>
              <w:rPr>
                <w:rFonts w:ascii="宋体" w:hAnsi="宋体" w:eastAsia="宋体"/>
                <w:sz w:val="16"/>
              </w:rPr>
              <w:t>偏差原因分析及改进措施</w:t>
            </w:r>
          </w:p>
        </w:tc>
      </w:tr>
      <w:tr w14:paraId="24B1C4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330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365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A80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9010">
            <w:pPr>
              <w:jc w:val="center"/>
            </w:pPr>
            <w:r>
              <w:rPr>
                <w:rFonts w:ascii="宋体" w:hAnsi="宋体" w:eastAsia="宋体"/>
                <w:sz w:val="16"/>
              </w:rPr>
              <w:t>补助专精特新中小企业数量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385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A5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2D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1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34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02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560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9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45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8217">
            <w:pPr>
              <w:jc w:val="center"/>
            </w:pPr>
          </w:p>
        </w:tc>
      </w:tr>
      <w:tr w14:paraId="02CE0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5A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2B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93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6D98">
            <w:pPr>
              <w:jc w:val="center"/>
            </w:pPr>
            <w:r>
              <w:rPr>
                <w:rFonts w:ascii="宋体" w:hAnsi="宋体" w:eastAsia="宋体"/>
                <w:sz w:val="16"/>
              </w:rPr>
              <w:t>补助专精特新中小企业次数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C6D2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2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25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45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2B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80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D35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D5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B3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26CA">
            <w:pPr>
              <w:jc w:val="center"/>
            </w:pPr>
          </w:p>
        </w:tc>
      </w:tr>
      <w:tr w14:paraId="1BA31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E87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D9E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64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F9DD">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D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00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4E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28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EA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B4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A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A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7E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FA31">
            <w:pPr>
              <w:jc w:val="center"/>
            </w:pPr>
          </w:p>
        </w:tc>
      </w:tr>
      <w:tr w14:paraId="4E2F4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FB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593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42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0AB2">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5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A3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C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2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E8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06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C3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8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FE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898D">
            <w:pPr>
              <w:jc w:val="center"/>
            </w:pPr>
          </w:p>
        </w:tc>
      </w:tr>
      <w:tr w14:paraId="3CBFE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0D9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83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E3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F5F1">
            <w:pPr>
              <w:jc w:val="center"/>
            </w:pPr>
            <w:r>
              <w:rPr>
                <w:rFonts w:ascii="宋体" w:hAnsi="宋体" w:eastAsia="宋体"/>
                <w:sz w:val="16"/>
              </w:rPr>
              <w:t>每次补助成本数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5073">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48E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4E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44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8D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9B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992D">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B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E7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9B0E">
            <w:pPr>
              <w:jc w:val="center"/>
            </w:pPr>
          </w:p>
        </w:tc>
      </w:tr>
      <w:tr w14:paraId="670F1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A8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52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0D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0A05">
            <w:pPr>
              <w:jc w:val="center"/>
            </w:pPr>
            <w:r>
              <w:rPr>
                <w:rFonts w:ascii="宋体" w:hAnsi="宋体" w:eastAsia="宋体"/>
                <w:sz w:val="16"/>
              </w:rPr>
              <w:t>提升企业创新能力和专业化水平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20A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91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2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C5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34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2A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932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C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A6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0163">
            <w:pPr>
              <w:jc w:val="center"/>
            </w:pPr>
          </w:p>
        </w:tc>
      </w:tr>
      <w:tr w14:paraId="4468E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B5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20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F9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8705">
            <w:pPr>
              <w:jc w:val="center"/>
            </w:pPr>
            <w:r>
              <w:rPr>
                <w:rFonts w:ascii="宋体" w:hAnsi="宋体" w:eastAsia="宋体"/>
                <w:sz w:val="16"/>
              </w:rPr>
              <w:t>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16A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A3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93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7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E2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695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F95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E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DE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202B">
            <w:pPr>
              <w:jc w:val="center"/>
            </w:pPr>
          </w:p>
        </w:tc>
      </w:tr>
      <w:tr w14:paraId="298AAE0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CC3E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67F2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127B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6861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3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2D6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55C5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8D6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D30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AF7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0C0339"/>
        </w:tc>
      </w:tr>
    </w:tbl>
    <w:p w14:paraId="58077AE6">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14:paraId="286B82D3">
        <w:tblPrEx>
          <w:tblCellMar>
            <w:top w:w="0" w:type="dxa"/>
            <w:left w:w="108" w:type="dxa"/>
            <w:bottom w:w="0" w:type="dxa"/>
            <w:right w:w="108" w:type="dxa"/>
          </w:tblCellMar>
        </w:tblPrEx>
        <w:tc>
          <w:tcPr>
            <w:tcW w:w="8848" w:type="dxa"/>
            <w:gridSpan w:val="14"/>
            <w:vAlign w:val="center"/>
          </w:tcPr>
          <w:p w14:paraId="5518E7D3">
            <w:pPr>
              <w:jc w:val="center"/>
            </w:pPr>
            <w:r>
              <w:rPr>
                <w:rFonts w:ascii="宋体" w:hAnsi="宋体" w:eastAsia="宋体"/>
                <w:sz w:val="24"/>
              </w:rPr>
              <w:t>项目支出绩效自评表</w:t>
            </w:r>
          </w:p>
        </w:tc>
      </w:tr>
      <w:tr w14:paraId="33DEA001">
        <w:tblPrEx>
          <w:tblCellMar>
            <w:top w:w="0" w:type="dxa"/>
            <w:left w:w="108" w:type="dxa"/>
            <w:bottom w:w="0" w:type="dxa"/>
            <w:right w:w="108" w:type="dxa"/>
          </w:tblCellMar>
        </w:tblPrEx>
        <w:tc>
          <w:tcPr>
            <w:tcW w:w="8848" w:type="dxa"/>
            <w:gridSpan w:val="14"/>
            <w:vAlign w:val="center"/>
          </w:tcPr>
          <w:p w14:paraId="2C83C701">
            <w:pPr>
              <w:jc w:val="center"/>
            </w:pPr>
            <w:r>
              <w:rPr>
                <w:rFonts w:ascii="宋体" w:hAnsi="宋体" w:eastAsia="宋体"/>
                <w:sz w:val="24"/>
              </w:rPr>
              <w:t>(2024年度)</w:t>
            </w:r>
          </w:p>
        </w:tc>
      </w:tr>
      <w:tr w14:paraId="7FB927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7E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9297AF">
            <w:pPr>
              <w:jc w:val="center"/>
            </w:pPr>
            <w:r>
              <w:rPr>
                <w:rFonts w:ascii="宋体" w:hAnsi="宋体" w:eastAsia="宋体"/>
                <w:sz w:val="16"/>
              </w:rPr>
              <w:t>商工局：巴财企</w:t>
            </w:r>
            <w:r>
              <w:rPr>
                <w:rFonts w:hint="eastAsia" w:ascii="宋体" w:hAnsi="宋体"/>
                <w:sz w:val="16"/>
                <w:lang w:eastAsia="zh-CN"/>
              </w:rPr>
              <w:t>〔2024〕38号</w:t>
            </w:r>
            <w:r>
              <w:rPr>
                <w:rFonts w:ascii="宋体" w:hAnsi="宋体" w:eastAsia="宋体"/>
                <w:sz w:val="16"/>
              </w:rPr>
              <w:t>关于拨付2024年度服务业发展资金的通知（县城商业建设项目轮台县农产品小白杏商品化处理设施项目）</w:t>
            </w:r>
          </w:p>
        </w:tc>
      </w:tr>
      <w:tr w14:paraId="04D5C7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3A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7E10C6">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98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1BCD0">
            <w:pPr>
              <w:jc w:val="center"/>
            </w:pPr>
            <w:r>
              <w:rPr>
                <w:rFonts w:ascii="宋体" w:hAnsi="宋体" w:eastAsia="宋体"/>
                <w:sz w:val="16"/>
              </w:rPr>
              <w:t>轮台县商务和工业信息化局</w:t>
            </w:r>
          </w:p>
        </w:tc>
      </w:tr>
      <w:tr w14:paraId="555541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8C80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204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B7D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F99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7B6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7774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80A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2C4E">
            <w:pPr>
              <w:jc w:val="center"/>
            </w:pPr>
            <w:r>
              <w:rPr>
                <w:rFonts w:ascii="宋体" w:hAnsi="宋体" w:eastAsia="宋体"/>
                <w:sz w:val="16"/>
              </w:rPr>
              <w:t>得分</w:t>
            </w:r>
          </w:p>
        </w:tc>
      </w:tr>
      <w:tr w14:paraId="47B5BF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453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6C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3FC0E">
            <w:pPr>
              <w:jc w:val="center"/>
            </w:pPr>
            <w:r>
              <w:rPr>
                <w:rFonts w:ascii="宋体" w:hAnsi="宋体" w:eastAsia="宋体"/>
                <w:sz w:val="16"/>
              </w:rPr>
              <w:t>111.64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0DDE6">
            <w:pPr>
              <w:jc w:val="center"/>
            </w:pPr>
            <w:r>
              <w:rPr>
                <w:rFonts w:ascii="宋体" w:hAnsi="宋体" w:eastAsia="宋体"/>
                <w:sz w:val="16"/>
              </w:rPr>
              <w:t>111.64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708F7">
            <w:pPr>
              <w:jc w:val="center"/>
            </w:pPr>
            <w:r>
              <w:rPr>
                <w:rFonts w:ascii="宋体" w:hAnsi="宋体" w:eastAsia="宋体"/>
                <w:sz w:val="16"/>
              </w:rPr>
              <w:t>111.64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84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355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B868">
            <w:pPr>
              <w:jc w:val="center"/>
            </w:pPr>
            <w:r>
              <w:rPr>
                <w:rFonts w:ascii="宋体" w:hAnsi="宋体" w:eastAsia="宋体"/>
                <w:sz w:val="16"/>
              </w:rPr>
              <w:t>10.00</w:t>
            </w:r>
          </w:p>
        </w:tc>
      </w:tr>
      <w:tr w14:paraId="1F570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975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2A5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1B8BE">
            <w:pPr>
              <w:jc w:val="center"/>
            </w:pPr>
            <w:r>
              <w:rPr>
                <w:rFonts w:ascii="宋体" w:hAnsi="宋体" w:eastAsia="宋体"/>
                <w:sz w:val="16"/>
              </w:rPr>
              <w:t>111.64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0F72A">
            <w:pPr>
              <w:jc w:val="center"/>
            </w:pPr>
            <w:r>
              <w:rPr>
                <w:rFonts w:ascii="宋体" w:hAnsi="宋体" w:eastAsia="宋体"/>
                <w:sz w:val="16"/>
              </w:rPr>
              <w:t>111.64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AED0F">
            <w:pPr>
              <w:jc w:val="center"/>
            </w:pPr>
            <w:r>
              <w:rPr>
                <w:rFonts w:ascii="宋体" w:hAnsi="宋体" w:eastAsia="宋体"/>
                <w:sz w:val="16"/>
              </w:rPr>
              <w:t>111.64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CF6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766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4F82">
            <w:pPr>
              <w:jc w:val="center"/>
            </w:pPr>
            <w:r>
              <w:rPr>
                <w:rFonts w:ascii="宋体" w:hAnsi="宋体" w:eastAsia="宋体"/>
                <w:sz w:val="16"/>
              </w:rPr>
              <w:t>-</w:t>
            </w:r>
          </w:p>
        </w:tc>
      </w:tr>
      <w:tr w14:paraId="6BF43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BD8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41CE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946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F03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702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94A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EF0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B4C9">
            <w:pPr>
              <w:jc w:val="center"/>
            </w:pPr>
            <w:r>
              <w:rPr>
                <w:rFonts w:ascii="宋体" w:hAnsi="宋体" w:eastAsia="宋体"/>
                <w:sz w:val="16"/>
              </w:rPr>
              <w:t>-</w:t>
            </w:r>
          </w:p>
        </w:tc>
      </w:tr>
      <w:tr w14:paraId="11D1BD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87B7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0A9DB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3960F3">
            <w:pPr>
              <w:jc w:val="center"/>
            </w:pPr>
            <w:r>
              <w:rPr>
                <w:rFonts w:ascii="宋体" w:hAnsi="宋体" w:eastAsia="宋体"/>
                <w:sz w:val="16"/>
              </w:rPr>
              <w:t>总体目标完成情况</w:t>
            </w:r>
          </w:p>
        </w:tc>
      </w:tr>
      <w:tr w14:paraId="24293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FC8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AE087">
            <w:pPr>
              <w:jc w:val="both"/>
            </w:pPr>
            <w:r>
              <w:rPr>
                <w:rFonts w:ascii="宋体" w:hAnsi="宋体" w:eastAsia="宋体"/>
                <w:sz w:val="16"/>
              </w:rPr>
              <w:t>根据服务业发展资金扶持政策，支持农产品加工企业参与县域商业体系建设，促进白杏产业的现代化和专业化：</w:t>
            </w:r>
            <w:r>
              <w:rPr>
                <w:rFonts w:ascii="宋体" w:hAnsi="宋体" w:eastAsia="宋体"/>
                <w:sz w:val="16"/>
              </w:rPr>
              <w:br w:type="textWrapping"/>
            </w:r>
            <w:r>
              <w:rPr>
                <w:rFonts w:ascii="宋体" w:hAnsi="宋体" w:eastAsia="宋体"/>
                <w:sz w:val="16"/>
              </w:rPr>
              <w:t>目标1：为1家农产品加工企业发放补助，支持企业购置烘干设施、去核机等设备，对小白杏进行商品化处理，提升小白杏市场竞争力，带动轮台小白杏产业的升级和延伸发展。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99F1D">
            <w:pPr>
              <w:jc w:val="both"/>
            </w:pPr>
            <w:r>
              <w:rPr>
                <w:rFonts w:hint="eastAsia" w:ascii="宋体" w:hAnsi="宋体"/>
                <w:sz w:val="16"/>
                <w:lang w:eastAsia="zh-CN"/>
              </w:rPr>
              <w:t>本单位</w:t>
            </w:r>
            <w:r>
              <w:rPr>
                <w:rFonts w:ascii="宋体" w:hAnsi="宋体" w:eastAsia="宋体"/>
                <w:sz w:val="16"/>
              </w:rPr>
              <w:t>本年度严格执行《财政部办公厅商务部办公厅国家乡村振兴局综合司关于支持实施县域商业建设行动的通知》（财办建〔2022〕18号）文件精神，认真落实自治区商务厅、巴州商务局关于持续开展支持实施县域商业建设行动项目申报政策，已完成为1家农产品加工企业发放补助，支持该企业购置烘干设施、去核机等设备，对小白杏进行商品化处理，提升小白杏市场竞争力，推进了轮台小白杏产业的升级和延伸发展，实现了工业品下乡和农产品进城更加畅通。</w:t>
            </w:r>
          </w:p>
        </w:tc>
      </w:tr>
      <w:tr w14:paraId="6BCB54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57F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CB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61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6A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E7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02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860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B28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118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50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8A4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55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132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2BDD">
            <w:pPr>
              <w:jc w:val="center"/>
            </w:pPr>
            <w:r>
              <w:rPr>
                <w:rFonts w:ascii="宋体" w:hAnsi="宋体" w:eastAsia="宋体"/>
                <w:sz w:val="16"/>
              </w:rPr>
              <w:t>偏差原因分析及改进措施</w:t>
            </w:r>
          </w:p>
        </w:tc>
      </w:tr>
      <w:tr w14:paraId="4457D9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4B7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33B8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476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A2B1">
            <w:pPr>
              <w:jc w:val="center"/>
            </w:pPr>
            <w:r>
              <w:rPr>
                <w:rFonts w:ascii="宋体" w:hAnsi="宋体" w:eastAsia="宋体"/>
                <w:sz w:val="16"/>
              </w:rPr>
              <w:t>补助采购烘干、去核机等设备的企业数量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BF87">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8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7E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53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16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59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95B8">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49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8F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637F">
            <w:pPr>
              <w:jc w:val="center"/>
            </w:pPr>
          </w:p>
        </w:tc>
      </w:tr>
      <w:tr w14:paraId="34BA7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FE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3E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696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0FFA">
            <w:pPr>
              <w:jc w:val="center"/>
            </w:pPr>
            <w:r>
              <w:rPr>
                <w:rFonts w:ascii="宋体" w:hAnsi="宋体" w:eastAsia="宋体"/>
                <w:sz w:val="16"/>
              </w:rPr>
              <w:t>补助采购烘干、去核机等设备的企业次数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C20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4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32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38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D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B0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9C8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1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FD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6642">
            <w:pPr>
              <w:jc w:val="center"/>
            </w:pPr>
          </w:p>
        </w:tc>
      </w:tr>
      <w:tr w14:paraId="45490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0B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86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CC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0FC7">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B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3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07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81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C9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1A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43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B1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96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B9B6">
            <w:pPr>
              <w:jc w:val="center"/>
            </w:pPr>
          </w:p>
        </w:tc>
      </w:tr>
      <w:tr w14:paraId="2049B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B6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3F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E0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F57E">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3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B8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C9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7E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E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2D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48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87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DF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8B71">
            <w:pPr>
              <w:jc w:val="center"/>
            </w:pPr>
          </w:p>
        </w:tc>
      </w:tr>
      <w:tr w14:paraId="73CC9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D2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D80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23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3141">
            <w:pPr>
              <w:jc w:val="center"/>
            </w:pPr>
            <w:r>
              <w:rPr>
                <w:rFonts w:ascii="宋体" w:hAnsi="宋体" w:eastAsia="宋体"/>
                <w:sz w:val="16"/>
              </w:rPr>
              <w:t>每次补助成本数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C6B4">
            <w:pPr>
              <w:jc w:val="center"/>
            </w:pPr>
            <w:r>
              <w:rPr>
                <w:rFonts w:ascii="宋体" w:hAnsi="宋体" w:eastAsia="宋体"/>
                <w:sz w:val="16"/>
              </w:rPr>
              <w:t>&lt;=111.64万元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43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3B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37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35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D0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9EDF">
            <w:pPr>
              <w:jc w:val="center"/>
            </w:pPr>
            <w:r>
              <w:rPr>
                <w:rFonts w:ascii="宋体" w:hAnsi="宋体" w:eastAsia="宋体"/>
                <w:sz w:val="16"/>
              </w:rPr>
              <w:t>=111.64万元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2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50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502B">
            <w:pPr>
              <w:jc w:val="center"/>
            </w:pPr>
          </w:p>
        </w:tc>
      </w:tr>
      <w:tr w14:paraId="2D6CE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A1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42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8C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70C1">
            <w:pPr>
              <w:jc w:val="center"/>
            </w:pPr>
            <w:r>
              <w:rPr>
                <w:rFonts w:ascii="宋体" w:hAnsi="宋体" w:eastAsia="宋体"/>
                <w:sz w:val="16"/>
              </w:rPr>
              <w:t>带动小白杏产业的升级和延伸发展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D3A2">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9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35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3C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50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81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33A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42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E0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2AE0">
            <w:pPr>
              <w:jc w:val="center"/>
            </w:pPr>
          </w:p>
        </w:tc>
      </w:tr>
      <w:tr w14:paraId="5D4D4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BAB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70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B1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9DAE">
            <w:pPr>
              <w:jc w:val="center"/>
            </w:pPr>
            <w:r>
              <w:rPr>
                <w:rFonts w:ascii="宋体" w:hAnsi="宋体" w:eastAsia="宋体"/>
                <w:sz w:val="16"/>
              </w:rPr>
              <w:t>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BE4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C6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F7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22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96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CBC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91A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1A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B5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2B91">
            <w:pPr>
              <w:jc w:val="center"/>
            </w:pPr>
          </w:p>
        </w:tc>
      </w:tr>
      <w:tr w14:paraId="41E855F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6C32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7A87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270E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F742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A3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70C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B78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7DB2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DDD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0E0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9BFF1"/>
        </w:tc>
      </w:tr>
    </w:tbl>
    <w:p w14:paraId="0D0CBE2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660AA9DE">
        <w:tblPrEx>
          <w:tblCellMar>
            <w:top w:w="0" w:type="dxa"/>
            <w:left w:w="108" w:type="dxa"/>
            <w:bottom w:w="0" w:type="dxa"/>
            <w:right w:w="108" w:type="dxa"/>
          </w:tblCellMar>
        </w:tblPrEx>
        <w:tc>
          <w:tcPr>
            <w:tcW w:w="8848" w:type="dxa"/>
            <w:gridSpan w:val="14"/>
            <w:vAlign w:val="center"/>
          </w:tcPr>
          <w:p w14:paraId="580E4E84">
            <w:pPr>
              <w:jc w:val="center"/>
            </w:pPr>
            <w:r>
              <w:rPr>
                <w:rFonts w:ascii="宋体" w:hAnsi="宋体" w:eastAsia="宋体"/>
                <w:sz w:val="24"/>
              </w:rPr>
              <w:t>项目支出绩效自评表</w:t>
            </w:r>
          </w:p>
        </w:tc>
      </w:tr>
      <w:tr w14:paraId="40016E53">
        <w:tblPrEx>
          <w:tblCellMar>
            <w:top w:w="0" w:type="dxa"/>
            <w:left w:w="108" w:type="dxa"/>
            <w:bottom w:w="0" w:type="dxa"/>
            <w:right w:w="108" w:type="dxa"/>
          </w:tblCellMar>
        </w:tblPrEx>
        <w:tc>
          <w:tcPr>
            <w:tcW w:w="8848" w:type="dxa"/>
            <w:gridSpan w:val="14"/>
            <w:vAlign w:val="center"/>
          </w:tcPr>
          <w:p w14:paraId="59072962">
            <w:pPr>
              <w:jc w:val="center"/>
            </w:pPr>
            <w:r>
              <w:rPr>
                <w:rFonts w:ascii="宋体" w:hAnsi="宋体" w:eastAsia="宋体"/>
                <w:sz w:val="24"/>
              </w:rPr>
              <w:t>(2024年度)</w:t>
            </w:r>
          </w:p>
        </w:tc>
      </w:tr>
      <w:tr w14:paraId="40EA56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68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817D65">
            <w:pPr>
              <w:jc w:val="center"/>
            </w:pPr>
            <w:r>
              <w:rPr>
                <w:rFonts w:ascii="宋体" w:hAnsi="宋体" w:eastAsia="宋体"/>
                <w:sz w:val="16"/>
              </w:rPr>
              <w:t>商工局：巴财企</w:t>
            </w:r>
            <w:r>
              <w:rPr>
                <w:rFonts w:hint="eastAsia" w:ascii="宋体" w:hAnsi="宋体"/>
                <w:sz w:val="16"/>
                <w:lang w:eastAsia="zh-CN"/>
              </w:rPr>
              <w:t>〔2024〕38号</w:t>
            </w:r>
            <w:r>
              <w:rPr>
                <w:rFonts w:ascii="宋体" w:hAnsi="宋体" w:eastAsia="宋体"/>
                <w:sz w:val="16"/>
              </w:rPr>
              <w:t>关于拨付2024年度服务业发展资金的通知（县城商业建设项目轮台县牛羊屠宰加工基地建设项目）</w:t>
            </w:r>
          </w:p>
        </w:tc>
      </w:tr>
      <w:tr w14:paraId="2EA1FD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FB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363F8">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C5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5E05D0">
            <w:pPr>
              <w:jc w:val="center"/>
            </w:pPr>
            <w:r>
              <w:rPr>
                <w:rFonts w:ascii="宋体" w:hAnsi="宋体" w:eastAsia="宋体"/>
                <w:sz w:val="16"/>
              </w:rPr>
              <w:t>轮台县商务和工业信息化局</w:t>
            </w:r>
          </w:p>
        </w:tc>
      </w:tr>
      <w:tr w14:paraId="67BBFE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3758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DA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84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6FB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06F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30F88">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632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A86D">
            <w:pPr>
              <w:jc w:val="center"/>
            </w:pPr>
            <w:r>
              <w:rPr>
                <w:rFonts w:ascii="宋体" w:hAnsi="宋体" w:eastAsia="宋体"/>
                <w:sz w:val="16"/>
              </w:rPr>
              <w:t>得分</w:t>
            </w:r>
          </w:p>
        </w:tc>
      </w:tr>
      <w:tr w14:paraId="6FC22D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E53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8F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7C8E8">
            <w:pPr>
              <w:jc w:val="center"/>
            </w:pPr>
            <w:r>
              <w:rPr>
                <w:rFonts w:ascii="宋体" w:hAnsi="宋体" w:eastAsia="宋体"/>
                <w:sz w:val="16"/>
              </w:rPr>
              <w:t>52.59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40C44">
            <w:pPr>
              <w:jc w:val="center"/>
            </w:pPr>
            <w:r>
              <w:rPr>
                <w:rFonts w:ascii="宋体" w:hAnsi="宋体" w:eastAsia="宋体"/>
                <w:sz w:val="16"/>
              </w:rPr>
              <w:t>52.59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17E04">
            <w:pPr>
              <w:jc w:val="center"/>
            </w:pPr>
            <w:r>
              <w:rPr>
                <w:rFonts w:ascii="宋体" w:hAnsi="宋体" w:eastAsia="宋体"/>
                <w:sz w:val="16"/>
              </w:rPr>
              <w:t>52.59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14F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3E0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3BDD">
            <w:pPr>
              <w:jc w:val="center"/>
            </w:pPr>
            <w:r>
              <w:rPr>
                <w:rFonts w:ascii="宋体" w:hAnsi="宋体" w:eastAsia="宋体"/>
                <w:sz w:val="16"/>
              </w:rPr>
              <w:t>10.00</w:t>
            </w:r>
          </w:p>
        </w:tc>
      </w:tr>
      <w:tr w14:paraId="413F8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C17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578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2367E">
            <w:pPr>
              <w:jc w:val="center"/>
            </w:pPr>
            <w:r>
              <w:rPr>
                <w:rFonts w:ascii="宋体" w:hAnsi="宋体" w:eastAsia="宋体"/>
                <w:sz w:val="16"/>
              </w:rPr>
              <w:t>52.59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6BBC6">
            <w:pPr>
              <w:jc w:val="center"/>
            </w:pPr>
            <w:r>
              <w:rPr>
                <w:rFonts w:ascii="宋体" w:hAnsi="宋体" w:eastAsia="宋体"/>
                <w:sz w:val="16"/>
              </w:rPr>
              <w:t>52.59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D8344">
            <w:pPr>
              <w:jc w:val="center"/>
            </w:pPr>
            <w:r>
              <w:rPr>
                <w:rFonts w:ascii="宋体" w:hAnsi="宋体" w:eastAsia="宋体"/>
                <w:sz w:val="16"/>
              </w:rPr>
              <w:t>52.59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DE6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1E5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8BAB">
            <w:pPr>
              <w:jc w:val="center"/>
            </w:pPr>
            <w:r>
              <w:rPr>
                <w:rFonts w:ascii="宋体" w:hAnsi="宋体" w:eastAsia="宋体"/>
                <w:sz w:val="16"/>
              </w:rPr>
              <w:t>-</w:t>
            </w:r>
          </w:p>
        </w:tc>
      </w:tr>
      <w:tr w14:paraId="44CB9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A09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C236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667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B23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AD7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A20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CFA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F9AF">
            <w:pPr>
              <w:jc w:val="center"/>
            </w:pPr>
            <w:r>
              <w:rPr>
                <w:rFonts w:ascii="宋体" w:hAnsi="宋体" w:eastAsia="宋体"/>
                <w:sz w:val="16"/>
              </w:rPr>
              <w:t>-</w:t>
            </w:r>
          </w:p>
        </w:tc>
      </w:tr>
      <w:tr w14:paraId="5C8434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3B2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0CC08">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67009B">
            <w:pPr>
              <w:jc w:val="center"/>
            </w:pPr>
            <w:r>
              <w:rPr>
                <w:rFonts w:ascii="宋体" w:hAnsi="宋体" w:eastAsia="宋体"/>
                <w:sz w:val="16"/>
              </w:rPr>
              <w:t>总体目标完成情况</w:t>
            </w:r>
          </w:p>
        </w:tc>
      </w:tr>
      <w:tr w14:paraId="5E2D7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2E8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C40A6">
            <w:pPr>
              <w:jc w:val="both"/>
            </w:pPr>
            <w:r>
              <w:rPr>
                <w:rFonts w:ascii="宋体" w:hAnsi="宋体" w:eastAsia="宋体"/>
                <w:sz w:val="16"/>
              </w:rPr>
              <w:t>根据服务业发展资金扶持政策，支持商贸企业参与县域商业体系建设，促进农产品进城更加顺畅：</w:t>
            </w:r>
            <w:r>
              <w:rPr>
                <w:rFonts w:ascii="宋体" w:hAnsi="宋体" w:eastAsia="宋体"/>
                <w:sz w:val="16"/>
              </w:rPr>
              <w:br w:type="textWrapping"/>
            </w:r>
            <w:r>
              <w:rPr>
                <w:rFonts w:ascii="宋体" w:hAnsi="宋体" w:eastAsia="宋体"/>
                <w:sz w:val="16"/>
              </w:rPr>
              <w:t>目标1：为1家牛羊屠宰企业发放补助，支持企业购置牛羊屠宰生产线和设备，生产线验收合格率达到100%，通过开展定点屠宰业务，满足保障当地群众牛羊肉消费和食品卫生安全，促进屠宰加工业健康发展，有效提升县域商业体系建设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9B723C">
            <w:pPr>
              <w:jc w:val="both"/>
            </w:pPr>
            <w:r>
              <w:rPr>
                <w:rFonts w:hint="eastAsia" w:ascii="宋体" w:hAnsi="宋体"/>
                <w:sz w:val="16"/>
                <w:lang w:eastAsia="zh-CN"/>
              </w:rPr>
              <w:t>本单位</w:t>
            </w:r>
            <w:r>
              <w:rPr>
                <w:rFonts w:ascii="宋体" w:hAnsi="宋体" w:eastAsia="宋体"/>
                <w:sz w:val="16"/>
              </w:rPr>
              <w:t>本年度严格执行《财政部办公厅商务部办公厅国家乡村振兴局综合司关于支持实施县域商业建设行动的通知》（财办建〔2022〕18号）文件精神，认真落实自治区商务厅、巴州商务局关于持续开展支持实施县域商业建设行动项目申报政策，已完成为1家牛羊屠宰企业发放补助，生产线验收合格率达到100%，支持企业购置牛羊屠宰生产线和设备，开展了定点屠宰业务，满足保障了当地群众牛羊肉消费和食品卫生安全，推进了屠宰加工业健康发展，实现了县域商业体系建设水平的有效提升。</w:t>
            </w:r>
          </w:p>
        </w:tc>
      </w:tr>
      <w:tr w14:paraId="000B4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EC4E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4C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E1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6F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BA7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12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A804">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BCD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AF0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67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54E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282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4D2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5615">
            <w:pPr>
              <w:jc w:val="center"/>
            </w:pPr>
            <w:r>
              <w:rPr>
                <w:rFonts w:ascii="宋体" w:hAnsi="宋体" w:eastAsia="宋体"/>
                <w:sz w:val="16"/>
              </w:rPr>
              <w:t>偏差原因分析及改进措施</w:t>
            </w:r>
          </w:p>
        </w:tc>
      </w:tr>
      <w:tr w14:paraId="7F9EB9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4CE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CE7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32A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C964">
            <w:pPr>
              <w:jc w:val="center"/>
            </w:pPr>
            <w:r>
              <w:rPr>
                <w:rFonts w:ascii="宋体" w:hAnsi="宋体" w:eastAsia="宋体"/>
                <w:sz w:val="16"/>
              </w:rPr>
              <w:t>补助建设牛羊屠宰生产线的企业数量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6BD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01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8A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59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C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83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E53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5B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2B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2986">
            <w:pPr>
              <w:jc w:val="center"/>
            </w:pPr>
          </w:p>
        </w:tc>
      </w:tr>
      <w:tr w14:paraId="73D1C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0C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DB2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46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D138">
            <w:pPr>
              <w:jc w:val="center"/>
            </w:pPr>
            <w:r>
              <w:rPr>
                <w:rFonts w:ascii="宋体" w:hAnsi="宋体" w:eastAsia="宋体"/>
                <w:sz w:val="16"/>
              </w:rPr>
              <w:t>补助牛羊屠宰企业次数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BD6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09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C9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DB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5D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1D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11B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5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D8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7748">
            <w:pPr>
              <w:jc w:val="center"/>
            </w:pPr>
          </w:p>
        </w:tc>
      </w:tr>
      <w:tr w14:paraId="2B9D2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B6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285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9A5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8B52">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02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0E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83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6C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3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E5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E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0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06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A9AB">
            <w:pPr>
              <w:jc w:val="center"/>
            </w:pPr>
          </w:p>
        </w:tc>
      </w:tr>
      <w:tr w14:paraId="255FBE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55B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50B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88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5CD8">
            <w:pPr>
              <w:jc w:val="center"/>
            </w:pPr>
            <w:r>
              <w:rPr>
                <w:rFonts w:ascii="宋体" w:hAnsi="宋体" w:eastAsia="宋体"/>
                <w:sz w:val="16"/>
              </w:rPr>
              <w:t>牛羊屠宰生产线验收合格率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6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DD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67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09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0A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68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74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F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05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0F90">
            <w:pPr>
              <w:jc w:val="center"/>
            </w:pPr>
          </w:p>
        </w:tc>
      </w:tr>
      <w:tr w14:paraId="39779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DE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64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C2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9467">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34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0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68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50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6E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84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6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7A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40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249C">
            <w:pPr>
              <w:jc w:val="center"/>
            </w:pPr>
          </w:p>
        </w:tc>
      </w:tr>
      <w:tr w14:paraId="75A04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5A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14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78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1EDE">
            <w:pPr>
              <w:jc w:val="center"/>
            </w:pPr>
            <w:r>
              <w:rPr>
                <w:rFonts w:ascii="宋体" w:hAnsi="宋体" w:eastAsia="宋体"/>
                <w:sz w:val="16"/>
              </w:rPr>
              <w:t>每次补助成本数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02BB">
            <w:pPr>
              <w:jc w:val="center"/>
            </w:pPr>
            <w:r>
              <w:rPr>
                <w:rFonts w:ascii="宋体" w:hAnsi="宋体" w:eastAsia="宋体"/>
                <w:sz w:val="16"/>
              </w:rPr>
              <w:t>&lt;=52.59万元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B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F4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6B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1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98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A5C6">
            <w:pPr>
              <w:jc w:val="center"/>
            </w:pPr>
            <w:r>
              <w:rPr>
                <w:rFonts w:ascii="宋体" w:hAnsi="宋体" w:eastAsia="宋体"/>
                <w:sz w:val="16"/>
              </w:rPr>
              <w:t>=52.59万元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2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AC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BE75">
            <w:pPr>
              <w:jc w:val="center"/>
            </w:pPr>
          </w:p>
        </w:tc>
      </w:tr>
      <w:tr w14:paraId="2CB9A0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C1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69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75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4298">
            <w:pPr>
              <w:jc w:val="center"/>
            </w:pPr>
            <w:r>
              <w:rPr>
                <w:rFonts w:ascii="宋体" w:hAnsi="宋体" w:eastAsia="宋体"/>
                <w:sz w:val="16"/>
              </w:rPr>
              <w:t>提升县域商业体系建设水平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959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1D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73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11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58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B31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FD6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C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35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FD11">
            <w:pPr>
              <w:jc w:val="center"/>
            </w:pPr>
          </w:p>
        </w:tc>
      </w:tr>
      <w:tr w14:paraId="6CD50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7B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85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84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1FA2">
            <w:pPr>
              <w:jc w:val="center"/>
            </w:pPr>
            <w:r>
              <w:rPr>
                <w:rFonts w:ascii="宋体" w:hAnsi="宋体" w:eastAsia="宋体"/>
                <w:sz w:val="16"/>
              </w:rPr>
              <w:t>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009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8A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BE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6A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AF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54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5B0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9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B5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02E0">
            <w:pPr>
              <w:jc w:val="center"/>
            </w:pPr>
          </w:p>
        </w:tc>
      </w:tr>
      <w:tr w14:paraId="6F92CEB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AD7F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EB1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AD0A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4A75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F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D05E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61E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FA57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B7E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C7F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DA4C7B"/>
        </w:tc>
      </w:tr>
    </w:tbl>
    <w:p w14:paraId="7694B3D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7A596CA">
        <w:tblPrEx>
          <w:tblCellMar>
            <w:top w:w="0" w:type="dxa"/>
            <w:left w:w="108" w:type="dxa"/>
            <w:bottom w:w="0" w:type="dxa"/>
            <w:right w:w="108" w:type="dxa"/>
          </w:tblCellMar>
        </w:tblPrEx>
        <w:tc>
          <w:tcPr>
            <w:tcW w:w="8848" w:type="dxa"/>
            <w:gridSpan w:val="14"/>
            <w:vAlign w:val="center"/>
          </w:tcPr>
          <w:p w14:paraId="74A75907">
            <w:pPr>
              <w:jc w:val="center"/>
            </w:pPr>
            <w:r>
              <w:rPr>
                <w:rFonts w:ascii="宋体" w:hAnsi="宋体" w:eastAsia="宋体"/>
                <w:sz w:val="24"/>
              </w:rPr>
              <w:t>项目支出绩效自评表</w:t>
            </w:r>
          </w:p>
        </w:tc>
      </w:tr>
      <w:tr w14:paraId="31728A1C">
        <w:tblPrEx>
          <w:tblCellMar>
            <w:top w:w="0" w:type="dxa"/>
            <w:left w:w="108" w:type="dxa"/>
            <w:bottom w:w="0" w:type="dxa"/>
            <w:right w:w="108" w:type="dxa"/>
          </w:tblCellMar>
        </w:tblPrEx>
        <w:tc>
          <w:tcPr>
            <w:tcW w:w="8848" w:type="dxa"/>
            <w:gridSpan w:val="14"/>
            <w:vAlign w:val="center"/>
          </w:tcPr>
          <w:p w14:paraId="26D94370">
            <w:pPr>
              <w:jc w:val="center"/>
            </w:pPr>
            <w:r>
              <w:rPr>
                <w:rFonts w:ascii="宋体" w:hAnsi="宋体" w:eastAsia="宋体"/>
                <w:sz w:val="24"/>
              </w:rPr>
              <w:t>(2024年度)</w:t>
            </w:r>
          </w:p>
        </w:tc>
      </w:tr>
      <w:tr w14:paraId="341578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28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79C99E">
            <w:pPr>
              <w:jc w:val="center"/>
            </w:pPr>
            <w:r>
              <w:rPr>
                <w:rFonts w:ascii="宋体" w:hAnsi="宋体" w:eastAsia="宋体"/>
                <w:sz w:val="16"/>
              </w:rPr>
              <w:t>商工局：巴财企</w:t>
            </w:r>
            <w:r>
              <w:rPr>
                <w:rFonts w:hint="eastAsia" w:ascii="宋体" w:hAnsi="宋体"/>
                <w:sz w:val="16"/>
                <w:lang w:eastAsia="zh-CN"/>
              </w:rPr>
              <w:t>〔2024〕41号</w:t>
            </w:r>
            <w:r>
              <w:rPr>
                <w:rFonts w:ascii="宋体" w:hAnsi="宋体" w:eastAsia="宋体"/>
                <w:sz w:val="16"/>
              </w:rPr>
              <w:t>关于拨付2024年第二批外经贸发展专项资金</w:t>
            </w:r>
          </w:p>
        </w:tc>
      </w:tr>
      <w:tr w14:paraId="2CB87D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9A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3E173">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6E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9EF965">
            <w:pPr>
              <w:jc w:val="center"/>
            </w:pPr>
            <w:r>
              <w:rPr>
                <w:rFonts w:ascii="宋体" w:hAnsi="宋体" w:eastAsia="宋体"/>
                <w:sz w:val="16"/>
              </w:rPr>
              <w:t>轮台县商务和工业信息化局</w:t>
            </w:r>
          </w:p>
        </w:tc>
      </w:tr>
      <w:tr w14:paraId="567E56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BD82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8E4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77F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F0E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375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D213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834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AB9E">
            <w:pPr>
              <w:jc w:val="center"/>
            </w:pPr>
            <w:r>
              <w:rPr>
                <w:rFonts w:ascii="宋体" w:hAnsi="宋体" w:eastAsia="宋体"/>
                <w:sz w:val="16"/>
              </w:rPr>
              <w:t>得分</w:t>
            </w:r>
          </w:p>
        </w:tc>
      </w:tr>
      <w:tr w14:paraId="574F7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C54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EC6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0CDF9">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C540">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A7C9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05E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D6B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B690">
            <w:pPr>
              <w:jc w:val="center"/>
            </w:pPr>
            <w:r>
              <w:rPr>
                <w:rFonts w:ascii="宋体" w:hAnsi="宋体" w:eastAsia="宋体"/>
                <w:sz w:val="16"/>
              </w:rPr>
              <w:t>10.00</w:t>
            </w:r>
          </w:p>
        </w:tc>
      </w:tr>
      <w:tr w14:paraId="19870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CF0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17F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C4D1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A279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6694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7B7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5C7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ABD5">
            <w:pPr>
              <w:jc w:val="center"/>
            </w:pPr>
            <w:r>
              <w:rPr>
                <w:rFonts w:ascii="宋体" w:hAnsi="宋体" w:eastAsia="宋体"/>
                <w:sz w:val="16"/>
              </w:rPr>
              <w:t>-</w:t>
            </w:r>
          </w:p>
        </w:tc>
      </w:tr>
      <w:tr w14:paraId="6F863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A01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E5CD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69E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C8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B5E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D0E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E6F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18B0">
            <w:pPr>
              <w:jc w:val="center"/>
            </w:pPr>
            <w:r>
              <w:rPr>
                <w:rFonts w:ascii="宋体" w:hAnsi="宋体" w:eastAsia="宋体"/>
                <w:sz w:val="16"/>
              </w:rPr>
              <w:t>-</w:t>
            </w:r>
          </w:p>
        </w:tc>
      </w:tr>
      <w:tr w14:paraId="5FB59F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3370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CB38F">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BD713F">
            <w:pPr>
              <w:jc w:val="center"/>
            </w:pPr>
            <w:r>
              <w:rPr>
                <w:rFonts w:ascii="宋体" w:hAnsi="宋体" w:eastAsia="宋体"/>
                <w:sz w:val="16"/>
              </w:rPr>
              <w:t>总体目标完成情况</w:t>
            </w:r>
          </w:p>
        </w:tc>
      </w:tr>
      <w:tr w14:paraId="28505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E85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FA09E3">
            <w:pPr>
              <w:jc w:val="both"/>
            </w:pPr>
            <w:r>
              <w:rPr>
                <w:rFonts w:ascii="宋体" w:hAnsi="宋体" w:eastAsia="宋体"/>
                <w:sz w:val="16"/>
              </w:rPr>
              <w:t>根据外经贸发展专项资金扶持政策，支持外贸企业扩大先进设备和技术的进口，促进外经贸稳定增长：</w:t>
            </w:r>
            <w:r>
              <w:rPr>
                <w:rFonts w:ascii="宋体" w:hAnsi="宋体" w:eastAsia="宋体"/>
                <w:sz w:val="16"/>
              </w:rPr>
              <w:br w:type="textWrapping"/>
            </w:r>
            <w:r>
              <w:rPr>
                <w:rFonts w:ascii="宋体" w:hAnsi="宋体" w:eastAsia="宋体"/>
                <w:sz w:val="16"/>
              </w:rPr>
              <w:t>目标1：补助外贸1家企业引进新工具、新工艺，推动高温高压气井测试、完井技术更加科学、经济、高效发展，促进优化外经贸发展环境。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664700">
            <w:pPr>
              <w:jc w:val="both"/>
            </w:pPr>
            <w:r>
              <w:rPr>
                <w:rFonts w:hint="eastAsia" w:ascii="宋体" w:hAnsi="宋体"/>
                <w:sz w:val="16"/>
                <w:lang w:eastAsia="zh-CN"/>
              </w:rPr>
              <w:t>本单位</w:t>
            </w:r>
            <w:r>
              <w:rPr>
                <w:rFonts w:ascii="宋体" w:hAnsi="宋体" w:eastAsia="宋体"/>
                <w:sz w:val="16"/>
              </w:rPr>
              <w:t>本年度严格执行《自治区商务厅、财政厅关于外经贸发展专项资金项目申报工作的通知》文件精神，认真落实商务部关于促进外贸稳定增长若干政策措施，已</w:t>
            </w:r>
            <w:r>
              <w:rPr>
                <w:rFonts w:hint="eastAsia" w:ascii="宋体" w:hAnsi="宋体"/>
                <w:sz w:val="16"/>
                <w:lang w:eastAsia="zh-CN"/>
              </w:rPr>
              <w:t>完成</w:t>
            </w:r>
            <w:r>
              <w:rPr>
                <w:rFonts w:ascii="宋体" w:hAnsi="宋体" w:eastAsia="宋体"/>
                <w:sz w:val="16"/>
              </w:rPr>
              <w:t>1家外贸企业补助的发放，支持外贸企业引进新工具、新工艺，推进了高温高压气井测试、完井技术更加科学、经济、高效发展，实现了外贸企业高质量发展。</w:t>
            </w:r>
          </w:p>
        </w:tc>
      </w:tr>
      <w:tr w14:paraId="12C8CA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5AB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87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21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AC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A9D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5B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D1D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C08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42F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B6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EC7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87C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E83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E626">
            <w:pPr>
              <w:jc w:val="center"/>
            </w:pPr>
            <w:r>
              <w:rPr>
                <w:rFonts w:ascii="宋体" w:hAnsi="宋体" w:eastAsia="宋体"/>
                <w:sz w:val="16"/>
              </w:rPr>
              <w:t>偏差原因分析及改进措施</w:t>
            </w:r>
          </w:p>
        </w:tc>
      </w:tr>
      <w:tr w14:paraId="4FD19B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E81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F1B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7AA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2423">
            <w:pPr>
              <w:jc w:val="center"/>
            </w:pPr>
            <w:r>
              <w:rPr>
                <w:rFonts w:ascii="宋体" w:hAnsi="宋体" w:eastAsia="宋体"/>
                <w:sz w:val="16"/>
              </w:rPr>
              <w:t>补助外贸企业数量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F20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8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45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C7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95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87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F77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8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25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BD65">
            <w:pPr>
              <w:jc w:val="center"/>
            </w:pPr>
          </w:p>
        </w:tc>
      </w:tr>
      <w:tr w14:paraId="30FF2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7E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46A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AE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80CE">
            <w:pPr>
              <w:jc w:val="center"/>
            </w:pPr>
            <w:r>
              <w:rPr>
                <w:rFonts w:ascii="宋体" w:hAnsi="宋体" w:eastAsia="宋体"/>
                <w:sz w:val="16"/>
              </w:rPr>
              <w:t>补助外贸企业次数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793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29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00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5B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B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55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044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CF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6D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1DC6">
            <w:pPr>
              <w:jc w:val="center"/>
            </w:pPr>
          </w:p>
        </w:tc>
      </w:tr>
      <w:tr w14:paraId="04BB5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7A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2E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CB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3E3E">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30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8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44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F54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C6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D8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F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50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3D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5D86">
            <w:pPr>
              <w:jc w:val="center"/>
            </w:pPr>
          </w:p>
        </w:tc>
      </w:tr>
      <w:tr w14:paraId="66184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5AA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25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49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8942">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91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E5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E2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5E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6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1D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11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9E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57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9FAF">
            <w:pPr>
              <w:jc w:val="center"/>
            </w:pPr>
          </w:p>
        </w:tc>
      </w:tr>
      <w:tr w14:paraId="64B73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41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AA2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79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D90F">
            <w:pPr>
              <w:jc w:val="center"/>
            </w:pPr>
            <w:r>
              <w:rPr>
                <w:rFonts w:ascii="宋体" w:hAnsi="宋体" w:eastAsia="宋体"/>
                <w:sz w:val="16"/>
              </w:rPr>
              <w:t>每次补助成本数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7D32">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41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7E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B0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05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AC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7EF0">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E2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6C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1018">
            <w:pPr>
              <w:jc w:val="center"/>
            </w:pPr>
          </w:p>
        </w:tc>
      </w:tr>
      <w:tr w14:paraId="0BD8F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10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7C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037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42FA">
            <w:pPr>
              <w:jc w:val="center"/>
            </w:pPr>
            <w:r>
              <w:rPr>
                <w:rFonts w:ascii="宋体" w:hAnsi="宋体" w:eastAsia="宋体"/>
                <w:sz w:val="16"/>
              </w:rPr>
              <w:t>改善外贸企业营商环境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35C1">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04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22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AB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A5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1C0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682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D2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15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8AEA">
            <w:pPr>
              <w:jc w:val="center"/>
            </w:pPr>
          </w:p>
        </w:tc>
      </w:tr>
      <w:tr w14:paraId="1BCE3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A3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2C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EF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EBD1">
            <w:pPr>
              <w:jc w:val="center"/>
            </w:pPr>
            <w:r>
              <w:rPr>
                <w:rFonts w:ascii="宋体" w:hAnsi="宋体" w:eastAsia="宋体"/>
                <w:sz w:val="16"/>
              </w:rPr>
              <w:t>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AF3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9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58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6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83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0A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A2A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55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A9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3637">
            <w:pPr>
              <w:jc w:val="center"/>
            </w:pPr>
          </w:p>
        </w:tc>
      </w:tr>
      <w:tr w14:paraId="7B813EA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ED88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292D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1DA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B49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2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67F4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A24D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E40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A3B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492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A6324"/>
        </w:tc>
      </w:tr>
    </w:tbl>
    <w:p w14:paraId="7AFF024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56B1FCCC">
        <w:tblPrEx>
          <w:tblCellMar>
            <w:top w:w="0" w:type="dxa"/>
            <w:left w:w="108" w:type="dxa"/>
            <w:bottom w:w="0" w:type="dxa"/>
            <w:right w:w="108" w:type="dxa"/>
          </w:tblCellMar>
        </w:tblPrEx>
        <w:tc>
          <w:tcPr>
            <w:tcW w:w="8848" w:type="dxa"/>
            <w:gridSpan w:val="14"/>
            <w:vAlign w:val="center"/>
          </w:tcPr>
          <w:p w14:paraId="0BD6E881">
            <w:pPr>
              <w:jc w:val="center"/>
            </w:pPr>
            <w:r>
              <w:rPr>
                <w:rFonts w:ascii="宋体" w:hAnsi="宋体" w:eastAsia="宋体"/>
                <w:sz w:val="24"/>
              </w:rPr>
              <w:t>项目支出绩效自评表</w:t>
            </w:r>
          </w:p>
        </w:tc>
      </w:tr>
      <w:tr w14:paraId="70BA49EA">
        <w:tblPrEx>
          <w:tblCellMar>
            <w:top w:w="0" w:type="dxa"/>
            <w:left w:w="108" w:type="dxa"/>
            <w:bottom w:w="0" w:type="dxa"/>
            <w:right w:w="108" w:type="dxa"/>
          </w:tblCellMar>
        </w:tblPrEx>
        <w:tc>
          <w:tcPr>
            <w:tcW w:w="8848" w:type="dxa"/>
            <w:gridSpan w:val="14"/>
            <w:vAlign w:val="center"/>
          </w:tcPr>
          <w:p w14:paraId="1DF48F68">
            <w:pPr>
              <w:jc w:val="center"/>
            </w:pPr>
            <w:r>
              <w:rPr>
                <w:rFonts w:ascii="宋体" w:hAnsi="宋体" w:eastAsia="宋体"/>
                <w:sz w:val="24"/>
              </w:rPr>
              <w:t>(2024年度)</w:t>
            </w:r>
          </w:p>
        </w:tc>
      </w:tr>
      <w:tr w14:paraId="5CCF36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DB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A2BCDF">
            <w:pPr>
              <w:jc w:val="center"/>
            </w:pPr>
            <w:r>
              <w:rPr>
                <w:rFonts w:ascii="宋体" w:hAnsi="宋体" w:eastAsia="宋体"/>
                <w:sz w:val="16"/>
              </w:rPr>
              <w:t>商工局：巴财建</w:t>
            </w:r>
            <w:r>
              <w:rPr>
                <w:rFonts w:hint="eastAsia" w:ascii="宋体" w:hAnsi="宋体"/>
                <w:sz w:val="16"/>
                <w:lang w:eastAsia="zh-CN"/>
              </w:rPr>
              <w:t>〔2023〕43号</w:t>
            </w:r>
            <w:r>
              <w:rPr>
                <w:rFonts w:ascii="宋体" w:hAnsi="宋体" w:eastAsia="宋体"/>
                <w:sz w:val="16"/>
              </w:rPr>
              <w:t>2023年纺织服装增值税专项资金</w:t>
            </w:r>
          </w:p>
        </w:tc>
      </w:tr>
      <w:tr w14:paraId="298CCF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A5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744BF5">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74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DC8A09">
            <w:pPr>
              <w:jc w:val="center"/>
            </w:pPr>
            <w:r>
              <w:rPr>
                <w:rFonts w:ascii="宋体" w:hAnsi="宋体" w:eastAsia="宋体"/>
                <w:sz w:val="16"/>
              </w:rPr>
              <w:t>轮台县商务和工业信息化局</w:t>
            </w:r>
          </w:p>
        </w:tc>
      </w:tr>
      <w:tr w14:paraId="443225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2AF3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AD9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16F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D2B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E78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C29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F51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D89E">
            <w:pPr>
              <w:jc w:val="center"/>
            </w:pPr>
            <w:r>
              <w:rPr>
                <w:rFonts w:ascii="宋体" w:hAnsi="宋体" w:eastAsia="宋体"/>
                <w:sz w:val="16"/>
              </w:rPr>
              <w:t>得分</w:t>
            </w:r>
          </w:p>
        </w:tc>
      </w:tr>
      <w:tr w14:paraId="413F50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22C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824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7CC69">
            <w:pPr>
              <w:jc w:val="center"/>
            </w:pPr>
            <w:r>
              <w:rPr>
                <w:rFonts w:ascii="宋体" w:hAnsi="宋体" w:eastAsia="宋体"/>
                <w:sz w:val="16"/>
              </w:rPr>
              <w:t>19.37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AA8ED">
            <w:pPr>
              <w:jc w:val="center"/>
            </w:pPr>
            <w:r>
              <w:rPr>
                <w:rFonts w:ascii="宋体" w:hAnsi="宋体" w:eastAsia="宋体"/>
                <w:sz w:val="16"/>
              </w:rPr>
              <w:t>19.37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CE164">
            <w:pPr>
              <w:jc w:val="center"/>
            </w:pPr>
            <w:r>
              <w:rPr>
                <w:rFonts w:ascii="宋体" w:hAnsi="宋体" w:eastAsia="宋体"/>
                <w:sz w:val="16"/>
              </w:rPr>
              <w:t>19.37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A6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416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6275">
            <w:pPr>
              <w:jc w:val="center"/>
            </w:pPr>
            <w:r>
              <w:rPr>
                <w:rFonts w:ascii="宋体" w:hAnsi="宋体" w:eastAsia="宋体"/>
                <w:sz w:val="16"/>
              </w:rPr>
              <w:t>10.00</w:t>
            </w:r>
          </w:p>
        </w:tc>
      </w:tr>
      <w:tr w14:paraId="74E77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C7E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65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704E4">
            <w:pPr>
              <w:jc w:val="center"/>
            </w:pPr>
            <w:r>
              <w:rPr>
                <w:rFonts w:ascii="宋体" w:hAnsi="宋体" w:eastAsia="宋体"/>
                <w:sz w:val="16"/>
              </w:rPr>
              <w:t>19.37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B3180">
            <w:pPr>
              <w:jc w:val="center"/>
            </w:pPr>
            <w:r>
              <w:rPr>
                <w:rFonts w:ascii="宋体" w:hAnsi="宋体" w:eastAsia="宋体"/>
                <w:sz w:val="16"/>
              </w:rPr>
              <w:t>19.37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277F">
            <w:pPr>
              <w:jc w:val="center"/>
            </w:pPr>
            <w:r>
              <w:rPr>
                <w:rFonts w:ascii="宋体" w:hAnsi="宋体" w:eastAsia="宋体"/>
                <w:sz w:val="16"/>
              </w:rPr>
              <w:t>19.37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A80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CD7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17C8">
            <w:pPr>
              <w:jc w:val="center"/>
            </w:pPr>
            <w:r>
              <w:rPr>
                <w:rFonts w:ascii="宋体" w:hAnsi="宋体" w:eastAsia="宋体"/>
                <w:sz w:val="16"/>
              </w:rPr>
              <w:t>-</w:t>
            </w:r>
          </w:p>
        </w:tc>
      </w:tr>
      <w:tr w14:paraId="6DA23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B45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636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C11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4CF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F45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D4F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5C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D058">
            <w:pPr>
              <w:jc w:val="center"/>
            </w:pPr>
            <w:r>
              <w:rPr>
                <w:rFonts w:ascii="宋体" w:hAnsi="宋体" w:eastAsia="宋体"/>
                <w:sz w:val="16"/>
              </w:rPr>
              <w:t>-</w:t>
            </w:r>
          </w:p>
        </w:tc>
      </w:tr>
      <w:tr w14:paraId="410666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4AA7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17FD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DD89E4">
            <w:pPr>
              <w:jc w:val="center"/>
            </w:pPr>
            <w:r>
              <w:rPr>
                <w:rFonts w:ascii="宋体" w:hAnsi="宋体" w:eastAsia="宋体"/>
                <w:sz w:val="16"/>
              </w:rPr>
              <w:t>总体目标完成情况</w:t>
            </w:r>
          </w:p>
        </w:tc>
      </w:tr>
      <w:tr w14:paraId="6D336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F4B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4BAE0F">
            <w:pPr>
              <w:jc w:val="both"/>
            </w:pPr>
            <w:r>
              <w:rPr>
                <w:rFonts w:ascii="宋体" w:hAnsi="宋体" w:eastAsia="宋体"/>
                <w:sz w:val="16"/>
              </w:rPr>
              <w:t>根据自治州“十四五”规划及纺织服装产业发展需要，结合本单位服装产业方面管理职能、服装产业方</w:t>
            </w:r>
            <w:r>
              <w:rPr>
                <w:rFonts w:hint="eastAsia" w:ascii="宋体" w:hAnsi="宋体"/>
                <w:sz w:val="16"/>
                <w:lang w:eastAsia="zh-CN"/>
              </w:rPr>
              <w:t>面的</w:t>
            </w:r>
            <w:r>
              <w:rPr>
                <w:rFonts w:ascii="宋体" w:hAnsi="宋体" w:eastAsia="宋体"/>
                <w:sz w:val="16"/>
              </w:rPr>
              <w:t>工作职责：目标1：为1家纺织服装企业发放补贴，主要用于轮台县纺织服装企业在运费、电费及其他方面的费用补贴，促进纺织服装产业健康发展。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94C288">
            <w:pPr>
              <w:jc w:val="both"/>
            </w:pPr>
            <w:r>
              <w:rPr>
                <w:rFonts w:hint="eastAsia" w:ascii="宋体" w:hAnsi="宋体"/>
                <w:sz w:val="16"/>
                <w:lang w:eastAsia="zh-CN"/>
              </w:rPr>
              <w:t>本单位</w:t>
            </w:r>
            <w:r>
              <w:rPr>
                <w:rFonts w:ascii="宋体" w:hAnsi="宋体" w:eastAsia="宋体"/>
                <w:sz w:val="16"/>
              </w:rPr>
              <w:t>本年度严格执行《新疆维吾尔自治区人民政府办公厅关于调整优化自治区棉花及纺织服装产业政策措施的通知》（新政办发〔2024〕16号）文件精神，认真落实自治区纺织服装产业补贴资金管理办法相关政策，已完成为1家纺织服装企业发放补贴，及时拨付了轮台县纺织服装企业在运费、电费及其他方面的费用补贴，推进了纺织服装等劳动密集型产业发展促进就业政策的贯彻与执行，实现了纺织服装产业高质量发展。</w:t>
            </w:r>
          </w:p>
        </w:tc>
      </w:tr>
      <w:tr w14:paraId="4CC4B5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7BB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F0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61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E6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03B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B4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924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8A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D0D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AD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C22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CE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111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BB6A">
            <w:pPr>
              <w:jc w:val="center"/>
            </w:pPr>
            <w:r>
              <w:rPr>
                <w:rFonts w:ascii="宋体" w:hAnsi="宋体" w:eastAsia="宋体"/>
                <w:sz w:val="16"/>
              </w:rPr>
              <w:t>偏差原因分析及改进措施</w:t>
            </w:r>
          </w:p>
        </w:tc>
      </w:tr>
      <w:tr w14:paraId="23A83F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84E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35A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115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4BFE">
            <w:pPr>
              <w:jc w:val="center"/>
            </w:pPr>
            <w:r>
              <w:rPr>
                <w:rFonts w:ascii="宋体" w:hAnsi="宋体" w:eastAsia="宋体"/>
                <w:sz w:val="16"/>
              </w:rPr>
              <w:t>补贴纺织服装企业数量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4F6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3C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93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59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B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0F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BEC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B3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88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BDBF">
            <w:pPr>
              <w:jc w:val="center"/>
            </w:pPr>
          </w:p>
        </w:tc>
      </w:tr>
      <w:tr w14:paraId="3B81D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16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09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C16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2D8D">
            <w:pPr>
              <w:jc w:val="center"/>
            </w:pPr>
            <w:r>
              <w:rPr>
                <w:rFonts w:ascii="宋体" w:hAnsi="宋体" w:eastAsia="宋体"/>
                <w:sz w:val="16"/>
              </w:rPr>
              <w:t>补贴纺织服装企业次数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009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6F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21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1F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1B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2C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B63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5C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FA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F3A3">
            <w:pPr>
              <w:jc w:val="center"/>
            </w:pPr>
          </w:p>
        </w:tc>
      </w:tr>
      <w:tr w14:paraId="4A598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8F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D5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23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C27F">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E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A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38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81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5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EC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BF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CD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94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F2B0">
            <w:pPr>
              <w:jc w:val="center"/>
            </w:pPr>
          </w:p>
        </w:tc>
      </w:tr>
      <w:tr w14:paraId="01904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70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AB1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FC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3155">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4D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80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0B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A9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D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7A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1B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17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56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732A">
            <w:pPr>
              <w:jc w:val="center"/>
            </w:pPr>
          </w:p>
        </w:tc>
      </w:tr>
      <w:tr w14:paraId="7C242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DC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FC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3E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C8EC">
            <w:pPr>
              <w:jc w:val="center"/>
            </w:pPr>
            <w:r>
              <w:rPr>
                <w:rFonts w:ascii="宋体" w:hAnsi="宋体" w:eastAsia="宋体"/>
                <w:sz w:val="16"/>
              </w:rPr>
              <w:t>补贴纺织服装企业平均标准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ADEF">
            <w:pPr>
              <w:jc w:val="center"/>
            </w:pPr>
            <w:r>
              <w:rPr>
                <w:rFonts w:ascii="宋体" w:hAnsi="宋体" w:eastAsia="宋体"/>
                <w:sz w:val="16"/>
              </w:rPr>
              <w:t>&lt;=19.37万元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46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4D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63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CB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6C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77E4">
            <w:pPr>
              <w:jc w:val="center"/>
            </w:pPr>
            <w:r>
              <w:rPr>
                <w:rFonts w:ascii="宋体" w:hAnsi="宋体" w:eastAsia="宋体"/>
                <w:sz w:val="16"/>
              </w:rPr>
              <w:t>=19.37万元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B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13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540B">
            <w:pPr>
              <w:jc w:val="center"/>
            </w:pPr>
          </w:p>
        </w:tc>
      </w:tr>
      <w:tr w14:paraId="2D9A3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097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61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DA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3A36">
            <w:pPr>
              <w:jc w:val="center"/>
            </w:pPr>
            <w:r>
              <w:rPr>
                <w:rFonts w:ascii="宋体" w:hAnsi="宋体" w:eastAsia="宋体"/>
                <w:sz w:val="16"/>
              </w:rPr>
              <w:t>促进纺织服装产业健康发展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33F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34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08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D3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B5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5C5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C05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F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C8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4F56">
            <w:pPr>
              <w:jc w:val="center"/>
            </w:pPr>
          </w:p>
        </w:tc>
      </w:tr>
      <w:tr w14:paraId="412A0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2C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86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89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6CBE">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0F3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25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E7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69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E5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AA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BD9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C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73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3848">
            <w:pPr>
              <w:jc w:val="center"/>
            </w:pPr>
          </w:p>
        </w:tc>
      </w:tr>
      <w:tr w14:paraId="6578A1C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36A5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3D5F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589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1D2D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67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88D8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0A94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F30C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CB8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8A5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3B3E44"/>
        </w:tc>
      </w:tr>
    </w:tbl>
    <w:p w14:paraId="02F5282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7965399">
        <w:tblPrEx>
          <w:tblCellMar>
            <w:top w:w="0" w:type="dxa"/>
            <w:left w:w="108" w:type="dxa"/>
            <w:bottom w:w="0" w:type="dxa"/>
            <w:right w:w="108" w:type="dxa"/>
          </w:tblCellMar>
        </w:tblPrEx>
        <w:tc>
          <w:tcPr>
            <w:tcW w:w="8848" w:type="dxa"/>
            <w:gridSpan w:val="14"/>
            <w:vAlign w:val="center"/>
          </w:tcPr>
          <w:p w14:paraId="7F4CFD73">
            <w:pPr>
              <w:jc w:val="center"/>
            </w:pPr>
            <w:r>
              <w:rPr>
                <w:rFonts w:ascii="宋体" w:hAnsi="宋体" w:eastAsia="宋体"/>
                <w:sz w:val="24"/>
              </w:rPr>
              <w:t>项目支出绩效自评表</w:t>
            </w:r>
          </w:p>
        </w:tc>
      </w:tr>
      <w:tr w14:paraId="0606F02F">
        <w:tblPrEx>
          <w:tblCellMar>
            <w:top w:w="0" w:type="dxa"/>
            <w:left w:w="108" w:type="dxa"/>
            <w:bottom w:w="0" w:type="dxa"/>
            <w:right w:w="108" w:type="dxa"/>
          </w:tblCellMar>
        </w:tblPrEx>
        <w:tc>
          <w:tcPr>
            <w:tcW w:w="8848" w:type="dxa"/>
            <w:gridSpan w:val="14"/>
            <w:vAlign w:val="center"/>
          </w:tcPr>
          <w:p w14:paraId="7B4CC73E">
            <w:pPr>
              <w:jc w:val="center"/>
            </w:pPr>
            <w:r>
              <w:rPr>
                <w:rFonts w:ascii="宋体" w:hAnsi="宋体" w:eastAsia="宋体"/>
                <w:sz w:val="24"/>
              </w:rPr>
              <w:t>(2024年度)</w:t>
            </w:r>
          </w:p>
        </w:tc>
      </w:tr>
      <w:tr w14:paraId="41541D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BA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A1C856">
            <w:pPr>
              <w:jc w:val="center"/>
            </w:pPr>
            <w:r>
              <w:rPr>
                <w:rFonts w:ascii="宋体" w:hAnsi="宋体" w:eastAsia="宋体"/>
                <w:sz w:val="16"/>
              </w:rPr>
              <w:t>商工局：巴财建</w:t>
            </w:r>
            <w:r>
              <w:rPr>
                <w:rFonts w:hint="eastAsia" w:ascii="宋体" w:hAnsi="宋体"/>
                <w:sz w:val="16"/>
                <w:lang w:eastAsia="zh-CN"/>
              </w:rPr>
              <w:t>〔2024〕85号</w:t>
            </w:r>
            <w:r>
              <w:rPr>
                <w:rFonts w:ascii="宋体" w:hAnsi="宋体" w:eastAsia="宋体"/>
                <w:sz w:val="16"/>
              </w:rPr>
              <w:t>关于下达2024年自治区工业节能减排专项资金预算[第二批]的通知（新疆鼎博环保科技有限公司年产60万立方粉煤灰加气混凝土砌块及20万吨轻质石膏综合</w:t>
            </w:r>
            <w:r>
              <w:rPr>
                <w:rFonts w:hint="eastAsia" w:ascii="宋体" w:hAnsi="宋体"/>
                <w:sz w:val="16"/>
                <w:lang w:eastAsia="zh-CN"/>
              </w:rPr>
              <w:t>利用</w:t>
            </w:r>
          </w:p>
        </w:tc>
      </w:tr>
      <w:tr w14:paraId="0CB3BA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B5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386403">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61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CDB4AB">
            <w:pPr>
              <w:jc w:val="center"/>
            </w:pPr>
            <w:r>
              <w:rPr>
                <w:rFonts w:ascii="宋体" w:hAnsi="宋体" w:eastAsia="宋体"/>
                <w:sz w:val="16"/>
              </w:rPr>
              <w:t>轮台县商务和工业信息化局</w:t>
            </w:r>
          </w:p>
        </w:tc>
      </w:tr>
      <w:tr w14:paraId="7CB8AB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C807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517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759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538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3EB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9BB0">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A99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58EA">
            <w:pPr>
              <w:jc w:val="center"/>
            </w:pPr>
            <w:r>
              <w:rPr>
                <w:rFonts w:ascii="宋体" w:hAnsi="宋体" w:eastAsia="宋体"/>
                <w:sz w:val="16"/>
              </w:rPr>
              <w:t>得分</w:t>
            </w:r>
          </w:p>
        </w:tc>
      </w:tr>
      <w:tr w14:paraId="7EA217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2BF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78A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8FB71">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1D604">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7916B">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872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DA5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455C">
            <w:pPr>
              <w:jc w:val="center"/>
            </w:pPr>
            <w:r>
              <w:rPr>
                <w:rFonts w:ascii="宋体" w:hAnsi="宋体" w:eastAsia="宋体"/>
                <w:sz w:val="16"/>
              </w:rPr>
              <w:t>10.00</w:t>
            </w:r>
          </w:p>
        </w:tc>
      </w:tr>
      <w:tr w14:paraId="6E08B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03F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AB3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BE72C">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B005">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A1CF9">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85A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804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FD37">
            <w:pPr>
              <w:jc w:val="center"/>
            </w:pPr>
            <w:r>
              <w:rPr>
                <w:rFonts w:ascii="宋体" w:hAnsi="宋体" w:eastAsia="宋体"/>
                <w:sz w:val="16"/>
              </w:rPr>
              <w:t>-</w:t>
            </w:r>
          </w:p>
        </w:tc>
      </w:tr>
      <w:tr w14:paraId="41339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B06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6295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74D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C9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E07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E73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684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2D89">
            <w:pPr>
              <w:jc w:val="center"/>
            </w:pPr>
            <w:r>
              <w:rPr>
                <w:rFonts w:ascii="宋体" w:hAnsi="宋体" w:eastAsia="宋体"/>
                <w:sz w:val="16"/>
              </w:rPr>
              <w:t>-</w:t>
            </w:r>
          </w:p>
        </w:tc>
      </w:tr>
      <w:tr w14:paraId="6A1126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041B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52287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6F8F43">
            <w:pPr>
              <w:jc w:val="center"/>
            </w:pPr>
            <w:r>
              <w:rPr>
                <w:rFonts w:ascii="宋体" w:hAnsi="宋体" w:eastAsia="宋体"/>
                <w:sz w:val="16"/>
              </w:rPr>
              <w:t>总体目标完成情况</w:t>
            </w:r>
          </w:p>
        </w:tc>
      </w:tr>
      <w:tr w14:paraId="4963A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854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FA1CFD">
            <w:pPr>
              <w:jc w:val="both"/>
            </w:pPr>
            <w:r>
              <w:rPr>
                <w:rFonts w:ascii="宋体" w:hAnsi="宋体" w:eastAsia="宋体"/>
                <w:sz w:val="16"/>
              </w:rPr>
              <w:t>根据《产业结构调整指导目录（2019本）》，实施循环发展引领计划，推进生产和生活系统循环链接，加快废弃资源化利用：</w:t>
            </w:r>
            <w:r>
              <w:rPr>
                <w:rFonts w:ascii="宋体" w:hAnsi="宋体" w:eastAsia="宋体"/>
                <w:sz w:val="16"/>
              </w:rPr>
              <w:br w:type="textWrapping"/>
            </w:r>
            <w:r>
              <w:rPr>
                <w:rFonts w:ascii="宋体" w:hAnsi="宋体" w:eastAsia="宋体"/>
                <w:sz w:val="16"/>
              </w:rPr>
              <w:t>目标1：为1家节能减排企业发放补助，支持企业建设生产车间及辅助车间等成套设施，购置蒸压斧等先进节能设备，建成年产60万立方粉煤灰加气混凝土砌块及20万吨轻质石膏综合利用生产线，实现固体废物的减量化、资源化、无害化处理和综合利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FB142F">
            <w:pPr>
              <w:jc w:val="both"/>
            </w:pPr>
            <w:r>
              <w:rPr>
                <w:rFonts w:hint="eastAsia" w:ascii="宋体" w:hAnsi="宋体"/>
                <w:sz w:val="16"/>
                <w:lang w:eastAsia="zh-CN"/>
              </w:rPr>
              <w:t>本单位</w:t>
            </w:r>
            <w:r>
              <w:rPr>
                <w:rFonts w:ascii="宋体" w:hAnsi="宋体" w:eastAsia="宋体"/>
                <w:sz w:val="16"/>
              </w:rPr>
              <w:t>本年度严格执行《推进绿色建材发展与应用的实施方案》（中建材联新发〔2016〕113号）文件精神，认真落实</w:t>
            </w:r>
            <w:r>
              <w:rPr>
                <w:rFonts w:hint="eastAsia" w:ascii="宋体" w:hAnsi="宋体"/>
                <w:sz w:val="16"/>
                <w:lang w:eastAsia="zh-CN"/>
              </w:rPr>
              <w:t>国家发展改革委</w:t>
            </w:r>
            <w:r>
              <w:rPr>
                <w:rFonts w:ascii="宋体" w:hAnsi="宋体" w:eastAsia="宋体"/>
                <w:sz w:val="16"/>
              </w:rPr>
              <w:t>《产业结构调整指导目录（2019年本）》相关政策，已完成为1家节能减排企业发放补助，支持企业建设生产车间及辅助车间等成套设施，购置蒸</w:t>
            </w:r>
            <w:r>
              <w:rPr>
                <w:rFonts w:hint="eastAsia" w:ascii="宋体" w:hAnsi="宋体"/>
                <w:sz w:val="16"/>
                <w:lang w:eastAsia="zh-CN"/>
              </w:rPr>
              <w:t>压机</w:t>
            </w:r>
            <w:r>
              <w:rPr>
                <w:rFonts w:ascii="宋体" w:hAnsi="宋体" w:eastAsia="宋体"/>
                <w:sz w:val="16"/>
              </w:rPr>
              <w:t>等先进节能设备，建成年产60万立方粉煤灰加气混凝土砌块及20万吨轻质石膏综合利用生产线，推进了绿色建材产业发展，实现了固体废物的减量化、资源化、无害化处理和综合利用。</w:t>
            </w:r>
          </w:p>
        </w:tc>
      </w:tr>
      <w:tr w14:paraId="04756A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C615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A8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5F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0A0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C94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A3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C13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16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C48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7C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744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C05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12F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29E8">
            <w:pPr>
              <w:jc w:val="center"/>
            </w:pPr>
            <w:r>
              <w:rPr>
                <w:rFonts w:ascii="宋体" w:hAnsi="宋体" w:eastAsia="宋体"/>
                <w:sz w:val="16"/>
              </w:rPr>
              <w:t>偏差原因分析及改进措施</w:t>
            </w:r>
          </w:p>
        </w:tc>
      </w:tr>
      <w:tr w14:paraId="5FE392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8E3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7705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7A8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6D96">
            <w:pPr>
              <w:jc w:val="center"/>
            </w:pPr>
            <w:r>
              <w:rPr>
                <w:rFonts w:ascii="宋体" w:hAnsi="宋体" w:eastAsia="宋体"/>
                <w:sz w:val="16"/>
              </w:rPr>
              <w:t>补助节能减排企业数量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DB48">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21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0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45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ED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B4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013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91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F0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6820">
            <w:pPr>
              <w:jc w:val="center"/>
            </w:pPr>
          </w:p>
        </w:tc>
      </w:tr>
      <w:tr w14:paraId="75357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BC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3C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70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AD8A">
            <w:pPr>
              <w:jc w:val="center"/>
            </w:pPr>
            <w:r>
              <w:rPr>
                <w:rFonts w:ascii="宋体" w:hAnsi="宋体" w:eastAsia="宋体"/>
                <w:sz w:val="16"/>
              </w:rPr>
              <w:t>补助节能减排企业次数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12A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63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81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E1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8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D2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DA5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E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FC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060C">
            <w:pPr>
              <w:jc w:val="center"/>
            </w:pPr>
          </w:p>
        </w:tc>
      </w:tr>
      <w:tr w14:paraId="3E5BD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D0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A4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D8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EBAD">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5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A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A9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4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5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2D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1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6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10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85D9">
            <w:pPr>
              <w:jc w:val="center"/>
            </w:pPr>
          </w:p>
        </w:tc>
      </w:tr>
      <w:tr w14:paraId="6F875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9F3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74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D5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C3D1">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6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5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16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30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C5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F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0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AC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1A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8215">
            <w:pPr>
              <w:jc w:val="center"/>
            </w:pPr>
          </w:p>
        </w:tc>
      </w:tr>
      <w:tr w14:paraId="01C89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D3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C98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2B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E92B">
            <w:pPr>
              <w:jc w:val="center"/>
            </w:pPr>
            <w:r>
              <w:rPr>
                <w:rFonts w:ascii="宋体" w:hAnsi="宋体" w:eastAsia="宋体"/>
                <w:sz w:val="16"/>
              </w:rPr>
              <w:t>每次补助成本数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54C9">
            <w:pPr>
              <w:jc w:val="center"/>
            </w:pPr>
            <w:r>
              <w:rPr>
                <w:rFonts w:ascii="宋体" w:hAnsi="宋体" w:eastAsia="宋体"/>
                <w:sz w:val="16"/>
              </w:rPr>
              <w:t>&lt;=96万元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2E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F9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67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7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C8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8B46">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1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BC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1CE3">
            <w:pPr>
              <w:jc w:val="center"/>
            </w:pPr>
          </w:p>
        </w:tc>
      </w:tr>
      <w:tr w14:paraId="5CDA9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F72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DE1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C3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8DA5">
            <w:pPr>
              <w:jc w:val="center"/>
            </w:pPr>
            <w:r>
              <w:rPr>
                <w:rFonts w:ascii="宋体" w:hAnsi="宋体" w:eastAsia="宋体"/>
                <w:sz w:val="16"/>
              </w:rPr>
              <w:t>推动资源循环利用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C914">
            <w:pPr>
              <w:jc w:val="center"/>
            </w:pPr>
            <w:r>
              <w:rPr>
                <w:rFonts w:ascii="宋体" w:hAnsi="宋体" w:eastAsia="宋体"/>
                <w:sz w:val="16"/>
              </w:rPr>
              <w:t>显著推动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4D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E0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A4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45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F0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C73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0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3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68EE">
            <w:pPr>
              <w:jc w:val="center"/>
            </w:pPr>
          </w:p>
        </w:tc>
      </w:tr>
      <w:tr w14:paraId="3B548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83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DB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6A6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DDED">
            <w:pPr>
              <w:jc w:val="center"/>
            </w:pPr>
            <w:r>
              <w:rPr>
                <w:rFonts w:ascii="宋体" w:hAnsi="宋体" w:eastAsia="宋体"/>
                <w:sz w:val="16"/>
              </w:rPr>
              <w:t>促进绿色低碳发展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257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9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79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B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F4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85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BC5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3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57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0ED6">
            <w:pPr>
              <w:jc w:val="center"/>
            </w:pPr>
          </w:p>
        </w:tc>
      </w:tr>
      <w:tr w14:paraId="5912B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52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31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42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3015">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FF6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C7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8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74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4D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AD4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11F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B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E7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73CF">
            <w:pPr>
              <w:jc w:val="center"/>
            </w:pPr>
          </w:p>
        </w:tc>
      </w:tr>
      <w:tr w14:paraId="4A48B0E1">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FC18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50AE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2635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56B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7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A812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C939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297C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A1E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164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BCF32"/>
        </w:tc>
      </w:tr>
    </w:tbl>
    <w:p w14:paraId="638E7C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C170DE0">
        <w:tblPrEx>
          <w:tblCellMar>
            <w:top w:w="0" w:type="dxa"/>
            <w:left w:w="108" w:type="dxa"/>
            <w:bottom w:w="0" w:type="dxa"/>
            <w:right w:w="108" w:type="dxa"/>
          </w:tblCellMar>
        </w:tblPrEx>
        <w:tc>
          <w:tcPr>
            <w:tcW w:w="8848" w:type="dxa"/>
            <w:gridSpan w:val="14"/>
            <w:vAlign w:val="center"/>
          </w:tcPr>
          <w:p w14:paraId="302FC0F5">
            <w:pPr>
              <w:jc w:val="center"/>
            </w:pPr>
            <w:r>
              <w:rPr>
                <w:rFonts w:ascii="宋体" w:hAnsi="宋体" w:eastAsia="宋体"/>
                <w:sz w:val="24"/>
              </w:rPr>
              <w:t>项目支出绩效自评表</w:t>
            </w:r>
          </w:p>
        </w:tc>
      </w:tr>
      <w:tr w14:paraId="536A9C59">
        <w:tblPrEx>
          <w:tblCellMar>
            <w:top w:w="0" w:type="dxa"/>
            <w:left w:w="108" w:type="dxa"/>
            <w:bottom w:w="0" w:type="dxa"/>
            <w:right w:w="108" w:type="dxa"/>
          </w:tblCellMar>
        </w:tblPrEx>
        <w:tc>
          <w:tcPr>
            <w:tcW w:w="8848" w:type="dxa"/>
            <w:gridSpan w:val="14"/>
            <w:vAlign w:val="center"/>
          </w:tcPr>
          <w:p w14:paraId="6590F4E4">
            <w:pPr>
              <w:jc w:val="center"/>
            </w:pPr>
            <w:r>
              <w:rPr>
                <w:rFonts w:ascii="宋体" w:hAnsi="宋体" w:eastAsia="宋体"/>
                <w:sz w:val="24"/>
              </w:rPr>
              <w:t>(2024年度)</w:t>
            </w:r>
          </w:p>
        </w:tc>
      </w:tr>
      <w:tr w14:paraId="3B6C7F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20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43E5F9">
            <w:pPr>
              <w:jc w:val="center"/>
            </w:pPr>
            <w:r>
              <w:rPr>
                <w:rFonts w:ascii="宋体" w:hAnsi="宋体" w:eastAsia="宋体"/>
                <w:sz w:val="16"/>
              </w:rPr>
              <w:t>商工局：招商引资宣传片经费</w:t>
            </w:r>
          </w:p>
        </w:tc>
      </w:tr>
      <w:tr w14:paraId="440181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13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DDCEA">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A7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5FB1C3">
            <w:pPr>
              <w:jc w:val="center"/>
            </w:pPr>
            <w:r>
              <w:rPr>
                <w:rFonts w:ascii="宋体" w:hAnsi="宋体" w:eastAsia="宋体"/>
                <w:sz w:val="16"/>
              </w:rPr>
              <w:t>轮台县商务和工业信息化局</w:t>
            </w:r>
          </w:p>
        </w:tc>
      </w:tr>
      <w:tr w14:paraId="57E266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D919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348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773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6CB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8D7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2B05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75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11A7">
            <w:pPr>
              <w:jc w:val="center"/>
            </w:pPr>
            <w:r>
              <w:rPr>
                <w:rFonts w:ascii="宋体" w:hAnsi="宋体" w:eastAsia="宋体"/>
                <w:sz w:val="16"/>
              </w:rPr>
              <w:t>得分</w:t>
            </w:r>
          </w:p>
        </w:tc>
      </w:tr>
      <w:tr w14:paraId="7E5A1E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0A3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E2B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E97F1">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4B964">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9F63F">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1DC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24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23E2">
            <w:pPr>
              <w:jc w:val="center"/>
            </w:pPr>
            <w:r>
              <w:rPr>
                <w:rFonts w:ascii="宋体" w:hAnsi="宋体" w:eastAsia="宋体"/>
                <w:sz w:val="16"/>
              </w:rPr>
              <w:t>10.00</w:t>
            </w:r>
          </w:p>
        </w:tc>
      </w:tr>
      <w:tr w14:paraId="0290C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7C4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5A9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661F4">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A809">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6F972">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364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6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A4EF">
            <w:pPr>
              <w:jc w:val="center"/>
            </w:pPr>
            <w:r>
              <w:rPr>
                <w:rFonts w:ascii="宋体" w:hAnsi="宋体" w:eastAsia="宋体"/>
                <w:sz w:val="16"/>
              </w:rPr>
              <w:t>-</w:t>
            </w:r>
          </w:p>
        </w:tc>
      </w:tr>
      <w:tr w14:paraId="73007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7C9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6A06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417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9CC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452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83B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D8A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41FD">
            <w:pPr>
              <w:jc w:val="center"/>
            </w:pPr>
            <w:r>
              <w:rPr>
                <w:rFonts w:ascii="宋体" w:hAnsi="宋体" w:eastAsia="宋体"/>
                <w:sz w:val="16"/>
              </w:rPr>
              <w:t>-</w:t>
            </w:r>
          </w:p>
        </w:tc>
      </w:tr>
      <w:tr w14:paraId="595A22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BE8C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BE42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805946">
            <w:pPr>
              <w:jc w:val="center"/>
            </w:pPr>
            <w:r>
              <w:rPr>
                <w:rFonts w:ascii="宋体" w:hAnsi="宋体" w:eastAsia="宋体"/>
                <w:sz w:val="16"/>
              </w:rPr>
              <w:t>总体目标完成情况</w:t>
            </w:r>
          </w:p>
        </w:tc>
      </w:tr>
      <w:tr w14:paraId="0B9AB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FDA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B6B61">
            <w:pPr>
              <w:jc w:val="both"/>
            </w:pPr>
            <w:r>
              <w:rPr>
                <w:rFonts w:ascii="宋体" w:hAnsi="宋体" w:eastAsia="宋体"/>
                <w:sz w:val="16"/>
              </w:rPr>
              <w:t>为贯彻落实</w:t>
            </w:r>
            <w:r>
              <w:rPr>
                <w:rFonts w:hint="eastAsia" w:ascii="宋体" w:hAnsi="宋体"/>
                <w:sz w:val="16"/>
                <w:lang w:eastAsia="zh-CN"/>
              </w:rPr>
              <w:t>新时代党的</w:t>
            </w:r>
            <w:r>
              <w:rPr>
                <w:rFonts w:ascii="宋体" w:hAnsi="宋体" w:eastAsia="宋体"/>
                <w:sz w:val="16"/>
              </w:rPr>
              <w:t>治疆方略，加大招</w:t>
            </w:r>
            <w:r>
              <w:rPr>
                <w:rFonts w:hint="eastAsia" w:ascii="宋体" w:hAnsi="宋体"/>
                <w:sz w:val="16"/>
                <w:lang w:eastAsia="zh-CN"/>
              </w:rPr>
              <w:t>商引资</w:t>
            </w:r>
            <w:r>
              <w:rPr>
                <w:rFonts w:ascii="宋体" w:hAnsi="宋体" w:eastAsia="宋体"/>
                <w:sz w:val="16"/>
              </w:rPr>
              <w:t>工作力度，</w:t>
            </w:r>
            <w:r>
              <w:rPr>
                <w:rFonts w:hint="eastAsia" w:ascii="宋体" w:hAnsi="宋体"/>
                <w:sz w:val="16"/>
                <w:lang w:eastAsia="zh-CN"/>
              </w:rPr>
              <w:t>更好地</w:t>
            </w:r>
            <w:r>
              <w:rPr>
                <w:rFonts w:ascii="宋体" w:hAnsi="宋体" w:eastAsia="宋体"/>
                <w:sz w:val="16"/>
              </w:rPr>
              <w:t>促进县域经济平稳发展：</w:t>
            </w:r>
            <w:r>
              <w:rPr>
                <w:rFonts w:ascii="宋体" w:hAnsi="宋体" w:eastAsia="宋体"/>
                <w:sz w:val="16"/>
              </w:rPr>
              <w:br w:type="textWrapping"/>
            </w:r>
            <w:r>
              <w:rPr>
                <w:rFonts w:ascii="宋体" w:hAnsi="宋体" w:eastAsia="宋体"/>
                <w:sz w:val="16"/>
              </w:rPr>
              <w:t>目标1：为轮台县拍摄制作一部招</w:t>
            </w:r>
            <w:r>
              <w:rPr>
                <w:rFonts w:hint="eastAsia" w:ascii="宋体" w:hAnsi="宋体"/>
                <w:sz w:val="16"/>
                <w:lang w:eastAsia="zh-CN"/>
              </w:rPr>
              <w:t>商引资</w:t>
            </w:r>
            <w:r>
              <w:rPr>
                <w:rFonts w:ascii="宋体" w:hAnsi="宋体" w:eastAsia="宋体"/>
                <w:sz w:val="16"/>
              </w:rPr>
              <w:t>宣传片，时长为</w:t>
            </w:r>
            <w:r>
              <w:rPr>
                <w:rFonts w:hint="eastAsia" w:ascii="宋体" w:hAnsi="宋体"/>
                <w:sz w:val="16"/>
                <w:lang w:eastAsia="zh-CN"/>
              </w:rPr>
              <w:t>6～7分钟</w:t>
            </w:r>
            <w:r>
              <w:rPr>
                <w:rFonts w:ascii="宋体" w:hAnsi="宋体" w:eastAsia="宋体"/>
                <w:sz w:val="16"/>
              </w:rPr>
              <w:t>，解说版为中文配音加字幕，宣传轮台地域、产业优势，提升轮台知名度，促进县域经济平稳发展。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83268">
            <w:pPr>
              <w:jc w:val="both"/>
            </w:pPr>
            <w:r>
              <w:rPr>
                <w:rFonts w:hint="eastAsia" w:ascii="宋体" w:hAnsi="宋体"/>
                <w:sz w:val="16"/>
                <w:lang w:eastAsia="zh-CN"/>
              </w:rPr>
              <w:t>本单位</w:t>
            </w:r>
            <w:r>
              <w:rPr>
                <w:rFonts w:ascii="宋体" w:hAnsi="宋体" w:eastAsia="宋体"/>
                <w:sz w:val="16"/>
              </w:rPr>
              <w:t>本年度严格执行《国务院关于进一步优化外商投资环境加大吸引外商投资力度的意见》文件精神，认真落实《轮台县招</w:t>
            </w:r>
            <w:r>
              <w:rPr>
                <w:rFonts w:hint="eastAsia" w:ascii="宋体" w:hAnsi="宋体"/>
                <w:sz w:val="16"/>
                <w:lang w:eastAsia="zh-CN"/>
              </w:rPr>
              <w:t>商引资</w:t>
            </w:r>
            <w:r>
              <w:rPr>
                <w:rFonts w:ascii="宋体" w:hAnsi="宋体" w:eastAsia="宋体"/>
                <w:sz w:val="16"/>
              </w:rPr>
              <w:t>奖励办法》等政策措施，已完成拍摄宣传片数量1个，宣传了轮台地域、产业优势，推进了轮台县招</w:t>
            </w:r>
            <w:r>
              <w:rPr>
                <w:rFonts w:hint="eastAsia" w:ascii="宋体" w:hAnsi="宋体"/>
                <w:sz w:val="16"/>
                <w:lang w:eastAsia="zh-CN"/>
              </w:rPr>
              <w:t>商引资</w:t>
            </w:r>
            <w:r>
              <w:rPr>
                <w:rFonts w:ascii="宋体" w:hAnsi="宋体" w:eastAsia="宋体"/>
                <w:sz w:val="16"/>
              </w:rPr>
              <w:t>工作和经济产业发展升级加力，实现了县域经济平稳发展。</w:t>
            </w:r>
          </w:p>
        </w:tc>
      </w:tr>
      <w:tr w14:paraId="5FAA3D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4EB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66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FF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26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8FE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37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D06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D13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FCB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DC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CE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393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A4F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B081">
            <w:pPr>
              <w:jc w:val="center"/>
            </w:pPr>
            <w:r>
              <w:rPr>
                <w:rFonts w:ascii="宋体" w:hAnsi="宋体" w:eastAsia="宋体"/>
                <w:sz w:val="16"/>
              </w:rPr>
              <w:t>偏差原因分析及改进措施</w:t>
            </w:r>
          </w:p>
        </w:tc>
      </w:tr>
      <w:tr w14:paraId="68ABD5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DD3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0456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B5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48BA">
            <w:pPr>
              <w:jc w:val="center"/>
            </w:pPr>
            <w:r>
              <w:rPr>
                <w:rFonts w:ascii="宋体" w:hAnsi="宋体" w:eastAsia="宋体"/>
                <w:sz w:val="16"/>
              </w:rPr>
              <w:t>拍摄宣传片数量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2C8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F1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9C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11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F4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64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7ED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BC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06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54C2">
            <w:pPr>
              <w:jc w:val="center"/>
            </w:pPr>
          </w:p>
        </w:tc>
      </w:tr>
      <w:tr w14:paraId="60125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16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DE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D6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55B5">
            <w:pPr>
              <w:jc w:val="center"/>
            </w:pPr>
            <w:r>
              <w:rPr>
                <w:rFonts w:ascii="宋体" w:hAnsi="宋体" w:eastAsia="宋体"/>
                <w:sz w:val="16"/>
              </w:rPr>
              <w:t>宣传片拍摄制作合格率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0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8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D7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2F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8E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18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B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5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F5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813C">
            <w:pPr>
              <w:jc w:val="center"/>
            </w:pPr>
          </w:p>
        </w:tc>
      </w:tr>
      <w:tr w14:paraId="12671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FE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13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72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3C6F">
            <w:pPr>
              <w:jc w:val="center"/>
            </w:pPr>
            <w:r>
              <w:rPr>
                <w:rFonts w:ascii="宋体" w:hAnsi="宋体" w:eastAsia="宋体"/>
                <w:sz w:val="16"/>
              </w:rPr>
              <w:t>拍摄制作及时率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29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31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90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D7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9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38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6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1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B1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4C1E">
            <w:pPr>
              <w:jc w:val="center"/>
            </w:pPr>
          </w:p>
        </w:tc>
      </w:tr>
      <w:tr w14:paraId="16DBA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65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94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8E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D983">
            <w:pPr>
              <w:jc w:val="center"/>
            </w:pPr>
            <w:r>
              <w:rPr>
                <w:rFonts w:ascii="宋体" w:hAnsi="宋体" w:eastAsia="宋体"/>
                <w:sz w:val="16"/>
              </w:rPr>
              <w:t>宣传片拍摄成本控制率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A5F2">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A8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7A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01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D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77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DE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D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64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D07E">
            <w:pPr>
              <w:jc w:val="center"/>
            </w:pPr>
          </w:p>
        </w:tc>
      </w:tr>
      <w:tr w14:paraId="396ED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3CC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FF32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E54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5A27">
            <w:pPr>
              <w:jc w:val="center"/>
            </w:pPr>
            <w:r>
              <w:rPr>
                <w:rFonts w:ascii="宋体" w:hAnsi="宋体" w:eastAsia="宋体"/>
                <w:sz w:val="16"/>
              </w:rPr>
              <w:t>促进县域经济平稳发展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163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96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1F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A3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3F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5F5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D1F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2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3D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B829">
            <w:pPr>
              <w:jc w:val="center"/>
            </w:pPr>
          </w:p>
        </w:tc>
      </w:tr>
      <w:tr w14:paraId="39C26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0EE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BF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07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704D">
            <w:pPr>
              <w:jc w:val="center"/>
            </w:pPr>
            <w:r>
              <w:rPr>
                <w:rFonts w:ascii="宋体" w:hAnsi="宋体" w:eastAsia="宋体"/>
                <w:sz w:val="16"/>
              </w:rPr>
              <w:t>提升轮台知名度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B44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97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1F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79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28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85F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B2C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1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CA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E697">
            <w:pPr>
              <w:jc w:val="center"/>
            </w:pPr>
          </w:p>
        </w:tc>
      </w:tr>
      <w:tr w14:paraId="0837B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45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F8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89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4D2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44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36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1B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E8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4E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BC5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61F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C6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D7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F692">
            <w:pPr>
              <w:jc w:val="center"/>
            </w:pPr>
          </w:p>
        </w:tc>
      </w:tr>
      <w:tr w14:paraId="26547CF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1AD1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7C41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B96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B0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8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0F2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B49D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447F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1B2C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68A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B24E5E"/>
        </w:tc>
      </w:tr>
    </w:tbl>
    <w:p w14:paraId="1060E451">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14:paraId="1042BDC0">
        <w:tblPrEx>
          <w:tblCellMar>
            <w:top w:w="0" w:type="dxa"/>
            <w:left w:w="108" w:type="dxa"/>
            <w:bottom w:w="0" w:type="dxa"/>
            <w:right w:w="108" w:type="dxa"/>
          </w:tblCellMar>
        </w:tblPrEx>
        <w:tc>
          <w:tcPr>
            <w:tcW w:w="8848" w:type="dxa"/>
            <w:gridSpan w:val="14"/>
            <w:vAlign w:val="center"/>
          </w:tcPr>
          <w:p w14:paraId="5EAAE035">
            <w:pPr>
              <w:jc w:val="center"/>
            </w:pPr>
            <w:r>
              <w:rPr>
                <w:rFonts w:ascii="宋体" w:hAnsi="宋体" w:eastAsia="宋体"/>
                <w:sz w:val="24"/>
              </w:rPr>
              <w:t>项目支出绩效自评表</w:t>
            </w:r>
          </w:p>
        </w:tc>
      </w:tr>
      <w:tr w14:paraId="576C6B2A">
        <w:tblPrEx>
          <w:tblCellMar>
            <w:top w:w="0" w:type="dxa"/>
            <w:left w:w="108" w:type="dxa"/>
            <w:bottom w:w="0" w:type="dxa"/>
            <w:right w:w="108" w:type="dxa"/>
          </w:tblCellMar>
        </w:tblPrEx>
        <w:tc>
          <w:tcPr>
            <w:tcW w:w="8848" w:type="dxa"/>
            <w:gridSpan w:val="14"/>
            <w:vAlign w:val="center"/>
          </w:tcPr>
          <w:p w14:paraId="4323FB1F">
            <w:pPr>
              <w:jc w:val="center"/>
            </w:pPr>
            <w:r>
              <w:rPr>
                <w:rFonts w:ascii="宋体" w:hAnsi="宋体" w:eastAsia="宋体"/>
                <w:sz w:val="24"/>
              </w:rPr>
              <w:t>(2024年度)</w:t>
            </w:r>
          </w:p>
        </w:tc>
      </w:tr>
      <w:tr w14:paraId="6D0869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2F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C1CF4A">
            <w:pPr>
              <w:jc w:val="center"/>
            </w:pPr>
            <w:r>
              <w:rPr>
                <w:rFonts w:ascii="宋体" w:hAnsi="宋体" w:eastAsia="宋体"/>
                <w:sz w:val="16"/>
              </w:rPr>
              <w:t>商工局：新财建</w:t>
            </w:r>
            <w:r>
              <w:rPr>
                <w:rFonts w:hint="eastAsia" w:ascii="宋体" w:hAnsi="宋体"/>
                <w:sz w:val="16"/>
                <w:lang w:eastAsia="zh-CN"/>
              </w:rPr>
              <w:t>〔2021〕106号</w:t>
            </w:r>
            <w:r>
              <w:rPr>
                <w:rFonts w:ascii="宋体" w:hAnsi="宋体" w:eastAsia="宋体"/>
                <w:sz w:val="16"/>
              </w:rPr>
              <w:t>预拨2021年纺织服装专项资金（自治区资金）巴财建</w:t>
            </w:r>
            <w:r>
              <w:rPr>
                <w:rFonts w:hint="eastAsia" w:ascii="宋体" w:hAnsi="宋体"/>
                <w:sz w:val="16"/>
                <w:lang w:eastAsia="zh-CN"/>
              </w:rPr>
              <w:t>〔2021〕92号</w:t>
            </w:r>
          </w:p>
        </w:tc>
      </w:tr>
      <w:tr w14:paraId="49117F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90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77136">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F8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345F0A">
            <w:pPr>
              <w:jc w:val="center"/>
            </w:pPr>
            <w:r>
              <w:rPr>
                <w:rFonts w:ascii="宋体" w:hAnsi="宋体" w:eastAsia="宋体"/>
                <w:sz w:val="16"/>
              </w:rPr>
              <w:t>轮台县商务和工业信息化局</w:t>
            </w:r>
          </w:p>
        </w:tc>
      </w:tr>
      <w:tr w14:paraId="336797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121A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35B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EF2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3FC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3CF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C311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DCD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2497">
            <w:pPr>
              <w:jc w:val="center"/>
            </w:pPr>
            <w:r>
              <w:rPr>
                <w:rFonts w:ascii="宋体" w:hAnsi="宋体" w:eastAsia="宋体"/>
                <w:sz w:val="16"/>
              </w:rPr>
              <w:t>得分</w:t>
            </w:r>
          </w:p>
        </w:tc>
      </w:tr>
      <w:tr w14:paraId="7F70BA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612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7F5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38DE3">
            <w:pPr>
              <w:jc w:val="center"/>
            </w:pPr>
            <w:r>
              <w:rPr>
                <w:rFonts w:ascii="宋体" w:hAnsi="宋体" w:eastAsia="宋体"/>
                <w:sz w:val="16"/>
              </w:rPr>
              <w:t>210.59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AFA84">
            <w:pPr>
              <w:jc w:val="center"/>
            </w:pPr>
            <w:r>
              <w:rPr>
                <w:rFonts w:ascii="宋体" w:hAnsi="宋体" w:eastAsia="宋体"/>
                <w:sz w:val="16"/>
              </w:rPr>
              <w:t>210.59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6A1D5">
            <w:pPr>
              <w:jc w:val="center"/>
            </w:pPr>
            <w:r>
              <w:rPr>
                <w:rFonts w:ascii="宋体" w:hAnsi="宋体" w:eastAsia="宋体"/>
                <w:sz w:val="16"/>
              </w:rPr>
              <w:t>210.59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55F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4F9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061A">
            <w:pPr>
              <w:jc w:val="center"/>
            </w:pPr>
            <w:r>
              <w:rPr>
                <w:rFonts w:ascii="宋体" w:hAnsi="宋体" w:eastAsia="宋体"/>
                <w:sz w:val="16"/>
              </w:rPr>
              <w:t>10.00</w:t>
            </w:r>
          </w:p>
        </w:tc>
      </w:tr>
      <w:tr w14:paraId="7C189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95D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898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BC5CF">
            <w:pPr>
              <w:jc w:val="center"/>
            </w:pPr>
            <w:r>
              <w:rPr>
                <w:rFonts w:ascii="宋体" w:hAnsi="宋体" w:eastAsia="宋体"/>
                <w:sz w:val="16"/>
              </w:rPr>
              <w:t>210.59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665BF">
            <w:pPr>
              <w:jc w:val="center"/>
            </w:pPr>
            <w:r>
              <w:rPr>
                <w:rFonts w:ascii="宋体" w:hAnsi="宋体" w:eastAsia="宋体"/>
                <w:sz w:val="16"/>
              </w:rPr>
              <w:t>210.59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8ACBF">
            <w:pPr>
              <w:jc w:val="center"/>
            </w:pPr>
            <w:r>
              <w:rPr>
                <w:rFonts w:ascii="宋体" w:hAnsi="宋体" w:eastAsia="宋体"/>
                <w:sz w:val="16"/>
              </w:rPr>
              <w:t>210.59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60E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480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B7DC">
            <w:pPr>
              <w:jc w:val="center"/>
            </w:pPr>
            <w:r>
              <w:rPr>
                <w:rFonts w:ascii="宋体" w:hAnsi="宋体" w:eastAsia="宋体"/>
                <w:sz w:val="16"/>
              </w:rPr>
              <w:t>-</w:t>
            </w:r>
          </w:p>
        </w:tc>
      </w:tr>
      <w:tr w14:paraId="5C4F5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B2F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861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257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1F9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66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FBC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CA2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3560">
            <w:pPr>
              <w:jc w:val="center"/>
            </w:pPr>
            <w:r>
              <w:rPr>
                <w:rFonts w:ascii="宋体" w:hAnsi="宋体" w:eastAsia="宋体"/>
                <w:sz w:val="16"/>
              </w:rPr>
              <w:t>-</w:t>
            </w:r>
          </w:p>
        </w:tc>
      </w:tr>
      <w:tr w14:paraId="4961D4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FC6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7FF4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AF80DB">
            <w:pPr>
              <w:jc w:val="center"/>
            </w:pPr>
            <w:r>
              <w:rPr>
                <w:rFonts w:ascii="宋体" w:hAnsi="宋体" w:eastAsia="宋体"/>
                <w:sz w:val="16"/>
              </w:rPr>
              <w:t>总体目标完成情况</w:t>
            </w:r>
          </w:p>
        </w:tc>
      </w:tr>
      <w:tr w14:paraId="44FC1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344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97E57">
            <w:pPr>
              <w:jc w:val="both"/>
            </w:pPr>
            <w:r>
              <w:rPr>
                <w:rFonts w:ascii="宋体" w:hAnsi="宋体" w:eastAsia="宋体"/>
                <w:sz w:val="16"/>
              </w:rPr>
              <w:t>根据自治州“十四五”规划及纺织服装产业发展需要，结合本单位服装产业方面管理职能、服装产业方</w:t>
            </w:r>
            <w:r>
              <w:rPr>
                <w:rFonts w:hint="eastAsia" w:ascii="宋体" w:hAnsi="宋体"/>
                <w:sz w:val="16"/>
                <w:lang w:eastAsia="zh-CN"/>
              </w:rPr>
              <w:t>面的</w:t>
            </w:r>
            <w:r>
              <w:rPr>
                <w:rFonts w:ascii="宋体" w:hAnsi="宋体" w:eastAsia="宋体"/>
                <w:sz w:val="16"/>
              </w:rPr>
              <w:t>工作职责</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目标1：为2家纺织服装</w:t>
            </w:r>
            <w:r>
              <w:rPr>
                <w:rFonts w:hint="eastAsia" w:ascii="宋体" w:hAnsi="宋体"/>
                <w:sz w:val="16"/>
                <w:lang w:eastAsia="zh-CN"/>
              </w:rPr>
              <w:t>企业</w:t>
            </w:r>
            <w:r>
              <w:rPr>
                <w:rFonts w:ascii="宋体" w:hAnsi="宋体" w:eastAsia="宋体"/>
                <w:sz w:val="16"/>
              </w:rPr>
              <w:t>发放补贴，主要用于轮台县纺织服装企业在运费、电费及其他方面的费用补贴，促进纺织服装产业健康发展。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F43716">
            <w:pPr>
              <w:jc w:val="both"/>
            </w:pPr>
            <w:r>
              <w:rPr>
                <w:rFonts w:hint="eastAsia" w:ascii="宋体" w:hAnsi="宋体"/>
                <w:sz w:val="16"/>
                <w:lang w:eastAsia="zh-CN"/>
              </w:rPr>
              <w:t>本单位</w:t>
            </w:r>
            <w:r>
              <w:rPr>
                <w:rFonts w:ascii="宋体" w:hAnsi="宋体" w:eastAsia="宋体"/>
                <w:sz w:val="16"/>
              </w:rPr>
              <w:t>本年度严格执行《新疆维吾尔自治区人民政府办公厅关于调整优化自治区棉花及纺织服装产业政策措施的通知》（新政办发〔2024〕16号）文件精神，认真落实自治区纺织服装产业补贴资金管理办法相关政策，已完成为2家纺织服装</w:t>
            </w:r>
            <w:r>
              <w:rPr>
                <w:rFonts w:hint="eastAsia" w:ascii="宋体" w:hAnsi="宋体"/>
                <w:sz w:val="16"/>
                <w:lang w:eastAsia="zh-CN"/>
              </w:rPr>
              <w:t>企业</w:t>
            </w:r>
            <w:r>
              <w:rPr>
                <w:rFonts w:ascii="宋体" w:hAnsi="宋体" w:eastAsia="宋体"/>
                <w:sz w:val="16"/>
              </w:rPr>
              <w:t>发放补贴，及时拨付了轮台县纺织服装企业在运费、电费及其他方面的费用补贴，推进了纺织服装等劳动密集型产业发展促进就业政策的贯彻与执行，实现了纺织服装产业高质量发展。</w:t>
            </w:r>
          </w:p>
        </w:tc>
      </w:tr>
      <w:tr w14:paraId="445E07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B7DF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DC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62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F2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A2B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3C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1D5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CF7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FCF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D6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B1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1E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7B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AE86">
            <w:pPr>
              <w:jc w:val="center"/>
            </w:pPr>
            <w:r>
              <w:rPr>
                <w:rFonts w:ascii="宋体" w:hAnsi="宋体" w:eastAsia="宋体"/>
                <w:sz w:val="16"/>
              </w:rPr>
              <w:t>偏差原因分析及改进措施</w:t>
            </w:r>
          </w:p>
        </w:tc>
      </w:tr>
      <w:tr w14:paraId="6B4DB4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3A8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CFDB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B7F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4613">
            <w:pPr>
              <w:jc w:val="center"/>
            </w:pPr>
            <w:r>
              <w:rPr>
                <w:rFonts w:ascii="宋体" w:hAnsi="宋体" w:eastAsia="宋体"/>
                <w:sz w:val="16"/>
              </w:rPr>
              <w:t>补贴纺织服装企业数量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BFF9">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8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91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7D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BD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42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AF3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C3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E9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701F">
            <w:pPr>
              <w:jc w:val="center"/>
            </w:pPr>
          </w:p>
        </w:tc>
      </w:tr>
      <w:tr w14:paraId="32358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DC4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D73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0A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FF55">
            <w:pPr>
              <w:jc w:val="center"/>
            </w:pPr>
            <w:r>
              <w:rPr>
                <w:rFonts w:ascii="宋体" w:hAnsi="宋体" w:eastAsia="宋体"/>
                <w:sz w:val="16"/>
              </w:rPr>
              <w:t>补贴纺织服装企业次数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719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D2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D3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61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02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BC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4C7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1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24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9DB5">
            <w:pPr>
              <w:jc w:val="center"/>
            </w:pPr>
          </w:p>
        </w:tc>
      </w:tr>
      <w:tr w14:paraId="601F3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1CD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60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2D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E506">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F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F8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10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A3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F7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09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D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8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33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4FFE">
            <w:pPr>
              <w:jc w:val="center"/>
            </w:pPr>
          </w:p>
        </w:tc>
      </w:tr>
      <w:tr w14:paraId="5750E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93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B4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50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A5FC">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6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D7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7F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FA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71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2C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9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F1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6A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1C13">
            <w:pPr>
              <w:jc w:val="center"/>
            </w:pPr>
          </w:p>
        </w:tc>
      </w:tr>
      <w:tr w14:paraId="02FC6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16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A4D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27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1AC2">
            <w:pPr>
              <w:jc w:val="center"/>
            </w:pPr>
            <w:r>
              <w:rPr>
                <w:rFonts w:ascii="宋体" w:hAnsi="宋体" w:eastAsia="宋体"/>
                <w:sz w:val="16"/>
              </w:rPr>
              <w:t>补贴纺织服装企业平均标准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39FA">
            <w:pPr>
              <w:jc w:val="center"/>
            </w:pPr>
            <w:r>
              <w:rPr>
                <w:rFonts w:ascii="宋体" w:hAnsi="宋体" w:eastAsia="宋体"/>
                <w:sz w:val="16"/>
              </w:rPr>
              <w:t>&lt;=105.29万元/个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6E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6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25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85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8B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542D">
            <w:pPr>
              <w:jc w:val="center"/>
            </w:pPr>
            <w:r>
              <w:rPr>
                <w:rFonts w:ascii="宋体" w:hAnsi="宋体" w:eastAsia="宋体"/>
                <w:sz w:val="16"/>
              </w:rPr>
              <w:t>=105.29万元/个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6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8A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F52A">
            <w:pPr>
              <w:jc w:val="center"/>
            </w:pPr>
          </w:p>
        </w:tc>
      </w:tr>
      <w:tr w14:paraId="4357D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556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52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50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B209">
            <w:pPr>
              <w:jc w:val="center"/>
            </w:pPr>
            <w:r>
              <w:rPr>
                <w:rFonts w:ascii="宋体" w:hAnsi="宋体" w:eastAsia="宋体"/>
                <w:sz w:val="16"/>
              </w:rPr>
              <w:t>促进纺织服装产业健康发展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679D">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D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27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65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4E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C6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E68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07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CD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8441">
            <w:pPr>
              <w:jc w:val="center"/>
            </w:pPr>
          </w:p>
        </w:tc>
      </w:tr>
      <w:tr w14:paraId="3C8F1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E8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02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7DD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075A">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9DA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96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28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9B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09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D75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F14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23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7E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B970">
            <w:pPr>
              <w:jc w:val="center"/>
            </w:pPr>
          </w:p>
        </w:tc>
      </w:tr>
      <w:tr w14:paraId="3C91779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B59A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85D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915E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8B8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9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CB24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B3E3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DDEF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7B28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EA7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6CDD2C"/>
        </w:tc>
      </w:tr>
    </w:tbl>
    <w:p w14:paraId="36997F2C">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696"/>
        <w:gridCol w:w="629"/>
        <w:gridCol w:w="697"/>
        <w:gridCol w:w="633"/>
      </w:tblGrid>
      <w:tr w14:paraId="7A582709">
        <w:tblPrEx>
          <w:tblCellMar>
            <w:top w:w="0" w:type="dxa"/>
            <w:left w:w="108" w:type="dxa"/>
            <w:bottom w:w="0" w:type="dxa"/>
            <w:right w:w="108" w:type="dxa"/>
          </w:tblCellMar>
        </w:tblPrEx>
        <w:tc>
          <w:tcPr>
            <w:tcW w:w="8848" w:type="dxa"/>
            <w:gridSpan w:val="14"/>
            <w:vAlign w:val="center"/>
          </w:tcPr>
          <w:p w14:paraId="2968465B">
            <w:pPr>
              <w:jc w:val="center"/>
            </w:pPr>
            <w:r>
              <w:rPr>
                <w:rFonts w:ascii="宋体" w:hAnsi="宋体" w:eastAsia="宋体"/>
                <w:sz w:val="24"/>
              </w:rPr>
              <w:t>项目支出绩效自评表</w:t>
            </w:r>
          </w:p>
        </w:tc>
      </w:tr>
      <w:tr w14:paraId="64F619E9">
        <w:tblPrEx>
          <w:tblCellMar>
            <w:top w:w="0" w:type="dxa"/>
            <w:left w:w="108" w:type="dxa"/>
            <w:bottom w:w="0" w:type="dxa"/>
            <w:right w:w="108" w:type="dxa"/>
          </w:tblCellMar>
        </w:tblPrEx>
        <w:tc>
          <w:tcPr>
            <w:tcW w:w="8848" w:type="dxa"/>
            <w:gridSpan w:val="14"/>
            <w:vAlign w:val="center"/>
          </w:tcPr>
          <w:p w14:paraId="7B0BC994">
            <w:pPr>
              <w:jc w:val="center"/>
            </w:pPr>
            <w:r>
              <w:rPr>
                <w:rFonts w:ascii="宋体" w:hAnsi="宋体" w:eastAsia="宋体"/>
                <w:sz w:val="24"/>
              </w:rPr>
              <w:t>(2024年度)</w:t>
            </w:r>
          </w:p>
        </w:tc>
      </w:tr>
      <w:tr w14:paraId="31725F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89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D2EC68">
            <w:pPr>
              <w:jc w:val="center"/>
            </w:pPr>
            <w:r>
              <w:rPr>
                <w:rFonts w:ascii="宋体" w:hAnsi="宋体" w:eastAsia="宋体"/>
                <w:sz w:val="16"/>
              </w:rPr>
              <w:t>商工局：轮台县智能物流配送中心建设项目土地保证金</w:t>
            </w:r>
          </w:p>
        </w:tc>
      </w:tr>
      <w:tr w14:paraId="275219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42F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37B7E">
            <w:pPr>
              <w:jc w:val="center"/>
            </w:pPr>
            <w:r>
              <w:rPr>
                <w:rFonts w:ascii="宋体" w:hAnsi="宋体" w:eastAsia="宋体"/>
                <w:sz w:val="16"/>
              </w:rPr>
              <w:t>轮台县商务和工业信息化局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04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941FFE">
            <w:pPr>
              <w:jc w:val="center"/>
            </w:pPr>
            <w:r>
              <w:rPr>
                <w:rFonts w:ascii="宋体" w:hAnsi="宋体" w:eastAsia="宋体"/>
                <w:sz w:val="16"/>
              </w:rPr>
              <w:t>轮台县商务和工业信息化局</w:t>
            </w:r>
          </w:p>
        </w:tc>
      </w:tr>
      <w:tr w14:paraId="0CF5E8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4EAD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D95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4AA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2E0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0E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8D75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E61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F061">
            <w:pPr>
              <w:jc w:val="center"/>
            </w:pPr>
            <w:r>
              <w:rPr>
                <w:rFonts w:ascii="宋体" w:hAnsi="宋体" w:eastAsia="宋体"/>
                <w:sz w:val="16"/>
              </w:rPr>
              <w:t>得分</w:t>
            </w:r>
          </w:p>
        </w:tc>
      </w:tr>
      <w:tr w14:paraId="4901B9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DFB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5E0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66393">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F9BDD">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B6356">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2B9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BBF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1E83">
            <w:pPr>
              <w:jc w:val="center"/>
            </w:pPr>
            <w:r>
              <w:rPr>
                <w:rFonts w:ascii="宋体" w:hAnsi="宋体" w:eastAsia="宋体"/>
                <w:sz w:val="16"/>
              </w:rPr>
              <w:t>10.00</w:t>
            </w:r>
          </w:p>
        </w:tc>
      </w:tr>
      <w:tr w14:paraId="49DA5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63A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67E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DBEBE">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F0515">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02747">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974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C71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B467">
            <w:pPr>
              <w:jc w:val="center"/>
            </w:pPr>
            <w:r>
              <w:rPr>
                <w:rFonts w:ascii="宋体" w:hAnsi="宋体" w:eastAsia="宋体"/>
                <w:sz w:val="16"/>
              </w:rPr>
              <w:t>-</w:t>
            </w:r>
          </w:p>
        </w:tc>
      </w:tr>
      <w:tr w14:paraId="14EC6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53D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8FEF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41C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DA4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E9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09E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08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1E7A">
            <w:pPr>
              <w:jc w:val="center"/>
            </w:pPr>
            <w:r>
              <w:rPr>
                <w:rFonts w:ascii="宋体" w:hAnsi="宋体" w:eastAsia="宋体"/>
                <w:sz w:val="16"/>
              </w:rPr>
              <w:t>-</w:t>
            </w:r>
          </w:p>
        </w:tc>
      </w:tr>
      <w:tr w14:paraId="43C6E7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FDDE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FB41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F4051C">
            <w:pPr>
              <w:jc w:val="center"/>
            </w:pPr>
            <w:r>
              <w:rPr>
                <w:rFonts w:ascii="宋体" w:hAnsi="宋体" w:eastAsia="宋体"/>
                <w:sz w:val="16"/>
              </w:rPr>
              <w:t>总体目标完成情况</w:t>
            </w:r>
          </w:p>
        </w:tc>
      </w:tr>
      <w:tr w14:paraId="60C2A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D0B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50BD6">
            <w:pPr>
              <w:jc w:val="both"/>
            </w:pPr>
            <w:r>
              <w:rPr>
                <w:rFonts w:ascii="宋体" w:hAnsi="宋体" w:eastAsia="宋体"/>
                <w:sz w:val="16"/>
              </w:rPr>
              <w:t>根据实施物流业相关政策，按照有利于优化当地经济结构，提高城市综合竞争力，提升人民生活水平的需要，结合本单位发展物流业工作职责：</w:t>
            </w:r>
            <w:r>
              <w:rPr>
                <w:rFonts w:ascii="宋体" w:hAnsi="宋体" w:eastAsia="宋体"/>
                <w:sz w:val="16"/>
              </w:rPr>
              <w:br w:type="textWrapping"/>
            </w:r>
            <w:r>
              <w:rPr>
                <w:rFonts w:ascii="宋体" w:hAnsi="宋体" w:eastAsia="宋体"/>
                <w:sz w:val="16"/>
              </w:rPr>
              <w:t>目标1：项目土地面积48954平方米，出让年限50年，缴纳土地保证金266万元，在土地上建设轮台县智能物流配送中心，完善轮台县配送服务设施，提高物流配送效率，打好现代城市物流发展基础，突破城市物流发展瓶颈，促进商业、服务业的繁荣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B03BA7">
            <w:pPr>
              <w:jc w:val="both"/>
            </w:pPr>
            <w:r>
              <w:rPr>
                <w:rFonts w:hint="eastAsia" w:ascii="宋体" w:hAnsi="宋体"/>
                <w:sz w:val="16"/>
                <w:lang w:eastAsia="zh-CN"/>
              </w:rPr>
              <w:t>本单位</w:t>
            </w:r>
            <w:r>
              <w:rPr>
                <w:rFonts w:ascii="宋体" w:hAnsi="宋体" w:eastAsia="宋体"/>
                <w:sz w:val="16"/>
              </w:rPr>
              <w:t>本年度严格执行《中国物流业发展中长期规划（2014-2020年）》等相关政策，已完成项目土地面积48954平方米，出让年限50年，挂牌起始价531.68万元，土地保证金266万元缴纳及时率达100%，实施了建设轮台县智能物流配送中心，完善了轮台县配送服务设施，提高了物流配送效率，推进了现代城市物流发展基础，城市物流发展瓶颈取得了突破，实现了商业、服务业的繁荣发展。</w:t>
            </w:r>
          </w:p>
        </w:tc>
      </w:tr>
      <w:tr w14:paraId="33CA89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B31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26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CD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26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048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E2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5D7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97D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F73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B9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E10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45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31A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D942">
            <w:pPr>
              <w:jc w:val="center"/>
            </w:pPr>
            <w:r>
              <w:rPr>
                <w:rFonts w:ascii="宋体" w:hAnsi="宋体" w:eastAsia="宋体"/>
                <w:sz w:val="16"/>
              </w:rPr>
              <w:t>偏差原因分析及改进措施</w:t>
            </w:r>
          </w:p>
        </w:tc>
      </w:tr>
      <w:tr w14:paraId="67FAFE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015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2A79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326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C835">
            <w:pPr>
              <w:jc w:val="center"/>
            </w:pPr>
            <w:r>
              <w:rPr>
                <w:rFonts w:ascii="宋体" w:hAnsi="宋体" w:eastAsia="宋体"/>
                <w:sz w:val="16"/>
              </w:rPr>
              <w:t>申请土地保证金缴纳面积数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C086">
            <w:pPr>
              <w:jc w:val="center"/>
            </w:pPr>
            <w:r>
              <w:rPr>
                <w:rFonts w:ascii="宋体" w:hAnsi="宋体" w:eastAsia="宋体"/>
                <w:sz w:val="16"/>
              </w:rPr>
              <w:t>&gt;=48954平方米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A4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AF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6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3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7C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D6FA">
            <w:pPr>
              <w:jc w:val="center"/>
            </w:pPr>
            <w:r>
              <w:rPr>
                <w:rFonts w:ascii="宋体" w:hAnsi="宋体" w:eastAsia="宋体"/>
                <w:sz w:val="16"/>
              </w:rPr>
              <w:t>=48954平方米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13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C6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1BC5">
            <w:pPr>
              <w:jc w:val="center"/>
            </w:pPr>
          </w:p>
        </w:tc>
      </w:tr>
      <w:tr w14:paraId="7A78F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DD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E8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82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66B1A">
            <w:pPr>
              <w:jc w:val="center"/>
            </w:pPr>
            <w:r>
              <w:rPr>
                <w:rFonts w:ascii="宋体" w:hAnsi="宋体" w:eastAsia="宋体"/>
                <w:sz w:val="16"/>
              </w:rPr>
              <w:t>土地保证金缴纳次数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A7E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CB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BE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BE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A7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FB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8DD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32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9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0BD0">
            <w:pPr>
              <w:jc w:val="center"/>
            </w:pPr>
          </w:p>
        </w:tc>
      </w:tr>
      <w:tr w14:paraId="24768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EA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10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5C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15C4">
            <w:pPr>
              <w:jc w:val="center"/>
            </w:pPr>
            <w:r>
              <w:rPr>
                <w:rFonts w:ascii="宋体" w:hAnsi="宋体" w:eastAsia="宋体"/>
                <w:sz w:val="16"/>
              </w:rPr>
              <w:t>土地保证金缴纳准确率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65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E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A3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13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7C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48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E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E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08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F06D">
            <w:pPr>
              <w:jc w:val="center"/>
            </w:pPr>
          </w:p>
        </w:tc>
      </w:tr>
      <w:tr w14:paraId="3C163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03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24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71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43F7">
            <w:pPr>
              <w:jc w:val="center"/>
            </w:pPr>
            <w:r>
              <w:rPr>
                <w:rFonts w:ascii="宋体" w:hAnsi="宋体" w:eastAsia="宋体"/>
                <w:sz w:val="16"/>
              </w:rPr>
              <w:t>土地保证金缴纳及时率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6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E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ED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4B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1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D8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2F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1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0D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E780">
            <w:pPr>
              <w:jc w:val="center"/>
            </w:pPr>
          </w:p>
        </w:tc>
      </w:tr>
      <w:tr w14:paraId="6C266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86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06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6F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406E">
            <w:pPr>
              <w:jc w:val="center"/>
            </w:pPr>
            <w:r>
              <w:rPr>
                <w:rFonts w:ascii="宋体" w:hAnsi="宋体" w:eastAsia="宋体"/>
                <w:sz w:val="16"/>
              </w:rPr>
              <w:t>土地保证金缴纳平均标准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7D3B">
            <w:pPr>
              <w:jc w:val="center"/>
            </w:pPr>
            <w:r>
              <w:rPr>
                <w:rFonts w:ascii="宋体" w:hAnsi="宋体" w:eastAsia="宋体"/>
                <w:sz w:val="16"/>
              </w:rPr>
              <w:t>&lt;=54.34元/平方米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5B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7F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2A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B5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6A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2C64">
            <w:pPr>
              <w:jc w:val="center"/>
            </w:pPr>
            <w:r>
              <w:rPr>
                <w:rFonts w:ascii="宋体" w:hAnsi="宋体" w:eastAsia="宋体"/>
                <w:sz w:val="16"/>
              </w:rPr>
              <w:t>=54.34元/平方米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8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F6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B06D">
            <w:pPr>
              <w:jc w:val="center"/>
            </w:pPr>
          </w:p>
        </w:tc>
      </w:tr>
      <w:tr w14:paraId="3225F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17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97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E4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DDBD">
            <w:pPr>
              <w:jc w:val="center"/>
            </w:pPr>
            <w:r>
              <w:rPr>
                <w:rFonts w:ascii="宋体" w:hAnsi="宋体" w:eastAsia="宋体"/>
                <w:sz w:val="16"/>
              </w:rPr>
              <w:t>促进商业、服务业的繁荣发展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EC4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A2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A9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B5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03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A8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545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9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38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8BAA">
            <w:pPr>
              <w:jc w:val="center"/>
            </w:pPr>
          </w:p>
        </w:tc>
      </w:tr>
      <w:tr w14:paraId="31CFA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9E7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FD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A9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ACAC">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1CD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9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85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A2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A6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72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26F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1B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A2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37F1">
            <w:pPr>
              <w:jc w:val="center"/>
            </w:pPr>
          </w:p>
        </w:tc>
      </w:tr>
      <w:tr w14:paraId="145DD96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B740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9E4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A453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65C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43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BF18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6BCC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DAF2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656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1F3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43346D"/>
        </w:tc>
      </w:tr>
    </w:tbl>
    <w:p w14:paraId="16C9FF1D">
      <w:r>
        <w:br w:type="page"/>
      </w:r>
    </w:p>
    <w:p w14:paraId="68C3DBDA">
      <w:pPr>
        <w:spacing w:line="640" w:lineRule="exact"/>
        <w:ind w:firstLine="640"/>
        <w:jc w:val="both"/>
        <w:outlineLvl w:val="2"/>
      </w:pPr>
      <w:r>
        <w:rPr>
          <w:rFonts w:ascii="黑体" w:hAnsi="黑体" w:eastAsia="黑体"/>
          <w:sz w:val="32"/>
        </w:rPr>
        <w:t>十二、其他需说明的事项</w:t>
      </w:r>
    </w:p>
    <w:p w14:paraId="61AABCAD">
      <w:pPr>
        <w:spacing w:line="580" w:lineRule="exact"/>
        <w:ind w:firstLine="640"/>
        <w:jc w:val="both"/>
      </w:pPr>
      <w:r>
        <w:rPr>
          <w:rFonts w:ascii="仿宋_GB2312" w:hAnsi="仿宋_GB2312" w:eastAsia="仿宋_GB2312"/>
          <w:b w:val="0"/>
          <w:sz w:val="32"/>
        </w:rPr>
        <w:t>本单位无其他需说明的事项。</w:t>
      </w:r>
    </w:p>
    <w:p w14:paraId="1EDAC51B">
      <w:r>
        <w:br w:type="page"/>
      </w:r>
    </w:p>
    <w:p w14:paraId="338A9D38">
      <w:pPr>
        <w:spacing w:line="240" w:lineRule="auto"/>
        <w:jc w:val="center"/>
        <w:outlineLvl w:val="1"/>
      </w:pPr>
      <w:r>
        <w:rPr>
          <w:rFonts w:ascii="黑体" w:hAnsi="黑体" w:eastAsia="黑体"/>
          <w:sz w:val="32"/>
        </w:rPr>
        <w:t>第三部分 专业名词解释</w:t>
      </w:r>
    </w:p>
    <w:p w14:paraId="0AC80F0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616D4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57EF4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49E718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53B0F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A5AAFC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61D2E9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32619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AEAF5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6E5CD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940966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CD278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AEBDB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2154E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9CC736">
      <w:r>
        <w:br w:type="page"/>
      </w:r>
    </w:p>
    <w:p w14:paraId="0196B010">
      <w:pPr>
        <w:spacing w:line="240" w:lineRule="auto"/>
        <w:jc w:val="center"/>
        <w:outlineLvl w:val="1"/>
      </w:pPr>
      <w:r>
        <w:rPr>
          <w:rFonts w:ascii="黑体" w:hAnsi="黑体" w:eastAsia="黑体"/>
          <w:sz w:val="32"/>
        </w:rPr>
        <w:t>第四部分 部门决算报表（见附表）</w:t>
      </w:r>
    </w:p>
    <w:p w14:paraId="17B3A34E">
      <w:pPr>
        <w:spacing w:line="240" w:lineRule="auto"/>
        <w:ind w:firstLine="640"/>
        <w:jc w:val="both"/>
      </w:pPr>
      <w:r>
        <w:rPr>
          <w:rFonts w:ascii="仿宋_GB2312" w:hAnsi="仿宋_GB2312" w:eastAsia="仿宋_GB2312"/>
          <w:b w:val="0"/>
          <w:sz w:val="32"/>
        </w:rPr>
        <w:t>一、《收入支出决算总表》</w:t>
      </w:r>
    </w:p>
    <w:p w14:paraId="002187E4">
      <w:pPr>
        <w:spacing w:line="240" w:lineRule="auto"/>
        <w:ind w:firstLine="640"/>
        <w:jc w:val="both"/>
      </w:pPr>
      <w:r>
        <w:rPr>
          <w:rFonts w:ascii="仿宋_GB2312" w:hAnsi="仿宋_GB2312" w:eastAsia="仿宋_GB2312"/>
          <w:b w:val="0"/>
          <w:sz w:val="32"/>
        </w:rPr>
        <w:t>二、《收入决算表》</w:t>
      </w:r>
    </w:p>
    <w:p w14:paraId="01D0EBA4">
      <w:pPr>
        <w:spacing w:line="240" w:lineRule="auto"/>
        <w:ind w:firstLine="640"/>
        <w:jc w:val="both"/>
      </w:pPr>
      <w:r>
        <w:rPr>
          <w:rFonts w:ascii="仿宋_GB2312" w:hAnsi="仿宋_GB2312" w:eastAsia="仿宋_GB2312"/>
          <w:b w:val="0"/>
          <w:sz w:val="32"/>
        </w:rPr>
        <w:t>三、《支出决算表》</w:t>
      </w:r>
    </w:p>
    <w:p w14:paraId="29B6C67C">
      <w:pPr>
        <w:spacing w:line="240" w:lineRule="auto"/>
        <w:ind w:firstLine="640"/>
        <w:jc w:val="both"/>
      </w:pPr>
      <w:r>
        <w:rPr>
          <w:rFonts w:ascii="仿宋_GB2312" w:hAnsi="仿宋_GB2312" w:eastAsia="仿宋_GB2312"/>
          <w:b w:val="0"/>
          <w:sz w:val="32"/>
        </w:rPr>
        <w:t>四、《财政拨款收入支出决算总表》</w:t>
      </w:r>
    </w:p>
    <w:p w14:paraId="1BA6855B">
      <w:pPr>
        <w:spacing w:line="240" w:lineRule="auto"/>
        <w:ind w:firstLine="640"/>
        <w:jc w:val="both"/>
      </w:pPr>
      <w:r>
        <w:rPr>
          <w:rFonts w:ascii="仿宋_GB2312" w:hAnsi="仿宋_GB2312" w:eastAsia="仿宋_GB2312"/>
          <w:b w:val="0"/>
          <w:sz w:val="32"/>
        </w:rPr>
        <w:t>五、《一般公共预算财政拨款支出决算表》</w:t>
      </w:r>
    </w:p>
    <w:p w14:paraId="33F908EF">
      <w:pPr>
        <w:spacing w:line="240" w:lineRule="auto"/>
        <w:ind w:firstLine="640"/>
        <w:jc w:val="both"/>
      </w:pPr>
      <w:r>
        <w:rPr>
          <w:rFonts w:ascii="仿宋_GB2312" w:hAnsi="仿宋_GB2312" w:eastAsia="仿宋_GB2312"/>
          <w:b w:val="0"/>
          <w:sz w:val="32"/>
        </w:rPr>
        <w:t>六、《一般公共预算财政拨款基本支出决算表》</w:t>
      </w:r>
    </w:p>
    <w:p w14:paraId="7E07DA19">
      <w:pPr>
        <w:spacing w:line="240" w:lineRule="auto"/>
        <w:ind w:firstLine="640"/>
        <w:jc w:val="both"/>
      </w:pPr>
      <w:r>
        <w:rPr>
          <w:rFonts w:ascii="仿宋_GB2312" w:hAnsi="仿宋_GB2312" w:eastAsia="仿宋_GB2312"/>
          <w:b w:val="0"/>
          <w:sz w:val="32"/>
        </w:rPr>
        <w:t>七、《政府性基金预算财政拨款收入支出决算表》</w:t>
      </w:r>
    </w:p>
    <w:p w14:paraId="1326B241">
      <w:pPr>
        <w:spacing w:line="240" w:lineRule="auto"/>
        <w:ind w:firstLine="640"/>
        <w:jc w:val="both"/>
      </w:pPr>
      <w:r>
        <w:rPr>
          <w:rFonts w:ascii="仿宋_GB2312" w:hAnsi="仿宋_GB2312" w:eastAsia="仿宋_GB2312"/>
          <w:b w:val="0"/>
          <w:sz w:val="32"/>
        </w:rPr>
        <w:t>八、《国有资本经营预算财政拨款收入支出决算表》</w:t>
      </w:r>
    </w:p>
    <w:p w14:paraId="6433A27B">
      <w:pPr>
        <w:spacing w:line="240" w:lineRule="auto"/>
        <w:ind w:firstLine="640"/>
        <w:jc w:val="both"/>
      </w:pPr>
      <w:r>
        <w:rPr>
          <w:rFonts w:ascii="仿宋_GB2312" w:hAnsi="仿宋_GB2312" w:eastAsia="仿宋_GB2312"/>
          <w:b w:val="0"/>
          <w:sz w:val="32"/>
        </w:rPr>
        <w:t>九、《财政拨款“三公”经费支出决算表》</w:t>
      </w:r>
    </w:p>
    <w:p w14:paraId="488BA834">
      <w:pPr>
        <w:spacing w:line="240" w:lineRule="auto"/>
        <w:ind w:firstLine="640"/>
        <w:jc w:val="both"/>
      </w:pPr>
    </w:p>
    <w:p w14:paraId="39207CDE">
      <w:pPr>
        <w:spacing w:line="240" w:lineRule="auto"/>
        <w:ind w:firstLine="640"/>
        <w:jc w:val="both"/>
      </w:pPr>
    </w:p>
    <w:p w14:paraId="109937EA">
      <w:pPr>
        <w:spacing w:line="240" w:lineRule="auto"/>
        <w:ind w:firstLine="640"/>
        <w:jc w:val="both"/>
      </w:pPr>
    </w:p>
    <w:p w14:paraId="618AF3B2">
      <w:pPr>
        <w:spacing w:line="240" w:lineRule="auto"/>
        <w:ind w:firstLine="640"/>
        <w:jc w:val="both"/>
      </w:pPr>
    </w:p>
    <w:p w14:paraId="29B146A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005EF2"/>
    <w:rsid w:val="5D7910EC"/>
    <w:rsid w:val="5FA17648"/>
    <w:rsid w:val="5FD320BD"/>
    <w:rsid w:val="60DE4D57"/>
    <w:rsid w:val="613409CB"/>
    <w:rsid w:val="61A46A97"/>
    <w:rsid w:val="62DD7D21"/>
    <w:rsid w:val="65D97752"/>
    <w:rsid w:val="664C500C"/>
    <w:rsid w:val="677A7351"/>
    <w:rsid w:val="67D111AB"/>
    <w:rsid w:val="68DB0208"/>
    <w:rsid w:val="68DF36D5"/>
    <w:rsid w:val="69846A0E"/>
    <w:rsid w:val="69AD798C"/>
    <w:rsid w:val="6B68175F"/>
    <w:rsid w:val="6B846CFC"/>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7837</Words>
  <Characters>8909</Characters>
  <Lines>0</Lines>
  <Paragraphs>0</Paragraphs>
  <TotalTime>3</TotalTime>
  <ScaleCrop>false</ScaleCrop>
  <LinksUpToDate>false</LinksUpToDate>
  <CharactersWithSpaces>8917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2025-09-16T05:03:22Z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