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轮台县园林绿化服务中心2024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47724E">
      <w:r>
        <w:br w:type="page"/>
      </w:r>
    </w:p>
    <w:p w14:paraId="1E1373C3">
      <w:pPr>
        <w:spacing w:line="640" w:lineRule="exact"/>
        <w:jc w:val="center"/>
        <w:outlineLvl w:val="1"/>
      </w:pPr>
      <w:r>
        <w:rPr>
          <w:rFonts w:ascii="黑体" w:hAnsi="黑体" w:eastAsia="黑体"/>
          <w:sz w:val="32"/>
        </w:rPr>
        <w:t>第一部分 单位概况</w:t>
      </w:r>
    </w:p>
    <w:p w14:paraId="6FB8588A">
      <w:pPr>
        <w:spacing w:line="640" w:lineRule="exact"/>
        <w:ind w:firstLine="640"/>
        <w:jc w:val="both"/>
        <w:outlineLvl w:val="2"/>
      </w:pPr>
      <w:r>
        <w:rPr>
          <w:rFonts w:ascii="黑体" w:hAnsi="黑体" w:eastAsia="黑体"/>
          <w:sz w:val="32"/>
        </w:rPr>
        <w:t>一、主要职能</w:t>
      </w:r>
    </w:p>
    <w:p w14:paraId="48095909">
      <w:pPr>
        <w:spacing w:line="580" w:lineRule="exact"/>
        <w:ind w:firstLine="640"/>
        <w:jc w:val="both"/>
      </w:pPr>
      <w:r>
        <w:rPr>
          <w:rFonts w:ascii="仿宋_GB2312" w:hAnsi="仿宋_GB2312" w:eastAsia="仿宋_GB2312"/>
          <w:sz w:val="32"/>
        </w:rPr>
        <w:t>（一）负责城市绿化法律法规的宣传、贯彻、执行和落实城市园林绿化行业标准。</w:t>
      </w:r>
    </w:p>
    <w:p w14:paraId="5824761A">
      <w:pPr>
        <w:spacing w:line="580" w:lineRule="exact"/>
        <w:ind w:firstLine="640"/>
        <w:jc w:val="both"/>
      </w:pPr>
      <w:r>
        <w:rPr>
          <w:rFonts w:ascii="仿宋_GB2312" w:hAnsi="仿宋_GB2312" w:eastAsia="仿宋_GB2312"/>
          <w:sz w:val="32"/>
        </w:rPr>
        <w:t>（二）负责城市园林绿地系统的规划建设、维护管理工作。组织实施和指导城市绿化建设和管理。组织实施城市公共绿地、防护绿地、生产绿地和风景林地等绿地的建设，参与工程建设项目附属绿化方案的审查、督促、指导。检查居住区绿地以及单位附属绿地、建制镇的绿化。切实加强城市公园、广场、游园、路段绿地的养护管理。</w:t>
      </w:r>
    </w:p>
    <w:p w14:paraId="56CC0EE7">
      <w:pPr>
        <w:spacing w:line="580" w:lineRule="exact"/>
        <w:ind w:firstLine="640"/>
        <w:jc w:val="both"/>
      </w:pPr>
      <w:r>
        <w:rPr>
          <w:rFonts w:ascii="仿宋_GB2312" w:hAnsi="仿宋_GB2312" w:eastAsia="仿宋_GB2312"/>
          <w:sz w:val="32"/>
        </w:rPr>
        <w:t>（三）负责城市古树名木的调查、登记、建档，参加建设项目绿化规划方案的评审。</w:t>
      </w:r>
    </w:p>
    <w:p w14:paraId="5057E240">
      <w:pPr>
        <w:spacing w:line="580" w:lineRule="exact"/>
        <w:ind w:firstLine="640"/>
        <w:jc w:val="both"/>
      </w:pPr>
      <w:r>
        <w:rPr>
          <w:rFonts w:ascii="仿宋_GB2312" w:hAnsi="仿宋_GB2312" w:eastAsia="仿宋_GB2312"/>
          <w:sz w:val="32"/>
        </w:rPr>
        <w:t>（四）协助上级行政主管部门做好城市园林绿化规划编制及城市园林绿化工程设计、城市园林绿化工程绿地指标、移植、砍伐、修剪城市树木和临时占用城市园林绿地的行政许可工作。</w:t>
      </w:r>
    </w:p>
    <w:p w14:paraId="60121F21">
      <w:pPr>
        <w:spacing w:line="580" w:lineRule="exact"/>
        <w:ind w:firstLine="640"/>
        <w:jc w:val="both"/>
      </w:pPr>
      <w:r>
        <w:rPr>
          <w:rFonts w:ascii="仿宋_GB2312" w:hAnsi="仿宋_GB2312" w:eastAsia="仿宋_GB2312"/>
          <w:sz w:val="32"/>
        </w:rPr>
        <w:t>（五）负责城区及乡镇内各单位(小区)的绿化督促、检查和技术指导工作。</w:t>
      </w:r>
    </w:p>
    <w:p w14:paraId="11C74EC6">
      <w:pPr>
        <w:spacing w:line="580" w:lineRule="exact"/>
        <w:ind w:firstLine="640"/>
        <w:jc w:val="both"/>
      </w:pPr>
      <w:r>
        <w:rPr>
          <w:rFonts w:ascii="仿宋_GB2312" w:hAnsi="仿宋_GB2312" w:eastAsia="仿宋_GB2312"/>
          <w:sz w:val="32"/>
        </w:rPr>
        <w:t>（六）负责城区内新建项目绿化规划的前置审批及绿化工程的竣工验收工作。</w:t>
      </w:r>
    </w:p>
    <w:p w14:paraId="1AF80471">
      <w:pPr>
        <w:spacing w:line="580" w:lineRule="exact"/>
        <w:ind w:firstLine="640"/>
        <w:jc w:val="both"/>
      </w:pPr>
      <w:r>
        <w:rPr>
          <w:rFonts w:ascii="仿宋_GB2312" w:hAnsi="仿宋_GB2312" w:eastAsia="仿宋_GB2312"/>
          <w:sz w:val="32"/>
        </w:rPr>
        <w:t>（七）查处城市绿化违法案件。严禁任何单位和个人擅自占用城市绿化用地、损坏城市花草树木、砍伐或迁移古树古木。</w:t>
      </w:r>
    </w:p>
    <w:p w14:paraId="4A1375E0">
      <w:pPr>
        <w:spacing w:line="580" w:lineRule="exact"/>
        <w:ind w:firstLine="640"/>
        <w:jc w:val="both"/>
      </w:pPr>
      <w:r>
        <w:rPr>
          <w:rFonts w:ascii="仿宋_GB2312" w:hAnsi="仿宋_GB2312" w:eastAsia="仿宋_GB2312"/>
          <w:sz w:val="32"/>
        </w:rPr>
        <w:t>（八）对城市绿化方面的违法违章行为进行监察。</w:t>
      </w:r>
    </w:p>
    <w:p w14:paraId="6368AC09">
      <w:pPr>
        <w:spacing w:line="580" w:lineRule="exact"/>
        <w:ind w:firstLine="640"/>
        <w:jc w:val="both"/>
      </w:pPr>
      <w:r>
        <w:rPr>
          <w:rFonts w:ascii="仿宋_GB2312" w:hAnsi="仿宋_GB2312" w:eastAsia="仿宋_GB2312"/>
          <w:sz w:val="32"/>
        </w:rPr>
        <w:t>（九）负责城区内的城市绿化普查，绿化资料的收集、整理、归档工作。</w:t>
      </w:r>
    </w:p>
    <w:p w14:paraId="591CB1D5">
      <w:pPr>
        <w:spacing w:line="640" w:lineRule="exact"/>
        <w:ind w:firstLine="640"/>
        <w:jc w:val="both"/>
        <w:outlineLvl w:val="2"/>
      </w:pPr>
      <w:r>
        <w:rPr>
          <w:rFonts w:ascii="黑体" w:hAnsi="黑体" w:eastAsia="黑体"/>
          <w:sz w:val="32"/>
        </w:rPr>
        <w:t>二、机构设置及人员情况</w:t>
      </w:r>
    </w:p>
    <w:p w14:paraId="024B1F8C">
      <w:pPr>
        <w:spacing w:line="580" w:lineRule="exact"/>
        <w:ind w:firstLine="640"/>
        <w:jc w:val="both"/>
      </w:pPr>
      <w:r>
        <w:rPr>
          <w:rFonts w:ascii="仿宋_GB2312" w:hAnsi="仿宋_GB2312" w:eastAsia="仿宋_GB2312"/>
          <w:sz w:val="32"/>
        </w:rPr>
        <w:t>轮台县园林绿化服务中心2024年度，实有人数9人，其中：在职人员7人，减少1人；离休人员0人，增加0人；退休人员2人,增加0人。</w:t>
      </w:r>
    </w:p>
    <w:p w14:paraId="0390764D">
      <w:pPr>
        <w:spacing w:line="580" w:lineRule="exact"/>
        <w:ind w:firstLine="640"/>
        <w:jc w:val="both"/>
      </w:pPr>
      <w:r>
        <w:rPr>
          <w:rFonts w:ascii="仿宋_GB2312" w:hAnsi="仿宋_GB2312" w:eastAsia="仿宋_GB2312"/>
          <w:sz w:val="32"/>
        </w:rPr>
        <w:t>轮台县园林绿化服务中心无下属预算单位，下设</w:t>
      </w:r>
      <w:r>
        <w:rPr>
          <w:rFonts w:hint="eastAsia" w:ascii="仿宋_GB2312" w:hAnsi="仿宋_GB2312" w:eastAsia="仿宋_GB2312"/>
          <w:sz w:val="32"/>
          <w:lang w:val="en-US" w:eastAsia="zh-CN"/>
        </w:rPr>
        <w:t>0</w:t>
      </w:r>
      <w:r>
        <w:rPr>
          <w:rFonts w:ascii="仿宋_GB2312" w:hAnsi="仿宋_GB2312" w:eastAsia="仿宋_GB2312"/>
          <w:sz w:val="32"/>
        </w:rPr>
        <w:t>个科室，分别是：</w:t>
      </w:r>
      <w:r>
        <w:rPr>
          <w:rFonts w:hint="eastAsia" w:ascii="仿宋_GB2312" w:hAnsi="仿宋_GB2312" w:eastAsia="仿宋_GB2312"/>
          <w:sz w:val="32"/>
          <w:lang w:eastAsia="zh-CN"/>
        </w:rPr>
        <w:t>本单位</w:t>
      </w:r>
      <w:r>
        <w:rPr>
          <w:rFonts w:ascii="仿宋_GB2312" w:hAnsi="仿宋_GB2312" w:eastAsia="仿宋_GB2312"/>
          <w:sz w:val="32"/>
        </w:rPr>
        <w:t>无下设</w:t>
      </w:r>
      <w:r>
        <w:rPr>
          <w:rFonts w:hint="eastAsia" w:ascii="仿宋_GB2312" w:hAnsi="仿宋_GB2312" w:eastAsia="仿宋_GB2312"/>
          <w:sz w:val="32"/>
          <w:lang w:val="en-US" w:eastAsia="zh-CN"/>
        </w:rPr>
        <w:t>科</w:t>
      </w:r>
      <w:r>
        <w:rPr>
          <w:rFonts w:ascii="仿宋_GB2312" w:hAnsi="仿宋_GB2312" w:eastAsia="仿宋_GB2312"/>
          <w:sz w:val="32"/>
        </w:rPr>
        <w:t>室。</w:t>
      </w:r>
    </w:p>
    <w:p w14:paraId="57A55EDA">
      <w:r>
        <w:br w:type="page"/>
      </w:r>
    </w:p>
    <w:p w14:paraId="6B109500">
      <w:pPr>
        <w:spacing w:line="240" w:lineRule="auto"/>
        <w:jc w:val="center"/>
        <w:outlineLvl w:val="1"/>
      </w:pPr>
      <w:r>
        <w:rPr>
          <w:rFonts w:ascii="黑体" w:hAnsi="黑体" w:eastAsia="黑体"/>
          <w:sz w:val="32"/>
        </w:rPr>
        <w:t>第二部分 部门决算情况说明</w:t>
      </w:r>
    </w:p>
    <w:p w14:paraId="1A8313C6">
      <w:pPr>
        <w:spacing w:line="640" w:lineRule="exact"/>
        <w:ind w:firstLine="640"/>
        <w:jc w:val="both"/>
        <w:outlineLvl w:val="2"/>
      </w:pPr>
      <w:r>
        <w:rPr>
          <w:rFonts w:ascii="黑体" w:hAnsi="黑体" w:eastAsia="黑体"/>
          <w:sz w:val="32"/>
        </w:rPr>
        <w:t>一、收入支出决算总体情况说明</w:t>
      </w:r>
    </w:p>
    <w:p w14:paraId="67A5BCF1">
      <w:pPr>
        <w:spacing w:line="580" w:lineRule="exact"/>
        <w:ind w:firstLine="640"/>
        <w:jc w:val="both"/>
      </w:pPr>
      <w:r>
        <w:rPr>
          <w:rFonts w:ascii="仿宋_GB2312" w:hAnsi="仿宋_GB2312" w:eastAsia="仿宋_GB2312"/>
          <w:b/>
          <w:sz w:val="32"/>
        </w:rPr>
        <w:t>2024年度收入总计826.91万元，</w:t>
      </w:r>
      <w:r>
        <w:rPr>
          <w:rFonts w:ascii="仿宋_GB2312" w:hAnsi="仿宋_GB2312" w:eastAsia="仿宋_GB2312"/>
          <w:b w:val="0"/>
          <w:sz w:val="32"/>
        </w:rPr>
        <w:t>其中：本年收入合计823.28万元，使用非财政拨款结余（含专用结余）0.00万元，年初结转和结余3.63万元。</w:t>
      </w:r>
    </w:p>
    <w:p w14:paraId="353E8FF4">
      <w:pPr>
        <w:spacing w:line="580" w:lineRule="exact"/>
        <w:ind w:firstLine="640"/>
        <w:jc w:val="both"/>
      </w:pPr>
      <w:r>
        <w:rPr>
          <w:rFonts w:ascii="仿宋_GB2312" w:hAnsi="仿宋_GB2312" w:eastAsia="仿宋_GB2312"/>
          <w:b/>
          <w:sz w:val="32"/>
        </w:rPr>
        <w:t>2024年度支出总计826.91万元，</w:t>
      </w:r>
      <w:r>
        <w:rPr>
          <w:rFonts w:ascii="仿宋_GB2312" w:hAnsi="仿宋_GB2312" w:eastAsia="仿宋_GB2312"/>
          <w:b w:val="0"/>
          <w:sz w:val="32"/>
        </w:rPr>
        <w:t>其中：本年支出合计823.19万元，结余分配0.00万元，年末结转和结余3.71万元。</w:t>
      </w:r>
    </w:p>
    <w:p w14:paraId="1B5455EF">
      <w:pPr>
        <w:spacing w:line="580" w:lineRule="exact"/>
        <w:ind w:firstLine="640"/>
        <w:jc w:val="both"/>
      </w:pPr>
      <w:r>
        <w:rPr>
          <w:rFonts w:ascii="仿宋_GB2312" w:hAnsi="仿宋_GB2312" w:eastAsia="仿宋_GB2312"/>
          <w:b w:val="0"/>
          <w:sz w:val="32"/>
        </w:rPr>
        <w:t>收入支出总体与上年相比，增加46.48万元，增长5.96%，主要原因是：本年增加园林中心2012年至2023年绿化用水费用，导致经费较上年增加。</w:t>
      </w:r>
    </w:p>
    <w:p w14:paraId="0ED6069A">
      <w:pPr>
        <w:spacing w:line="640" w:lineRule="exact"/>
        <w:ind w:firstLine="640"/>
        <w:jc w:val="both"/>
        <w:outlineLvl w:val="2"/>
      </w:pPr>
      <w:r>
        <w:rPr>
          <w:rFonts w:ascii="黑体" w:hAnsi="黑体" w:eastAsia="黑体"/>
          <w:sz w:val="32"/>
        </w:rPr>
        <w:t>二、收入决算情况说明</w:t>
      </w:r>
    </w:p>
    <w:p w14:paraId="061906BC">
      <w:pPr>
        <w:spacing w:line="580" w:lineRule="exact"/>
        <w:ind w:firstLine="640"/>
        <w:jc w:val="both"/>
      </w:pPr>
      <w:r>
        <w:rPr>
          <w:rFonts w:ascii="仿宋_GB2312" w:hAnsi="仿宋_GB2312" w:eastAsia="仿宋_GB2312"/>
          <w:b/>
          <w:sz w:val="32"/>
        </w:rPr>
        <w:t>本年收入823.28万元，</w:t>
      </w:r>
      <w:r>
        <w:rPr>
          <w:rFonts w:ascii="仿宋_GB2312" w:hAnsi="仿宋_GB2312" w:eastAsia="仿宋_GB2312"/>
          <w:b w:val="0"/>
          <w:sz w:val="32"/>
        </w:rPr>
        <w:t>其中：财政拨款收入823.18万元，占99.99%；上级补助收入0.00万元，占0.00%；事业收入0.00万元，占0.00%；经营收入0.00万元，占0.00%；附属单位上缴收入0.00万元，占0.00%；其他收入0.09万元，占0.01%。</w:t>
      </w:r>
    </w:p>
    <w:p w14:paraId="002FF3E4">
      <w:pPr>
        <w:spacing w:line="640" w:lineRule="exact"/>
        <w:ind w:firstLine="640"/>
        <w:jc w:val="both"/>
        <w:outlineLvl w:val="2"/>
      </w:pPr>
      <w:r>
        <w:rPr>
          <w:rFonts w:ascii="黑体" w:hAnsi="黑体" w:eastAsia="黑体"/>
          <w:sz w:val="32"/>
        </w:rPr>
        <w:t>三、支出决算情况说明</w:t>
      </w:r>
    </w:p>
    <w:p w14:paraId="2708A02C">
      <w:pPr>
        <w:spacing w:line="580" w:lineRule="exact"/>
        <w:ind w:firstLine="640"/>
        <w:jc w:val="both"/>
      </w:pPr>
      <w:r>
        <w:rPr>
          <w:rFonts w:ascii="仿宋_GB2312" w:hAnsi="仿宋_GB2312" w:eastAsia="仿宋_GB2312"/>
          <w:b/>
          <w:sz w:val="32"/>
        </w:rPr>
        <w:t>本年支出823.19万元，</w:t>
      </w:r>
      <w:r>
        <w:rPr>
          <w:rFonts w:ascii="仿宋_GB2312" w:hAnsi="仿宋_GB2312" w:eastAsia="仿宋_GB2312"/>
          <w:b w:val="0"/>
          <w:sz w:val="32"/>
        </w:rPr>
        <w:t>其中：基本支出823.19万元，占100.00%；项目支出0.00万元，占0.00%；上缴上级支出0.00万元，占0.00%；经营支出0.00万元，占0.00%；对附属单位补助支出0.00万元，占0.00%。</w:t>
      </w:r>
    </w:p>
    <w:p w14:paraId="0A31AB26">
      <w:pPr>
        <w:spacing w:line="640" w:lineRule="exact"/>
        <w:ind w:firstLine="640"/>
        <w:jc w:val="both"/>
        <w:outlineLvl w:val="2"/>
      </w:pPr>
      <w:r>
        <w:rPr>
          <w:rFonts w:ascii="黑体" w:hAnsi="黑体" w:eastAsia="黑体"/>
          <w:sz w:val="32"/>
        </w:rPr>
        <w:t>四、财政拨款收入支出决算总体情况说明</w:t>
      </w:r>
    </w:p>
    <w:p w14:paraId="6A21F341">
      <w:pPr>
        <w:spacing w:line="580" w:lineRule="exact"/>
        <w:ind w:firstLine="640"/>
        <w:jc w:val="both"/>
      </w:pPr>
      <w:r>
        <w:rPr>
          <w:rFonts w:ascii="仿宋_GB2312" w:hAnsi="仿宋_GB2312" w:eastAsia="仿宋_GB2312"/>
          <w:b/>
          <w:sz w:val="32"/>
        </w:rPr>
        <w:t>2024年度财政拨款收入总计823.18万元，</w:t>
      </w:r>
      <w:r>
        <w:rPr>
          <w:rFonts w:ascii="仿宋_GB2312" w:hAnsi="仿宋_GB2312" w:eastAsia="仿宋_GB2312"/>
          <w:b w:val="0"/>
          <w:sz w:val="32"/>
        </w:rPr>
        <w:t>其中：年初财政拨款结转和结余0.00万元，本年财政拨款收入823.18万元。</w:t>
      </w:r>
      <w:r>
        <w:rPr>
          <w:rFonts w:ascii="仿宋_GB2312" w:hAnsi="仿宋_GB2312" w:eastAsia="仿宋_GB2312"/>
          <w:b/>
          <w:sz w:val="32"/>
        </w:rPr>
        <w:t>财政拨款支出总计823.18万元，</w:t>
      </w:r>
      <w:r>
        <w:rPr>
          <w:rFonts w:ascii="仿宋_GB2312" w:hAnsi="仿宋_GB2312" w:eastAsia="仿宋_GB2312"/>
          <w:b w:val="0"/>
          <w:sz w:val="32"/>
        </w:rPr>
        <w:t>其中：年末财政拨款结转和结余0.00万元，本年财政拨款支出823.18万元。</w:t>
      </w:r>
    </w:p>
    <w:p w14:paraId="7CD067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增加44.12万元，增长5.66%，主要原因是：本年增加园林中心2012年至2023年绿化用水费用，导致经费较上年增加。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年初预算数107.18万元，决算数823.18万元，预决算差异率668.04%，主要原因是：年中追加人员工资、社保、公积金基数调增部分资金，年中追加2012年-202</w:t>
      </w:r>
      <w:r>
        <w:rPr>
          <w:rFonts w:hint="eastAsia" w:ascii="仿宋_GB2312" w:hAnsi="仿宋_GB2312" w:eastAsia="仿宋_GB2312"/>
          <w:b w:val="0"/>
          <w:sz w:val="32"/>
          <w:lang w:val="en-US" w:eastAsia="zh-CN"/>
        </w:rPr>
        <w:t>3</w:t>
      </w:r>
      <w:r>
        <w:rPr>
          <w:rFonts w:ascii="仿宋_GB2312" w:hAnsi="仿宋_GB2312" w:eastAsia="仿宋_GB2312"/>
          <w:b w:val="0"/>
          <w:sz w:val="32"/>
        </w:rPr>
        <w:t>年绿化水费、2022年、2024年购买农药、肥料资金、2023年法桐所需防寒包裹棉毡费等，导致预决算存在差异。</w:t>
      </w:r>
    </w:p>
    <w:p w14:paraId="0592DF63">
      <w:pPr>
        <w:spacing w:line="640" w:lineRule="exact"/>
        <w:ind w:firstLine="640"/>
        <w:jc w:val="both"/>
        <w:outlineLvl w:val="2"/>
      </w:pPr>
      <w:r>
        <w:rPr>
          <w:rFonts w:ascii="黑体" w:hAnsi="黑体" w:eastAsia="黑体"/>
          <w:sz w:val="32"/>
        </w:rPr>
        <w:t>五、一般公共预算财政拨款支出决算情况说明</w:t>
      </w:r>
    </w:p>
    <w:p w14:paraId="37DD7BA2">
      <w:pPr>
        <w:spacing w:line="640" w:lineRule="exact"/>
        <w:ind w:firstLine="640"/>
        <w:jc w:val="both"/>
        <w:outlineLvl w:val="3"/>
      </w:pPr>
      <w:r>
        <w:rPr>
          <w:rFonts w:ascii="楷体_GB2312" w:hAnsi="楷体_GB2312" w:eastAsia="楷体_GB2312"/>
          <w:b/>
          <w:sz w:val="32"/>
        </w:rPr>
        <w:t>（一）一般公共预算财政拨款支出决算总体情况</w:t>
      </w:r>
    </w:p>
    <w:p w14:paraId="6203E17A">
      <w:pPr>
        <w:spacing w:line="580" w:lineRule="exact"/>
        <w:ind w:firstLine="640"/>
        <w:jc w:val="both"/>
      </w:pPr>
      <w:r>
        <w:rPr>
          <w:rFonts w:ascii="仿宋_GB2312" w:hAnsi="仿宋_GB2312" w:eastAsia="仿宋_GB2312"/>
          <w:b/>
          <w:sz w:val="32"/>
        </w:rPr>
        <w:t>2024年度一般公共预算财政拨款支出623.18万元，</w:t>
      </w:r>
      <w:r>
        <w:rPr>
          <w:rFonts w:ascii="仿宋_GB2312" w:hAnsi="仿宋_GB2312" w:eastAsia="仿宋_GB2312"/>
          <w:b w:val="0"/>
          <w:sz w:val="32"/>
        </w:rPr>
        <w:t>占本年支出合计的75.70%。</w:t>
      </w:r>
      <w:r>
        <w:rPr>
          <w:rFonts w:ascii="仿宋_GB2312" w:hAnsi="仿宋_GB2312" w:eastAsia="仿宋_GB2312"/>
          <w:b/>
          <w:sz w:val="32"/>
        </w:rPr>
        <w:t>与上年相比，</w:t>
      </w:r>
      <w:r>
        <w:rPr>
          <w:rFonts w:ascii="仿宋_GB2312" w:hAnsi="仿宋_GB2312" w:eastAsia="仿宋_GB2312"/>
          <w:b w:val="0"/>
          <w:sz w:val="32"/>
        </w:rPr>
        <w:t>减少155.88万元，下降20.01%，主要原因是：本年减少法检小区停车场工程、基地院内绿化管道及安装抢修工程等项目支出。</w:t>
      </w:r>
      <w:r>
        <w:rPr>
          <w:rFonts w:ascii="仿宋_GB2312" w:hAnsi="仿宋_GB2312" w:eastAsia="仿宋_GB2312"/>
          <w:b/>
          <w:sz w:val="32"/>
        </w:rPr>
        <w:t>与年初预算相比,</w:t>
      </w:r>
      <w:r>
        <w:rPr>
          <w:rFonts w:ascii="仿宋_GB2312" w:hAnsi="仿宋_GB2312" w:eastAsia="仿宋_GB2312"/>
          <w:b w:val="0"/>
          <w:sz w:val="32"/>
        </w:rPr>
        <w:t>年初预算数107.18万元，决算数623.18万元，预决算差异率481.43%，主要原因是：年中追加人员工资、社保、公积金基数调增部分资金，年中追加2022年、2024年购买农药、肥料资金、2023年法桐所需防寒包裹棉毡费等，导致预决算存在差异。</w:t>
      </w:r>
    </w:p>
    <w:p w14:paraId="3A1554B6">
      <w:pPr>
        <w:spacing w:line="640" w:lineRule="exact"/>
        <w:ind w:firstLine="640"/>
        <w:jc w:val="both"/>
        <w:outlineLvl w:val="3"/>
      </w:pPr>
      <w:r>
        <w:rPr>
          <w:rFonts w:ascii="楷体_GB2312" w:hAnsi="楷体_GB2312" w:eastAsia="楷体_GB2312"/>
          <w:b/>
          <w:sz w:val="32"/>
        </w:rPr>
        <w:t>（二）一般公共预算财政拨款支出决算结构情况</w:t>
      </w:r>
    </w:p>
    <w:p w14:paraId="46FE991A">
      <w:pPr>
        <w:spacing w:line="580" w:lineRule="exact"/>
        <w:ind w:firstLine="640"/>
        <w:jc w:val="both"/>
      </w:pPr>
      <w:r>
        <w:rPr>
          <w:rFonts w:ascii="仿宋_GB2312" w:hAnsi="仿宋_GB2312" w:eastAsia="仿宋_GB2312"/>
          <w:b w:val="0"/>
          <w:sz w:val="32"/>
        </w:rPr>
        <w:t>1.社会保障和就业支出(类)15.63万元,占2.51%。</w:t>
      </w:r>
    </w:p>
    <w:p w14:paraId="397818A2">
      <w:pPr>
        <w:spacing w:line="580" w:lineRule="exact"/>
        <w:ind w:firstLine="640"/>
        <w:jc w:val="both"/>
      </w:pPr>
      <w:r>
        <w:rPr>
          <w:rFonts w:ascii="仿宋_GB2312" w:hAnsi="仿宋_GB2312" w:eastAsia="仿宋_GB2312"/>
          <w:b w:val="0"/>
          <w:sz w:val="32"/>
        </w:rPr>
        <w:t>2.卫生健康支出(类)6.38万元,占1.02%。</w:t>
      </w:r>
    </w:p>
    <w:p w14:paraId="46F57A02">
      <w:pPr>
        <w:spacing w:line="580" w:lineRule="exact"/>
        <w:ind w:firstLine="640"/>
        <w:jc w:val="both"/>
      </w:pPr>
      <w:r>
        <w:rPr>
          <w:rFonts w:ascii="仿宋_GB2312" w:hAnsi="仿宋_GB2312" w:eastAsia="仿宋_GB2312"/>
          <w:b w:val="0"/>
          <w:sz w:val="32"/>
        </w:rPr>
        <w:t>3.城乡社区支出(类)590.56万元,占94.77%。</w:t>
      </w:r>
    </w:p>
    <w:p w14:paraId="43073339">
      <w:pPr>
        <w:spacing w:line="580" w:lineRule="exact"/>
        <w:ind w:firstLine="640"/>
        <w:jc w:val="both"/>
      </w:pPr>
      <w:r>
        <w:rPr>
          <w:rFonts w:ascii="仿宋_GB2312" w:hAnsi="仿宋_GB2312" w:eastAsia="仿宋_GB2312"/>
          <w:b w:val="0"/>
          <w:sz w:val="32"/>
        </w:rPr>
        <w:t>4.住房保障支出(类)10.61万元,占1.70%。</w:t>
      </w:r>
    </w:p>
    <w:p w14:paraId="2963C812">
      <w:pPr>
        <w:spacing w:line="640" w:lineRule="exact"/>
        <w:ind w:firstLine="640"/>
        <w:jc w:val="both"/>
        <w:outlineLvl w:val="3"/>
      </w:pPr>
      <w:r>
        <w:rPr>
          <w:rFonts w:ascii="楷体_GB2312" w:hAnsi="楷体_GB2312" w:eastAsia="楷体_GB2312"/>
          <w:b/>
          <w:sz w:val="32"/>
        </w:rPr>
        <w:t>（三）一般公共预算财政拨款支出决算具体情况</w:t>
      </w:r>
    </w:p>
    <w:p w14:paraId="69BAB3A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1.社会保障和就业支出(类)行政事业单位养老支出(款)事业单位离退休(项):支出决算数为1.53万元，比上年决算增加0.42万元，增长37.84%,主要原因是：本年增加退休人员基础绩效奖，退休费支出增加。</w:t>
      </w:r>
    </w:p>
    <w:p w14:paraId="5F0CDBE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14.10万元，比上年决算增加2.87万元，增长25.56%,主要原因是：本年在职人员工资基数调增，养老缴费基数上涨，相应支出增加。</w:t>
      </w:r>
    </w:p>
    <w:p w14:paraId="35564FF4">
      <w:pPr>
        <w:spacing w:line="580" w:lineRule="exact"/>
        <w:ind w:firstLine="640"/>
        <w:jc w:val="both"/>
      </w:pPr>
      <w:r>
        <w:rPr>
          <w:rFonts w:ascii="仿宋_GB2312" w:hAnsi="仿宋_GB2312" w:eastAsia="仿宋_GB2312"/>
          <w:b w:val="0"/>
          <w:sz w:val="32"/>
        </w:rPr>
        <w:t>3.卫生健康支出(类)行政事业单位医疗(款)事业单位医疗(项):支出决算数为6.38万元，比上年决算增加1.23万元，增长23.88%,主要原因是：本年在职人员工资基数调增，医疗缴费基数上涨，相应支出增加。</w:t>
      </w:r>
    </w:p>
    <w:p w14:paraId="7AE6383B">
      <w:pPr>
        <w:spacing w:line="580" w:lineRule="exact"/>
        <w:ind w:firstLine="640"/>
        <w:jc w:val="both"/>
      </w:pPr>
      <w:r>
        <w:rPr>
          <w:rFonts w:ascii="仿宋_GB2312" w:hAnsi="仿宋_GB2312" w:eastAsia="仿宋_GB2312"/>
          <w:b w:val="0"/>
          <w:sz w:val="32"/>
        </w:rPr>
        <w:t>4.城乡社区支出(类)城乡社区公共设施(款)其他城乡社区公共设施支出(项):支出决算数为0.00万元，比上年决算减少141.75万元，下降100.00%,主要原因是：本年减少法检小区停车场工程、基地院内绿化管道及安装抢修工程等项目支出。</w:t>
      </w:r>
    </w:p>
    <w:p w14:paraId="4E322B5A">
      <w:pPr>
        <w:spacing w:line="580" w:lineRule="exact"/>
        <w:ind w:firstLine="640"/>
        <w:jc w:val="both"/>
      </w:pPr>
      <w:r>
        <w:rPr>
          <w:rFonts w:ascii="仿宋_GB2312" w:hAnsi="仿宋_GB2312" w:eastAsia="仿宋_GB2312"/>
          <w:b w:val="0"/>
          <w:sz w:val="32"/>
        </w:rPr>
        <w:t>5.城乡社区支出(类)城乡社区环境卫生(款)城乡社区环境卫生(项):支出决算数为590.56万元，比上年决算减少7.82万元，下降1.31%,主要原因是：本年减少国家园林城市复查资料项目支出。</w:t>
      </w:r>
    </w:p>
    <w:p w14:paraId="3107E38E">
      <w:pPr>
        <w:spacing w:line="580" w:lineRule="exact"/>
        <w:ind w:firstLine="640"/>
        <w:jc w:val="both"/>
      </w:pPr>
      <w:r>
        <w:rPr>
          <w:rFonts w:ascii="仿宋_GB2312" w:hAnsi="仿宋_GB2312" w:eastAsia="仿宋_GB2312"/>
          <w:b w:val="0"/>
          <w:sz w:val="32"/>
        </w:rPr>
        <w:t>6.住房保障支出(类)住房改革支出(款)住房公积金(项):支出决算数为10.61万元，比上年决算增加1.18万元，增长12.51%,主要原因是：本年在职人员工资基数调增，公积金缴费基数上涨，相应支出增加。</w:t>
      </w:r>
    </w:p>
    <w:p w14:paraId="23F55CF5">
      <w:pPr>
        <w:spacing w:line="580" w:lineRule="exact"/>
        <w:ind w:firstLine="640"/>
        <w:jc w:val="both"/>
      </w:pPr>
      <w:r>
        <w:rPr>
          <w:rFonts w:ascii="仿宋_GB2312" w:hAnsi="仿宋_GB2312" w:eastAsia="仿宋_GB2312"/>
          <w:b w:val="0"/>
          <w:sz w:val="32"/>
        </w:rPr>
        <w:t>7.住房保障支出(类)城乡社区住宅(款)其他城乡社区住宅支出(项):支出决算数为0.00万元，比上年决算减少12.01万元，下降100.00%,主要原因是：本年减少园林处管道抢修工程项目支出。</w:t>
      </w:r>
    </w:p>
    <w:p w14:paraId="6575FC2F">
      <w:pPr>
        <w:spacing w:line="640" w:lineRule="exact"/>
        <w:ind w:firstLine="640"/>
        <w:jc w:val="both"/>
        <w:outlineLvl w:val="2"/>
      </w:pPr>
      <w:r>
        <w:rPr>
          <w:rFonts w:ascii="黑体" w:hAnsi="黑体" w:eastAsia="黑体"/>
          <w:sz w:val="32"/>
        </w:rPr>
        <w:t>六、一般公共预算财政拨款基本支出决算情况说明</w:t>
      </w:r>
    </w:p>
    <w:p w14:paraId="14A6B0FD">
      <w:pPr>
        <w:spacing w:line="580" w:lineRule="exact"/>
        <w:ind w:firstLine="640"/>
        <w:jc w:val="both"/>
      </w:pPr>
      <w:r>
        <w:rPr>
          <w:rFonts w:ascii="仿宋_GB2312" w:hAnsi="仿宋_GB2312" w:eastAsia="仿宋_GB2312"/>
          <w:b w:val="0"/>
          <w:sz w:val="32"/>
        </w:rPr>
        <w:t>2024年度一般公共预算财政拨款基本支出623.18万元，其中：</w:t>
      </w:r>
      <w:r>
        <w:rPr>
          <w:rFonts w:ascii="仿宋_GB2312" w:hAnsi="仿宋_GB2312" w:eastAsia="仿宋_GB2312"/>
          <w:b/>
          <w:sz w:val="32"/>
        </w:rPr>
        <w:t>人员经费126.84万元，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14:paraId="51A8DD8E">
      <w:pPr>
        <w:spacing w:line="580" w:lineRule="exact"/>
        <w:ind w:firstLine="640"/>
        <w:jc w:val="both"/>
      </w:pPr>
      <w:r>
        <w:rPr>
          <w:rFonts w:ascii="仿宋_GB2312" w:hAnsi="仿宋_GB2312" w:eastAsia="仿宋_GB2312"/>
          <w:b/>
          <w:sz w:val="32"/>
        </w:rPr>
        <w:t>公用经费496.34万元，</w:t>
      </w:r>
      <w:r>
        <w:rPr>
          <w:rFonts w:ascii="仿宋_GB2312" w:hAnsi="仿宋_GB2312" w:eastAsia="仿宋_GB2312"/>
          <w:b w:val="0"/>
          <w:sz w:val="32"/>
        </w:rPr>
        <w:t>包括：办公费、水费、电费、邮电费、维修（护）费、专用材料费、其他交通费用。</w:t>
      </w:r>
    </w:p>
    <w:p w14:paraId="75D22918">
      <w:pPr>
        <w:spacing w:line="640" w:lineRule="exact"/>
        <w:ind w:firstLine="640"/>
        <w:jc w:val="both"/>
        <w:outlineLvl w:val="2"/>
      </w:pPr>
      <w:r>
        <w:rPr>
          <w:rFonts w:ascii="黑体" w:hAnsi="黑体" w:eastAsia="黑体"/>
          <w:sz w:val="32"/>
        </w:rPr>
        <w:t>七、政府性基金预算财政拨款收入支出决算情况说明</w:t>
      </w:r>
    </w:p>
    <w:p w14:paraId="1E62818A">
      <w:pPr>
        <w:spacing w:line="580" w:lineRule="exact"/>
        <w:ind w:firstLine="640"/>
        <w:jc w:val="both"/>
      </w:pPr>
      <w:r>
        <w:rPr>
          <w:rFonts w:ascii="仿宋_GB2312" w:hAnsi="仿宋_GB2312" w:eastAsia="仿宋_GB2312"/>
          <w:b/>
          <w:sz w:val="32"/>
        </w:rPr>
        <w:t>2024年度政府性基金预算财政拨款收入总计200.00万元，</w:t>
      </w:r>
      <w:r>
        <w:rPr>
          <w:rFonts w:ascii="仿宋_GB2312" w:hAnsi="仿宋_GB2312" w:eastAsia="仿宋_GB2312"/>
          <w:b w:val="0"/>
          <w:sz w:val="32"/>
        </w:rPr>
        <w:t>其中：年初结转和结余0.00万元，本年收入200.00万元。</w:t>
      </w:r>
      <w:r>
        <w:rPr>
          <w:rFonts w:ascii="仿宋_GB2312" w:hAnsi="仿宋_GB2312" w:eastAsia="仿宋_GB2312"/>
          <w:b/>
          <w:sz w:val="32"/>
        </w:rPr>
        <w:t>政府性基金预算财政拨款支出总计200.00万元，</w:t>
      </w:r>
      <w:r>
        <w:rPr>
          <w:rFonts w:ascii="仿宋_GB2312" w:hAnsi="仿宋_GB2312" w:eastAsia="仿宋_GB2312"/>
          <w:b w:val="0"/>
          <w:sz w:val="32"/>
        </w:rPr>
        <w:t>其中：年末结转和结余0.00万元，本年支出200.00万元。</w:t>
      </w:r>
    </w:p>
    <w:p w14:paraId="5A3FD7C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增加200.00万元，增长100.00%，主要原因是：本年增加园林中心2012年至2023年绿化用水费用支出。</w:t>
      </w:r>
      <w:r>
        <w:rPr>
          <w:rFonts w:ascii="仿宋_GB2312" w:hAnsi="仿宋_GB2312" w:eastAsia="仿宋_GB2312"/>
          <w:b/>
          <w:sz w:val="32"/>
        </w:rPr>
        <w:t>与年初预算相比，</w:t>
      </w:r>
      <w:r>
        <w:rPr>
          <w:rFonts w:ascii="仿宋_GB2312" w:hAnsi="仿宋_GB2312" w:eastAsia="仿宋_GB2312"/>
          <w:b w:val="0"/>
          <w:sz w:val="32"/>
        </w:rPr>
        <w:t>年初预算数0.00万元，决算数200.00万元，预决算差异率100.00%，主要原因是：年中追加园林中心2012年至2023年绿化用水费用，导致预决算存在差异。</w:t>
      </w:r>
    </w:p>
    <w:p w14:paraId="2BE4AFDC">
      <w:pPr>
        <w:spacing w:line="580" w:lineRule="exact"/>
        <w:ind w:firstLine="640"/>
        <w:jc w:val="both"/>
      </w:pPr>
      <w:r>
        <w:rPr>
          <w:rFonts w:ascii="仿宋_GB2312" w:hAnsi="仿宋_GB2312" w:eastAsia="仿宋_GB2312"/>
          <w:b w:val="0"/>
          <w:sz w:val="32"/>
        </w:rPr>
        <w:t>政府性基金预算财政拨款支出200.00万元。</w:t>
      </w:r>
    </w:p>
    <w:p w14:paraId="3EF3AF2D">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1.城乡社区支出(类)国有土地使用权出让收入安排的支出(款)城市建设支出(项):支出决算数为200.00万元，比上年决算增加200.00万元，增长100.00%,主要原因是：本年增加园林中心2012年至2023年绿化用水费用支出。</w:t>
      </w:r>
    </w:p>
    <w:p w14:paraId="5D73382F">
      <w:pPr>
        <w:spacing w:line="640" w:lineRule="exact"/>
        <w:ind w:firstLine="640"/>
        <w:jc w:val="both"/>
        <w:outlineLvl w:val="2"/>
      </w:pPr>
      <w:r>
        <w:rPr>
          <w:rFonts w:ascii="黑体" w:hAnsi="黑体" w:eastAsia="黑体"/>
          <w:sz w:val="32"/>
        </w:rPr>
        <w:t>八、国有资本经营预算财政拨款收入支出决算情况说明</w:t>
      </w:r>
    </w:p>
    <w:p w14:paraId="6CC054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E71D401">
      <w:pPr>
        <w:spacing w:line="640" w:lineRule="exact"/>
        <w:ind w:firstLine="640"/>
        <w:jc w:val="both"/>
        <w:outlineLvl w:val="2"/>
      </w:pPr>
      <w:r>
        <w:rPr>
          <w:rFonts w:ascii="黑体" w:hAnsi="黑体" w:eastAsia="黑体"/>
          <w:sz w:val="32"/>
        </w:rPr>
        <w:t>九、财政拨款“三公”经费支出决算情况说明</w:t>
      </w:r>
    </w:p>
    <w:p w14:paraId="1F62A6A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B68D3A8">
      <w:pPr>
        <w:spacing w:line="580" w:lineRule="exact"/>
        <w:ind w:firstLine="640"/>
        <w:jc w:val="both"/>
      </w:pPr>
      <w:r>
        <w:rPr>
          <w:rFonts w:ascii="仿宋_GB2312" w:hAnsi="仿宋_GB2312" w:eastAsia="仿宋_GB2312"/>
          <w:b/>
          <w:sz w:val="32"/>
        </w:rPr>
        <w:t>具体情况如下：</w:t>
      </w:r>
    </w:p>
    <w:p w14:paraId="404E14F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6C25B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B35F49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B8485B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1DB180">
      <w:pPr>
        <w:spacing w:line="640" w:lineRule="exact"/>
        <w:ind w:firstLine="640"/>
        <w:jc w:val="both"/>
        <w:outlineLvl w:val="2"/>
      </w:pPr>
      <w:r>
        <w:rPr>
          <w:rFonts w:ascii="黑体" w:hAnsi="黑体" w:eastAsia="黑体"/>
          <w:sz w:val="32"/>
        </w:rPr>
        <w:t>十、其他重要事项的情况说明</w:t>
      </w:r>
    </w:p>
    <w:p w14:paraId="7D3290B1">
      <w:pPr>
        <w:spacing w:line="640" w:lineRule="exact"/>
        <w:ind w:firstLine="640"/>
        <w:jc w:val="both"/>
        <w:outlineLvl w:val="3"/>
      </w:pPr>
      <w:r>
        <w:rPr>
          <w:rFonts w:ascii="楷体_GB2312" w:hAnsi="楷体_GB2312" w:eastAsia="楷体_GB2312"/>
          <w:b/>
          <w:sz w:val="32"/>
        </w:rPr>
        <w:t>（一）机关运行经费及公用经费支出情况</w:t>
      </w:r>
    </w:p>
    <w:p w14:paraId="24998A65">
      <w:pPr>
        <w:spacing w:line="580" w:lineRule="exact"/>
        <w:ind w:firstLine="640"/>
        <w:jc w:val="both"/>
      </w:pPr>
      <w:r>
        <w:rPr>
          <w:rFonts w:ascii="仿宋_GB2312" w:hAnsi="仿宋_GB2312" w:eastAsia="仿宋_GB2312"/>
          <w:b w:val="0"/>
          <w:sz w:val="32"/>
        </w:rPr>
        <w:t>2024年度轮台县园林绿化服务中心（事业单位）公用经费支出696.34万元，比上年增加33.12万元，增长4.99%，主要原因是：本年更新、维护补充办公用品，导致公用经费较上年增加。</w:t>
      </w:r>
    </w:p>
    <w:p w14:paraId="63485F26">
      <w:pPr>
        <w:spacing w:line="640" w:lineRule="exact"/>
        <w:ind w:firstLine="640"/>
        <w:jc w:val="both"/>
        <w:outlineLvl w:val="3"/>
      </w:pPr>
      <w:r>
        <w:rPr>
          <w:rFonts w:ascii="楷体_GB2312" w:hAnsi="楷体_GB2312" w:eastAsia="楷体_GB2312"/>
          <w:b/>
          <w:sz w:val="32"/>
        </w:rPr>
        <w:t>（二）政府采购情况</w:t>
      </w:r>
    </w:p>
    <w:p w14:paraId="5845947F">
      <w:pPr>
        <w:spacing w:line="580" w:lineRule="exact"/>
        <w:ind w:firstLine="640"/>
        <w:jc w:val="both"/>
      </w:pPr>
      <w:r>
        <w:rPr>
          <w:rFonts w:ascii="仿宋_GB2312" w:hAnsi="仿宋_GB2312" w:eastAsia="仿宋_GB2312"/>
          <w:b w:val="0"/>
          <w:sz w:val="32"/>
        </w:rPr>
        <w:t>2024年度政府采购支出总额285.08万元，其中：政府采购货物支出220.33万元、政府采购工程支出0.00万元、政府采购服务支出64.76万元。</w:t>
      </w:r>
    </w:p>
    <w:p w14:paraId="378F5300">
      <w:pPr>
        <w:spacing w:line="580" w:lineRule="exact"/>
        <w:ind w:firstLine="640"/>
        <w:jc w:val="both"/>
      </w:pPr>
      <w:r>
        <w:rPr>
          <w:rFonts w:ascii="仿宋_GB2312" w:hAnsi="仿宋_GB2312" w:eastAsia="仿宋_GB2312"/>
          <w:b w:val="0"/>
          <w:sz w:val="32"/>
        </w:rPr>
        <w:t>授予中小企业合同金额285.08万元，占政府采购支出总额的100.00%，其中：授予小微企业合同金额220.96万元，占政府采购支出总额的77.51%。</w:t>
      </w:r>
    </w:p>
    <w:p w14:paraId="5F36B649">
      <w:pPr>
        <w:spacing w:line="640" w:lineRule="exact"/>
        <w:ind w:firstLine="640"/>
        <w:jc w:val="both"/>
        <w:outlineLvl w:val="3"/>
      </w:pPr>
      <w:r>
        <w:rPr>
          <w:rFonts w:ascii="楷体_GB2312" w:hAnsi="楷体_GB2312" w:eastAsia="楷体_GB2312"/>
          <w:b/>
          <w:sz w:val="32"/>
        </w:rPr>
        <w:t>（三）国有资产占用情况说明</w:t>
      </w:r>
    </w:p>
    <w:p w14:paraId="4E0F2E35">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30F9E74">
      <w:pPr>
        <w:spacing w:line="640" w:lineRule="exact"/>
        <w:ind w:firstLine="640"/>
        <w:jc w:val="both"/>
        <w:outlineLvl w:val="2"/>
      </w:pPr>
      <w:r>
        <w:rPr>
          <w:rFonts w:ascii="黑体" w:hAnsi="黑体" w:eastAsia="黑体"/>
          <w:sz w:val="32"/>
        </w:rPr>
        <w:t>十一、预算绩效的情况说明</w:t>
      </w:r>
    </w:p>
    <w:p w14:paraId="637A41B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826.91万元，实际执行总额823.19万元；预算绩效评价项目4个，全年预算数591.49万元，全年执行数590.39万元。预算绩效管理取得的成效：一是完成全县绿化种植面积17.5万平</w:t>
      </w:r>
      <w:r>
        <w:rPr>
          <w:rFonts w:hint="eastAsia" w:ascii="仿宋_GB2312" w:hAnsi="仿宋_GB2312" w:eastAsia="仿宋_GB2312"/>
          <w:b w:val="0"/>
          <w:sz w:val="32"/>
          <w:lang w:eastAsia="zh-CN"/>
        </w:rPr>
        <w:t>方米</w:t>
      </w:r>
      <w:r>
        <w:rPr>
          <w:rFonts w:ascii="仿宋_GB2312" w:hAnsi="仿宋_GB2312" w:eastAsia="仿宋_GB2312"/>
          <w:b w:val="0"/>
          <w:sz w:val="32"/>
        </w:rPr>
        <w:t>，新栽植树木成活率已达到85%；二是持续推进“口袋公园”建设，已完成新建2个“口袋公园”；三是已开展园林技能培训4次，提升职工园林绿化技能水平，增加建成区绿化面积；已完成公园、广场和县城主干路树木、草坪和绿篱的打药、修剪、浇水等精细化管理工作，城市树木管理覆盖率达到90%。发现的问题及原因：一是城市绿地面积增加，现有园林管护人员逐步减少，管护任务负担重，绿化管护养护技术有限，无法正常满足绿化管护标准，部分绿地及景观养护不及时影响整体水平；二是园林队伍专业化、技术化欠缺，对县城绿地和公园管理粗放，精细化程度不够；三是夏季温度出现绿化用水和生活用水矛盾，一定程度上影响了树木的正常生长；四是公园、广场内基础设施和配电设施因年久损害严重，需要修改改造。下一步改进措施：一是优化管护人力与技术；二是提升队伍专业化水平，定期组织技术培训，邀请专家指导；三是推广滴灌、喷灌等</w:t>
      </w:r>
      <w:r>
        <w:rPr>
          <w:rFonts w:hint="eastAsia" w:ascii="仿宋_GB2312" w:hAnsi="仿宋_GB2312" w:eastAsia="仿宋_GB2312"/>
          <w:b w:val="0"/>
          <w:sz w:val="32"/>
          <w:lang w:eastAsia="zh-CN"/>
        </w:rPr>
        <w:t>节水</w:t>
      </w:r>
      <w:r>
        <w:rPr>
          <w:rFonts w:ascii="仿宋_GB2312" w:hAnsi="仿宋_GB2312" w:eastAsia="仿宋_GB2312"/>
          <w:b w:val="0"/>
          <w:sz w:val="32"/>
        </w:rPr>
        <w:t>技术，错峰灌溉，优先保障高需水植物；四是制定年度维修计划，争取财政资金拨款，更新老化配电设备，引入物联网技术，提升设施耐用性与安全性。</w:t>
      </w:r>
      <w:bookmarkStart w:id="0" w:name="_GoBack"/>
      <w:r>
        <w:rPr>
          <w:rFonts w:ascii="仿宋_GB2312" w:hAnsi="仿宋_GB2312" w:eastAsia="仿宋_GB2312"/>
          <w:b w:val="0"/>
          <w:sz w:val="32"/>
        </w:rPr>
        <w:t>具体附整体支出绩效自评表，项目支出绩效自评表。</w:t>
      </w:r>
    </w:p>
    <w:bookmarkEnd w:id="0"/>
    <w:p w14:paraId="2C5FC98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375151B">
        <w:tblPrEx>
          <w:tblCellMar>
            <w:top w:w="0" w:type="dxa"/>
            <w:left w:w="108" w:type="dxa"/>
            <w:bottom w:w="0" w:type="dxa"/>
            <w:right w:w="108" w:type="dxa"/>
          </w:tblCellMar>
        </w:tblPrEx>
        <w:tc>
          <w:tcPr>
            <w:tcW w:w="8840" w:type="dxa"/>
            <w:gridSpan w:val="8"/>
            <w:vAlign w:val="center"/>
          </w:tcPr>
          <w:p w14:paraId="538ADCE5">
            <w:pPr>
              <w:jc w:val="center"/>
            </w:pPr>
            <w:r>
              <w:rPr>
                <w:rFonts w:ascii="宋体" w:hAnsi="宋体" w:eastAsia="宋体"/>
                <w:sz w:val="24"/>
              </w:rPr>
              <w:t>单位整体支出绩效自评表</w:t>
            </w:r>
          </w:p>
        </w:tc>
      </w:tr>
      <w:tr w14:paraId="6F79066E">
        <w:tblPrEx>
          <w:tblCellMar>
            <w:top w:w="0" w:type="dxa"/>
            <w:left w:w="108" w:type="dxa"/>
            <w:bottom w:w="0" w:type="dxa"/>
            <w:right w:w="108" w:type="dxa"/>
          </w:tblCellMar>
        </w:tblPrEx>
        <w:tc>
          <w:tcPr>
            <w:tcW w:w="8840" w:type="dxa"/>
            <w:gridSpan w:val="8"/>
            <w:vAlign w:val="center"/>
          </w:tcPr>
          <w:p w14:paraId="48A5F664">
            <w:pPr>
              <w:jc w:val="center"/>
            </w:pPr>
            <w:r>
              <w:rPr>
                <w:rFonts w:ascii="宋体" w:hAnsi="宋体" w:eastAsia="宋体"/>
                <w:sz w:val="24"/>
              </w:rPr>
              <w:t>（2024年度）</w:t>
            </w:r>
          </w:p>
        </w:tc>
      </w:tr>
      <w:tr w14:paraId="7BC367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D5DC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E4C28">
            <w:pPr>
              <w:jc w:val="center"/>
            </w:pPr>
            <w:r>
              <w:rPr>
                <w:rFonts w:ascii="宋体" w:hAnsi="宋体" w:eastAsia="宋体"/>
                <w:sz w:val="16"/>
              </w:rPr>
              <w:t>轮台县园林绿化服务中心</w:t>
            </w:r>
          </w:p>
        </w:tc>
      </w:tr>
      <w:tr w14:paraId="4887FBA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0503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1234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9352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3578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D726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43A6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B323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1AA98">
            <w:pPr>
              <w:jc w:val="center"/>
            </w:pPr>
            <w:r>
              <w:rPr>
                <w:rFonts w:ascii="宋体" w:hAnsi="宋体" w:eastAsia="宋体"/>
                <w:sz w:val="16"/>
              </w:rPr>
              <w:t>得分</w:t>
            </w:r>
          </w:p>
        </w:tc>
      </w:tr>
      <w:tr w14:paraId="701CE4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F08C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6E3E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A8A26">
            <w:pPr>
              <w:jc w:val="center"/>
            </w:pPr>
            <w:r>
              <w:rPr>
                <w:rFonts w:ascii="宋体" w:hAnsi="宋体" w:eastAsia="宋体"/>
                <w:sz w:val="16"/>
              </w:rPr>
              <w:t>107.17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03D8E">
            <w:pPr>
              <w:jc w:val="center"/>
            </w:pPr>
            <w:r>
              <w:rPr>
                <w:rFonts w:ascii="宋体" w:hAnsi="宋体" w:eastAsia="宋体"/>
                <w:sz w:val="16"/>
              </w:rPr>
              <w:t>826.91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8A61D">
            <w:pPr>
              <w:jc w:val="center"/>
            </w:pPr>
            <w:r>
              <w:rPr>
                <w:rFonts w:ascii="宋体" w:hAnsi="宋体" w:eastAsia="宋体"/>
                <w:sz w:val="16"/>
              </w:rPr>
              <w:t>823.19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021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EDCD7">
            <w:pPr>
              <w:jc w:val="center"/>
            </w:pPr>
            <w:r>
              <w:rPr>
                <w:rFonts w:ascii="宋体" w:hAnsi="宋体" w:eastAsia="宋体"/>
                <w:sz w:val="16"/>
              </w:rPr>
              <w:t>99.55%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DC699">
            <w:pPr>
              <w:jc w:val="center"/>
            </w:pPr>
            <w:r>
              <w:rPr>
                <w:rFonts w:ascii="宋体" w:hAnsi="宋体" w:eastAsia="宋体"/>
                <w:sz w:val="16"/>
              </w:rPr>
              <w:t>9.96</w:t>
            </w:r>
          </w:p>
        </w:tc>
      </w:tr>
      <w:tr w14:paraId="3A7EF0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5CC3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377A7">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D19E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8CD8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C9B1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FCE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613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6166C">
            <w:pPr>
              <w:jc w:val="center"/>
            </w:pPr>
            <w:r>
              <w:rPr>
                <w:rFonts w:ascii="宋体" w:hAnsi="宋体" w:eastAsia="宋体"/>
                <w:sz w:val="16"/>
              </w:rPr>
              <w:t>-</w:t>
            </w:r>
          </w:p>
        </w:tc>
      </w:tr>
      <w:tr w14:paraId="271D30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F6B0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F457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2C0A3">
            <w:pPr>
              <w:jc w:val="center"/>
            </w:pPr>
            <w:r>
              <w:rPr>
                <w:rFonts w:ascii="宋体" w:hAnsi="宋体" w:eastAsia="宋体"/>
                <w:sz w:val="16"/>
              </w:rPr>
              <w:t>107.17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5B3E9">
            <w:pPr>
              <w:jc w:val="center"/>
            </w:pPr>
            <w:r>
              <w:rPr>
                <w:rFonts w:ascii="宋体" w:hAnsi="宋体" w:eastAsia="宋体"/>
                <w:sz w:val="16"/>
              </w:rPr>
              <w:t>823.19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4BED1">
            <w:pPr>
              <w:jc w:val="center"/>
            </w:pPr>
            <w:r>
              <w:rPr>
                <w:rFonts w:ascii="宋体" w:hAnsi="宋体" w:eastAsia="宋体"/>
                <w:sz w:val="16"/>
              </w:rPr>
              <w:t>823.18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7C46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429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1EAA7">
            <w:pPr>
              <w:jc w:val="center"/>
            </w:pPr>
            <w:r>
              <w:rPr>
                <w:rFonts w:ascii="宋体" w:hAnsi="宋体" w:eastAsia="宋体"/>
                <w:sz w:val="16"/>
              </w:rPr>
              <w:t>-</w:t>
            </w:r>
          </w:p>
        </w:tc>
      </w:tr>
      <w:tr w14:paraId="1F7740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76DE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4F508">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3B83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AE761">
            <w:pPr>
              <w:jc w:val="center"/>
            </w:pPr>
            <w:r>
              <w:rPr>
                <w:rFonts w:ascii="宋体" w:hAnsi="宋体" w:eastAsia="宋体"/>
                <w:sz w:val="16"/>
              </w:rPr>
              <w:t>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E8C19">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DD60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1988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68A5A">
            <w:pPr>
              <w:jc w:val="center"/>
            </w:pPr>
            <w:r>
              <w:rPr>
                <w:rFonts w:ascii="宋体" w:hAnsi="宋体" w:eastAsia="宋体"/>
                <w:sz w:val="16"/>
              </w:rPr>
              <w:t>-</w:t>
            </w:r>
          </w:p>
        </w:tc>
      </w:tr>
      <w:tr w14:paraId="6C17A11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3E10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A135B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763302">
            <w:pPr>
              <w:jc w:val="center"/>
            </w:pPr>
            <w:r>
              <w:rPr>
                <w:rFonts w:ascii="宋体" w:hAnsi="宋体" w:eastAsia="宋体"/>
                <w:sz w:val="16"/>
              </w:rPr>
              <w:t>实际完成情况</w:t>
            </w:r>
          </w:p>
        </w:tc>
      </w:tr>
      <w:tr w14:paraId="20AFBB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AA1B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00533C">
            <w:pPr>
              <w:jc w:val="both"/>
            </w:pPr>
            <w:r>
              <w:rPr>
                <w:rFonts w:ascii="宋体" w:hAnsi="宋体" w:eastAsia="宋体"/>
                <w:sz w:val="16"/>
              </w:rPr>
              <w:t>贯彻、执行和落实城市园林绿化行业标准，负责城市园林</w:t>
            </w:r>
            <w:r>
              <w:rPr>
                <w:rFonts w:hint="eastAsia" w:ascii="宋体" w:hAnsi="宋体"/>
                <w:sz w:val="16"/>
                <w:lang w:eastAsia="zh-CN"/>
              </w:rPr>
              <w:t>绿地系统</w:t>
            </w:r>
            <w:r>
              <w:rPr>
                <w:rFonts w:ascii="宋体" w:hAnsi="宋体" w:eastAsia="宋体"/>
                <w:sz w:val="16"/>
              </w:rPr>
              <w:t>规划建设、维护管理工作，负责管理县城区域内的园林绿地，美化城市环境。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1.计划完成红桥公园28万平方米的河道清淤及疏浚及11.2万平方米绿化种植，新栽植树木成活率达到85%以上，持续推进“口袋公园”建设，完成新建1个“口袋公园”；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2.开展园林技能培训不少于4次，提升职工园林绿化技能水平，增加建成区绿化面积；</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3.完成公园、广场和县城主干路树木、草坪和绿篱的打药、修剪、浇水等精细化管理工作，城市树木管理覆盖率达到90%以上。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73C3C2">
            <w:pPr>
              <w:jc w:val="both"/>
            </w:pPr>
            <w:r>
              <w:rPr>
                <w:rFonts w:ascii="宋体" w:hAnsi="宋体" w:eastAsia="宋体"/>
                <w:sz w:val="16"/>
              </w:rPr>
              <w:t>为了落实城市园林绿化行业标准，2024年已完成：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1.完成全县绿化种植面积17.5万平方，新栽植树木成活率已达到85%；</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2.持续推进“口袋公园”建设，已完成新建2个“口袋公园”；</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3.已开展园林技能培训4次，提升职工园林绿化技能水平，增加建成区绿化面积；已完成公园、广场和县城主干路树木、草坪和绿篱的打药、修剪、浇水等精细化管理工作，城市树木管理覆盖率达到90%。</w:t>
            </w:r>
          </w:p>
        </w:tc>
      </w:tr>
      <w:tr w14:paraId="1D837A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47D9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DE7C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56A4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C31D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5B23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0E2A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6B1E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D0D3B">
            <w:pPr>
              <w:jc w:val="center"/>
            </w:pPr>
            <w:r>
              <w:rPr>
                <w:rFonts w:ascii="宋体" w:hAnsi="宋体" w:eastAsia="宋体"/>
                <w:sz w:val="16"/>
              </w:rPr>
              <w:t>得分</w:t>
            </w:r>
          </w:p>
        </w:tc>
      </w:tr>
      <w:tr w14:paraId="23C988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C508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9C8E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5971B">
            <w:pPr>
              <w:jc w:val="center"/>
            </w:pPr>
            <w:r>
              <w:rPr>
                <w:rFonts w:ascii="宋体" w:hAnsi="宋体" w:eastAsia="宋体"/>
                <w:sz w:val="16"/>
              </w:rPr>
              <w:t>全县绿化种植面积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58182">
            <w:pPr>
              <w:jc w:val="center"/>
            </w:pPr>
            <w:r>
              <w:rPr>
                <w:rFonts w:ascii="宋体" w:hAnsi="宋体" w:eastAsia="宋体"/>
                <w:sz w:val="16"/>
              </w:rPr>
              <w:t>&gt;=17.5万平方米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C7609">
            <w:pPr>
              <w:jc w:val="center"/>
            </w:pPr>
            <w:r>
              <w:rPr>
                <w:rFonts w:ascii="宋体" w:hAnsi="宋体" w:eastAsia="宋体"/>
                <w:sz w:val="16"/>
              </w:rPr>
              <w:t>轮台县园林绿化服务中心2024年重点工作计划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76B0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85E05">
            <w:pPr>
              <w:jc w:val="center"/>
            </w:pPr>
            <w:r>
              <w:rPr>
                <w:rFonts w:ascii="宋体" w:hAnsi="宋体" w:eastAsia="宋体"/>
                <w:sz w:val="16"/>
              </w:rPr>
              <w:t>17.5万平方米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96E05">
            <w:pPr>
              <w:jc w:val="center"/>
            </w:pPr>
            <w:r>
              <w:rPr>
                <w:rFonts w:ascii="宋体" w:hAnsi="宋体" w:eastAsia="宋体"/>
                <w:sz w:val="16"/>
              </w:rPr>
              <w:t>20</w:t>
            </w:r>
          </w:p>
        </w:tc>
      </w:tr>
      <w:tr w14:paraId="1DAF1B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28FEF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56AE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492E6">
            <w:pPr>
              <w:jc w:val="center"/>
            </w:pPr>
            <w:r>
              <w:rPr>
                <w:rFonts w:ascii="宋体" w:hAnsi="宋体" w:eastAsia="宋体"/>
                <w:sz w:val="16"/>
              </w:rPr>
              <w:t>“口袋公园”建设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A57AB">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A9050">
            <w:pPr>
              <w:jc w:val="center"/>
            </w:pPr>
            <w:r>
              <w:rPr>
                <w:rFonts w:ascii="宋体" w:hAnsi="宋体" w:eastAsia="宋体"/>
                <w:sz w:val="16"/>
              </w:rPr>
              <w:t>轮台县园林绿化服务中心2024年重点工作计划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8ED3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051D2">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9E04C">
            <w:pPr>
              <w:jc w:val="center"/>
            </w:pPr>
            <w:r>
              <w:rPr>
                <w:rFonts w:ascii="宋体" w:hAnsi="宋体" w:eastAsia="宋体"/>
                <w:sz w:val="16"/>
              </w:rPr>
              <w:t>20</w:t>
            </w:r>
          </w:p>
        </w:tc>
      </w:tr>
      <w:tr w14:paraId="0AC508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63C2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304A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27C55">
            <w:pPr>
              <w:jc w:val="center"/>
            </w:pPr>
            <w:r>
              <w:rPr>
                <w:rFonts w:ascii="宋体" w:hAnsi="宋体" w:eastAsia="宋体"/>
                <w:sz w:val="16"/>
              </w:rPr>
              <w:t>开展技能培训次数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19E08">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A3D3A">
            <w:pPr>
              <w:jc w:val="center"/>
            </w:pPr>
            <w:r>
              <w:rPr>
                <w:rFonts w:ascii="宋体" w:hAnsi="宋体" w:eastAsia="宋体"/>
                <w:sz w:val="16"/>
              </w:rPr>
              <w:t>轮台县园林绿化服务中心2024年重点工作计划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8412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A8803">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F170B">
            <w:pPr>
              <w:jc w:val="center"/>
            </w:pPr>
            <w:r>
              <w:rPr>
                <w:rFonts w:ascii="宋体" w:hAnsi="宋体" w:eastAsia="宋体"/>
                <w:sz w:val="16"/>
              </w:rPr>
              <w:t>20</w:t>
            </w:r>
          </w:p>
        </w:tc>
      </w:tr>
      <w:tr w14:paraId="2EDBF9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9F9C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8133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73C9D">
            <w:pPr>
              <w:jc w:val="center"/>
            </w:pPr>
            <w:r>
              <w:rPr>
                <w:rFonts w:ascii="宋体" w:hAnsi="宋体" w:eastAsia="宋体"/>
                <w:sz w:val="16"/>
              </w:rPr>
              <w:t>城市树木管理覆盖率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39224">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905E8">
            <w:pPr>
              <w:jc w:val="center"/>
            </w:pPr>
            <w:r>
              <w:rPr>
                <w:rFonts w:ascii="宋体" w:hAnsi="宋体" w:eastAsia="宋体"/>
                <w:sz w:val="16"/>
              </w:rPr>
              <w:t>轮台县园林绿化服务中心2024年重点工作计划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B6F8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81560">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0557D">
            <w:pPr>
              <w:jc w:val="center"/>
            </w:pPr>
            <w:r>
              <w:rPr>
                <w:rFonts w:ascii="宋体" w:hAnsi="宋体" w:eastAsia="宋体"/>
                <w:sz w:val="16"/>
              </w:rPr>
              <w:t>15</w:t>
            </w:r>
          </w:p>
        </w:tc>
      </w:tr>
      <w:tr w14:paraId="151B5F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71C5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FBC5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95890">
            <w:pPr>
              <w:jc w:val="center"/>
            </w:pPr>
            <w:r>
              <w:rPr>
                <w:rFonts w:ascii="宋体" w:hAnsi="宋体" w:eastAsia="宋体"/>
                <w:sz w:val="16"/>
              </w:rPr>
              <w:t>新栽植树木成活率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30E7D">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F45E2">
            <w:pPr>
              <w:jc w:val="center"/>
            </w:pPr>
            <w:r>
              <w:rPr>
                <w:rFonts w:ascii="宋体" w:hAnsi="宋体" w:eastAsia="宋体"/>
                <w:sz w:val="16"/>
              </w:rPr>
              <w:t>轮台县园林绿化服务中心2024年重点工作计划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D63D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870D9">
            <w:pPr>
              <w:jc w:val="center"/>
            </w:pPr>
            <w:r>
              <w:rPr>
                <w:rFonts w:ascii="宋体" w:hAnsi="宋体" w:eastAsia="宋体"/>
                <w:sz w:val="16"/>
              </w:rPr>
              <w: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6F8D5">
            <w:pPr>
              <w:jc w:val="center"/>
            </w:pPr>
            <w:r>
              <w:rPr>
                <w:rFonts w:ascii="宋体" w:hAnsi="宋体" w:eastAsia="宋体"/>
                <w:sz w:val="16"/>
              </w:rPr>
              <w:t>15</w:t>
            </w:r>
          </w:p>
        </w:tc>
      </w:tr>
    </w:tbl>
    <w:p w14:paraId="47126E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A69BCB0">
        <w:tblPrEx>
          <w:tblCellMar>
            <w:top w:w="0" w:type="dxa"/>
            <w:left w:w="108" w:type="dxa"/>
            <w:bottom w:w="0" w:type="dxa"/>
            <w:right w:w="108" w:type="dxa"/>
          </w:tblCellMar>
        </w:tblPrEx>
        <w:tc>
          <w:tcPr>
            <w:tcW w:w="8848" w:type="dxa"/>
            <w:gridSpan w:val="14"/>
            <w:vAlign w:val="center"/>
          </w:tcPr>
          <w:p w14:paraId="50691701">
            <w:pPr>
              <w:jc w:val="center"/>
            </w:pPr>
            <w:r>
              <w:rPr>
                <w:rFonts w:ascii="宋体" w:hAnsi="宋体" w:eastAsia="宋体"/>
                <w:sz w:val="24"/>
              </w:rPr>
              <w:t>项目支出绩效自评表</w:t>
            </w:r>
          </w:p>
        </w:tc>
      </w:tr>
      <w:tr w14:paraId="4FB6A34F">
        <w:tblPrEx>
          <w:tblCellMar>
            <w:top w:w="0" w:type="dxa"/>
            <w:left w:w="108" w:type="dxa"/>
            <w:bottom w:w="0" w:type="dxa"/>
            <w:right w:w="108" w:type="dxa"/>
          </w:tblCellMar>
        </w:tblPrEx>
        <w:tc>
          <w:tcPr>
            <w:tcW w:w="8848" w:type="dxa"/>
            <w:gridSpan w:val="14"/>
            <w:vAlign w:val="center"/>
          </w:tcPr>
          <w:p w14:paraId="231BFAF0">
            <w:pPr>
              <w:jc w:val="center"/>
            </w:pPr>
            <w:r>
              <w:rPr>
                <w:rFonts w:ascii="宋体" w:hAnsi="宋体" w:eastAsia="宋体"/>
                <w:sz w:val="24"/>
              </w:rPr>
              <w:t>(2024年度)</w:t>
            </w:r>
          </w:p>
        </w:tc>
      </w:tr>
      <w:tr w14:paraId="68578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01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10D001">
            <w:pPr>
              <w:jc w:val="center"/>
            </w:pPr>
            <w:r>
              <w:rPr>
                <w:rFonts w:ascii="宋体" w:hAnsi="宋体" w:eastAsia="宋体"/>
                <w:sz w:val="16"/>
              </w:rPr>
              <w:t>园林中心:2012年-2024年绿化水费汇总</w:t>
            </w:r>
          </w:p>
        </w:tc>
      </w:tr>
      <w:tr w14:paraId="4D682C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4B8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46E1C">
            <w:pPr>
              <w:jc w:val="center"/>
            </w:pPr>
            <w:r>
              <w:rPr>
                <w:rFonts w:ascii="宋体" w:hAnsi="宋体" w:eastAsia="宋体"/>
                <w:sz w:val="16"/>
              </w:rPr>
              <w:t>轮台县园林绿化服务中心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F4E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4FBD0F">
            <w:pPr>
              <w:jc w:val="center"/>
            </w:pPr>
            <w:r>
              <w:rPr>
                <w:rFonts w:ascii="宋体" w:hAnsi="宋体" w:eastAsia="宋体"/>
                <w:sz w:val="16"/>
              </w:rPr>
              <w:t>轮台县园林绿化服务中心</w:t>
            </w:r>
          </w:p>
        </w:tc>
      </w:tr>
      <w:tr w14:paraId="613279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5619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E4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E48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5F8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47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EFC1A">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F87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A4D8">
            <w:pPr>
              <w:jc w:val="center"/>
            </w:pPr>
            <w:r>
              <w:rPr>
                <w:rFonts w:ascii="宋体" w:hAnsi="宋体" w:eastAsia="宋体"/>
                <w:sz w:val="16"/>
              </w:rPr>
              <w:t>得分</w:t>
            </w:r>
          </w:p>
        </w:tc>
      </w:tr>
      <w:tr w14:paraId="471EC0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A05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23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02B5C">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FA249">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E813C">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27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39F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D485">
            <w:pPr>
              <w:jc w:val="center"/>
            </w:pPr>
            <w:r>
              <w:rPr>
                <w:rFonts w:ascii="宋体" w:hAnsi="宋体" w:eastAsia="宋体"/>
                <w:sz w:val="16"/>
              </w:rPr>
              <w:t>10.00</w:t>
            </w:r>
          </w:p>
        </w:tc>
      </w:tr>
      <w:tr w14:paraId="2BBD8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39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9D2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AF464">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D1B3">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7A5C9">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DB1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7EE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3F05">
            <w:pPr>
              <w:jc w:val="center"/>
            </w:pPr>
            <w:r>
              <w:rPr>
                <w:rFonts w:ascii="宋体" w:hAnsi="宋体" w:eastAsia="宋体"/>
                <w:sz w:val="16"/>
              </w:rPr>
              <w:t>-</w:t>
            </w:r>
          </w:p>
        </w:tc>
      </w:tr>
      <w:tr w14:paraId="6B338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43D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1CA1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F74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010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8B9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5C5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4AE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67FA">
            <w:pPr>
              <w:jc w:val="center"/>
            </w:pPr>
            <w:r>
              <w:rPr>
                <w:rFonts w:ascii="宋体" w:hAnsi="宋体" w:eastAsia="宋体"/>
                <w:sz w:val="16"/>
              </w:rPr>
              <w:t>-</w:t>
            </w:r>
          </w:p>
        </w:tc>
      </w:tr>
      <w:tr w14:paraId="23B278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1B15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4C669">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4847E1">
            <w:pPr>
              <w:jc w:val="center"/>
            </w:pPr>
            <w:r>
              <w:rPr>
                <w:rFonts w:ascii="宋体" w:hAnsi="宋体" w:eastAsia="宋体"/>
                <w:sz w:val="16"/>
              </w:rPr>
              <w:t>总体目标完成情况</w:t>
            </w:r>
          </w:p>
        </w:tc>
      </w:tr>
      <w:tr w14:paraId="19D1A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BAE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A467C">
            <w:pPr>
              <w:jc w:val="both"/>
            </w:pPr>
            <w:r>
              <w:rPr>
                <w:rFonts w:ascii="宋体" w:hAnsi="宋体" w:eastAsia="宋体"/>
                <w:sz w:val="16"/>
              </w:rPr>
              <w:t>目标1：化解隐性债务1个，支付轮台县汇泉供排水有限责任公司自2012年11月至2024年1月期间给轮台县园林绿化服务中心提供绿化水费部分欠款400万元，防范和化解债务风险，确保债权人的利益得到有效保障，确保公司财务状况持续稳定，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49391">
            <w:pPr>
              <w:jc w:val="both"/>
            </w:pPr>
            <w:r>
              <w:rPr>
                <w:rFonts w:ascii="宋体" w:hAnsi="宋体" w:eastAsia="宋体"/>
                <w:sz w:val="16"/>
              </w:rPr>
              <w:t>已化解隐性债务1个，支付轮台县汇泉供排水有限责任公司自2012年11月至2024年1月期间给轮台县园林绿化服务中心提供绿化水费部分欠款400万元，防范和化解了债务风险。</w:t>
            </w:r>
          </w:p>
        </w:tc>
      </w:tr>
      <w:tr w14:paraId="02F1BB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DBF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77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93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E12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80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DC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CD5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CA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F2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7A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FAC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FC5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E75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FBB1">
            <w:pPr>
              <w:jc w:val="center"/>
            </w:pPr>
            <w:r>
              <w:rPr>
                <w:rFonts w:ascii="宋体" w:hAnsi="宋体" w:eastAsia="宋体"/>
                <w:sz w:val="16"/>
              </w:rPr>
              <w:t>偏差原因分析及改进措施</w:t>
            </w:r>
          </w:p>
        </w:tc>
      </w:tr>
      <w:tr w14:paraId="2C1F44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968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C17E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92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229E">
            <w:pPr>
              <w:jc w:val="center"/>
            </w:pPr>
            <w:r>
              <w:rPr>
                <w:rFonts w:ascii="宋体" w:hAnsi="宋体" w:eastAsia="宋体"/>
                <w:sz w:val="16"/>
              </w:rPr>
              <w:t>化解隐性债务项目个数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E61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B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71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95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0F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09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434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AA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93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A782">
            <w:pPr>
              <w:jc w:val="center"/>
            </w:pPr>
          </w:p>
        </w:tc>
      </w:tr>
      <w:tr w14:paraId="5D5AC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9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4EE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D55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BAEA">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3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B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41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89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F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CF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CA6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D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9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6417">
            <w:pPr>
              <w:jc w:val="center"/>
            </w:pPr>
          </w:p>
        </w:tc>
      </w:tr>
      <w:tr w14:paraId="7246E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A0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25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FD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B6FA">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9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5F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AF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5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F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F6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6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4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81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A3773">
            <w:pPr>
              <w:jc w:val="center"/>
            </w:pPr>
          </w:p>
        </w:tc>
      </w:tr>
      <w:tr w14:paraId="45133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36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61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A0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4C58">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5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76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BC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C1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C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1D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55C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1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8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F557">
            <w:pPr>
              <w:jc w:val="center"/>
            </w:pPr>
          </w:p>
        </w:tc>
      </w:tr>
      <w:tr w14:paraId="1E708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325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CE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26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EF44">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5BE9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BE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1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64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4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E9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1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D7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F0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4B77">
            <w:pPr>
              <w:jc w:val="center"/>
            </w:pPr>
          </w:p>
        </w:tc>
      </w:tr>
      <w:tr w14:paraId="5209F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752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EDC6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222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91D0">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F00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A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D0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44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F0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46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FC9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7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B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129F">
            <w:pPr>
              <w:jc w:val="center"/>
            </w:pPr>
          </w:p>
        </w:tc>
      </w:tr>
      <w:tr w14:paraId="77A89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BC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00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7B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A80E">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1DC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1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8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8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42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9A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DB8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4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0F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A748">
            <w:pPr>
              <w:jc w:val="center"/>
            </w:pPr>
          </w:p>
        </w:tc>
      </w:tr>
      <w:tr w14:paraId="477F6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824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F2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24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2029">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07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49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4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05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39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47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1D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E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C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7A09">
            <w:pPr>
              <w:jc w:val="center"/>
            </w:pPr>
          </w:p>
        </w:tc>
      </w:tr>
      <w:tr w14:paraId="427CE31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B959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7B21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1CB3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CB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9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576B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FAC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8A8A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78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FE4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2A146B"/>
        </w:tc>
      </w:tr>
    </w:tbl>
    <w:p w14:paraId="675BC395">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96"/>
        <w:gridCol w:w="632"/>
        <w:gridCol w:w="629"/>
      </w:tblGrid>
      <w:tr w14:paraId="2247E82A">
        <w:tblPrEx>
          <w:tblCellMar>
            <w:top w:w="0" w:type="dxa"/>
            <w:left w:w="108" w:type="dxa"/>
            <w:bottom w:w="0" w:type="dxa"/>
            <w:right w:w="108" w:type="dxa"/>
          </w:tblCellMar>
        </w:tblPrEx>
        <w:tc>
          <w:tcPr>
            <w:tcW w:w="8848" w:type="dxa"/>
            <w:gridSpan w:val="14"/>
            <w:vAlign w:val="center"/>
          </w:tcPr>
          <w:p w14:paraId="75819632">
            <w:pPr>
              <w:jc w:val="center"/>
            </w:pPr>
            <w:r>
              <w:rPr>
                <w:rFonts w:ascii="宋体" w:hAnsi="宋体" w:eastAsia="宋体"/>
                <w:sz w:val="24"/>
              </w:rPr>
              <w:t>项目支出绩效自评表</w:t>
            </w:r>
          </w:p>
        </w:tc>
      </w:tr>
      <w:tr w14:paraId="62C1E295">
        <w:tblPrEx>
          <w:tblCellMar>
            <w:top w:w="0" w:type="dxa"/>
            <w:left w:w="108" w:type="dxa"/>
            <w:bottom w:w="0" w:type="dxa"/>
            <w:right w:w="108" w:type="dxa"/>
          </w:tblCellMar>
        </w:tblPrEx>
        <w:tc>
          <w:tcPr>
            <w:tcW w:w="8848" w:type="dxa"/>
            <w:gridSpan w:val="14"/>
            <w:vAlign w:val="center"/>
          </w:tcPr>
          <w:p w14:paraId="172D2553">
            <w:pPr>
              <w:jc w:val="center"/>
            </w:pPr>
            <w:r>
              <w:rPr>
                <w:rFonts w:ascii="宋体" w:hAnsi="宋体" w:eastAsia="宋体"/>
                <w:sz w:val="24"/>
              </w:rPr>
              <w:t>(2024年度)</w:t>
            </w:r>
          </w:p>
        </w:tc>
      </w:tr>
      <w:tr w14:paraId="612A87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F4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80F5C3">
            <w:pPr>
              <w:jc w:val="center"/>
            </w:pPr>
            <w:r>
              <w:rPr>
                <w:rFonts w:ascii="宋体" w:hAnsi="宋体" w:eastAsia="宋体"/>
                <w:sz w:val="16"/>
              </w:rPr>
              <w:t>园林中心:2022年、2024年购买农药、肥料资金汇总</w:t>
            </w:r>
          </w:p>
        </w:tc>
      </w:tr>
      <w:tr w14:paraId="425129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61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B2E80">
            <w:pPr>
              <w:jc w:val="center"/>
            </w:pPr>
            <w:r>
              <w:rPr>
                <w:rFonts w:ascii="宋体" w:hAnsi="宋体" w:eastAsia="宋体"/>
                <w:sz w:val="16"/>
              </w:rPr>
              <w:t>轮台县园林绿化服务中心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E6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CFB08">
            <w:pPr>
              <w:jc w:val="center"/>
            </w:pPr>
            <w:r>
              <w:rPr>
                <w:rFonts w:ascii="宋体" w:hAnsi="宋体" w:eastAsia="宋体"/>
                <w:sz w:val="16"/>
              </w:rPr>
              <w:t>轮台县园林绿化服务中心</w:t>
            </w:r>
          </w:p>
        </w:tc>
      </w:tr>
      <w:tr w14:paraId="77E991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75E4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D8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2A5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68C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BFB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521E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A5C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243B">
            <w:pPr>
              <w:jc w:val="center"/>
            </w:pPr>
            <w:r>
              <w:rPr>
                <w:rFonts w:ascii="宋体" w:hAnsi="宋体" w:eastAsia="宋体"/>
                <w:sz w:val="16"/>
              </w:rPr>
              <w:t>得分</w:t>
            </w:r>
          </w:p>
        </w:tc>
      </w:tr>
      <w:tr w14:paraId="588F9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20E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467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40E9">
            <w:pPr>
              <w:jc w:val="center"/>
            </w:pPr>
            <w:r>
              <w:rPr>
                <w:rFonts w:ascii="宋体" w:hAnsi="宋体" w:eastAsia="宋体"/>
                <w:sz w:val="16"/>
              </w:rPr>
              <w:t>170.88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F001">
            <w:pPr>
              <w:jc w:val="center"/>
            </w:pPr>
            <w:r>
              <w:rPr>
                <w:rFonts w:ascii="宋体" w:hAnsi="宋体" w:eastAsia="宋体"/>
                <w:sz w:val="16"/>
              </w:rPr>
              <w:t>170.88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49A2E">
            <w:pPr>
              <w:jc w:val="center"/>
            </w:pPr>
            <w:r>
              <w:rPr>
                <w:rFonts w:ascii="宋体" w:hAnsi="宋体" w:eastAsia="宋体"/>
                <w:sz w:val="16"/>
              </w:rPr>
              <w:t>169.78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B4F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2D4F8">
            <w:pPr>
              <w:jc w:val="center"/>
            </w:pPr>
            <w:r>
              <w:rPr>
                <w:rFonts w:ascii="宋体" w:hAnsi="宋体" w:eastAsia="宋体"/>
                <w:sz w:val="16"/>
              </w:rPr>
              <w:t>99.36%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94FD8">
            <w:pPr>
              <w:jc w:val="center"/>
            </w:pPr>
            <w:r>
              <w:rPr>
                <w:rFonts w:ascii="宋体" w:hAnsi="宋体" w:eastAsia="宋体"/>
                <w:sz w:val="16"/>
              </w:rPr>
              <w:t>9.94</w:t>
            </w:r>
          </w:p>
        </w:tc>
      </w:tr>
      <w:tr w14:paraId="65472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576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29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7BFAD">
            <w:pPr>
              <w:jc w:val="center"/>
            </w:pPr>
            <w:r>
              <w:rPr>
                <w:rFonts w:ascii="宋体" w:hAnsi="宋体" w:eastAsia="宋体"/>
                <w:sz w:val="16"/>
              </w:rPr>
              <w:t>170.88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9FA5">
            <w:pPr>
              <w:jc w:val="center"/>
            </w:pPr>
            <w:r>
              <w:rPr>
                <w:rFonts w:ascii="宋体" w:hAnsi="宋体" w:eastAsia="宋体"/>
                <w:sz w:val="16"/>
              </w:rPr>
              <w:t>170.88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7C43A">
            <w:pPr>
              <w:jc w:val="center"/>
            </w:pPr>
            <w:r>
              <w:rPr>
                <w:rFonts w:ascii="宋体" w:hAnsi="宋体" w:eastAsia="宋体"/>
                <w:sz w:val="16"/>
              </w:rPr>
              <w:t>169.78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54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905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79ADB">
            <w:pPr>
              <w:jc w:val="center"/>
            </w:pPr>
            <w:r>
              <w:rPr>
                <w:rFonts w:ascii="宋体" w:hAnsi="宋体" w:eastAsia="宋体"/>
                <w:sz w:val="16"/>
              </w:rPr>
              <w:t>-</w:t>
            </w:r>
          </w:p>
        </w:tc>
      </w:tr>
      <w:tr w14:paraId="010EB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17A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23F9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AE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4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97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168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74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34AF">
            <w:pPr>
              <w:jc w:val="center"/>
            </w:pPr>
            <w:r>
              <w:rPr>
                <w:rFonts w:ascii="宋体" w:hAnsi="宋体" w:eastAsia="宋体"/>
                <w:sz w:val="16"/>
              </w:rPr>
              <w:t>-</w:t>
            </w:r>
          </w:p>
        </w:tc>
      </w:tr>
      <w:tr w14:paraId="542813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A735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92C4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0A3AD">
            <w:pPr>
              <w:jc w:val="center"/>
            </w:pPr>
            <w:r>
              <w:rPr>
                <w:rFonts w:ascii="宋体" w:hAnsi="宋体" w:eastAsia="宋体"/>
                <w:sz w:val="16"/>
              </w:rPr>
              <w:t>总体目标完成情况</w:t>
            </w:r>
          </w:p>
        </w:tc>
      </w:tr>
      <w:tr w14:paraId="7673E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24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33F886">
            <w:pPr>
              <w:jc w:val="both"/>
              <w:rPr>
                <w:rFonts w:ascii="宋体" w:hAnsi="宋体" w:eastAsia="宋体"/>
                <w:sz w:val="16"/>
              </w:rPr>
            </w:pPr>
            <w:r>
              <w:rPr>
                <w:rFonts w:ascii="宋体" w:hAnsi="宋体" w:eastAsia="宋体"/>
                <w:sz w:val="16"/>
              </w:rPr>
              <w:t xml:space="preserve">为了确保县城树木健康生长，及时防治县城树木病虫害，落实住建局文件和精神要求。                </w:t>
            </w:r>
          </w:p>
          <w:p w14:paraId="47B019B8">
            <w:pPr>
              <w:jc w:val="both"/>
            </w:pPr>
            <w:r>
              <w:rPr>
                <w:rFonts w:ascii="宋体" w:hAnsi="宋体" w:eastAsia="宋体"/>
                <w:sz w:val="16"/>
              </w:rPr>
              <w:t>目标：计划采购农药，肥料，从而提升县城绿地树木成活率，确保树木健康生长。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AAD2AB">
            <w:pPr>
              <w:jc w:val="both"/>
            </w:pPr>
            <w:r>
              <w:rPr>
                <w:rFonts w:hint="eastAsia" w:ascii="宋体" w:hAnsi="宋体"/>
                <w:sz w:val="16"/>
                <w:lang w:eastAsia="zh-CN"/>
              </w:rPr>
              <w:t>本单位</w:t>
            </w:r>
            <w:r>
              <w:rPr>
                <w:rFonts w:ascii="宋体" w:hAnsi="宋体" w:eastAsia="宋体"/>
                <w:sz w:val="16"/>
              </w:rPr>
              <w:t>本年度确保了县城树木健康生长，及时防治了县城树木病虫害，已完成采购农药批次2次，采购肥料批次2次，从而提升了轮台县绿化养护效率。</w:t>
            </w:r>
          </w:p>
        </w:tc>
      </w:tr>
      <w:tr w14:paraId="04646D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941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63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10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02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73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DE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BA9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257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03F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A3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00A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216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71E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4A83">
            <w:pPr>
              <w:jc w:val="center"/>
            </w:pPr>
            <w:r>
              <w:rPr>
                <w:rFonts w:ascii="宋体" w:hAnsi="宋体" w:eastAsia="宋体"/>
                <w:sz w:val="16"/>
              </w:rPr>
              <w:t>偏差原因分析及改进措施</w:t>
            </w:r>
          </w:p>
        </w:tc>
      </w:tr>
      <w:tr w14:paraId="7029F1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C1E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0D6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2F0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65C4">
            <w:pPr>
              <w:jc w:val="center"/>
            </w:pPr>
            <w:r>
              <w:rPr>
                <w:rFonts w:ascii="宋体" w:hAnsi="宋体" w:eastAsia="宋体"/>
                <w:sz w:val="16"/>
              </w:rPr>
              <w:t>采购农药批次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CBB5">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5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00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1D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5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16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9B23">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2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41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2CBE">
            <w:pPr>
              <w:jc w:val="center"/>
            </w:pPr>
          </w:p>
        </w:tc>
      </w:tr>
      <w:tr w14:paraId="7B965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7E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2D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77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8652">
            <w:pPr>
              <w:jc w:val="center"/>
            </w:pPr>
            <w:r>
              <w:rPr>
                <w:rFonts w:ascii="宋体" w:hAnsi="宋体" w:eastAsia="宋体"/>
                <w:sz w:val="16"/>
              </w:rPr>
              <w:t>采购肥料批次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80F3">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4E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D5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BF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A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B1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81AF">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8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E1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5882">
            <w:pPr>
              <w:jc w:val="center"/>
            </w:pPr>
          </w:p>
        </w:tc>
      </w:tr>
      <w:tr w14:paraId="61177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8E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059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58C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06F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4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8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AF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28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1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3C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7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3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4B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407F">
            <w:pPr>
              <w:jc w:val="center"/>
            </w:pPr>
          </w:p>
        </w:tc>
      </w:tr>
      <w:tr w14:paraId="35457B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7C0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6E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53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6014">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44B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51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53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59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3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9F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A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9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78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A11C">
            <w:pPr>
              <w:jc w:val="center"/>
            </w:pPr>
          </w:p>
        </w:tc>
      </w:tr>
      <w:tr w14:paraId="68F01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D8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23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2D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4F6A">
            <w:pPr>
              <w:jc w:val="center"/>
            </w:pPr>
            <w:r>
              <w:rPr>
                <w:rFonts w:ascii="宋体" w:hAnsi="宋体" w:eastAsia="宋体"/>
                <w:sz w:val="16"/>
              </w:rPr>
              <w:t>物资采购及时率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FE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6F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2D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20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0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77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74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9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86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E489">
            <w:pPr>
              <w:jc w:val="center"/>
            </w:pPr>
          </w:p>
        </w:tc>
      </w:tr>
      <w:tr w14:paraId="3E7D05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5FE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BDB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FA0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FBBC">
            <w:pPr>
              <w:jc w:val="center"/>
            </w:pPr>
            <w:r>
              <w:rPr>
                <w:rFonts w:ascii="宋体" w:hAnsi="宋体" w:eastAsia="宋体"/>
                <w:sz w:val="16"/>
              </w:rPr>
              <w:t>采购农药成本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B7EB">
            <w:pPr>
              <w:jc w:val="center"/>
            </w:pPr>
            <w:r>
              <w:rPr>
                <w:rFonts w:ascii="宋体" w:hAnsi="宋体" w:eastAsia="宋体"/>
                <w:sz w:val="16"/>
              </w:rPr>
              <w:t>&lt;=75.88万元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F8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44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F9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CE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94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3F00">
            <w:pPr>
              <w:jc w:val="center"/>
            </w:pPr>
            <w:r>
              <w:rPr>
                <w:rFonts w:ascii="宋体" w:hAnsi="宋体" w:eastAsia="宋体"/>
                <w:sz w:val="16"/>
              </w:rPr>
              <w:t>=75.88万元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A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5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8FBC">
            <w:pPr>
              <w:jc w:val="center"/>
            </w:pPr>
          </w:p>
        </w:tc>
      </w:tr>
      <w:tr w14:paraId="5DB5C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F4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DD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B4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3D56">
            <w:pPr>
              <w:jc w:val="center"/>
            </w:pPr>
            <w:r>
              <w:rPr>
                <w:rFonts w:ascii="宋体" w:hAnsi="宋体" w:eastAsia="宋体"/>
                <w:sz w:val="16"/>
              </w:rPr>
              <w:t>采购肥料成本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2643">
            <w:pPr>
              <w:jc w:val="center"/>
            </w:pPr>
            <w:r>
              <w:rPr>
                <w:rFonts w:ascii="宋体" w:hAnsi="宋体" w:eastAsia="宋体"/>
                <w:sz w:val="16"/>
              </w:rPr>
              <w:t>&lt;=95万元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2A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D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00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6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6F3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EA32">
            <w:pPr>
              <w:jc w:val="center"/>
            </w:pPr>
            <w:r>
              <w:rPr>
                <w:rFonts w:ascii="宋体" w:hAnsi="宋体" w:eastAsia="宋体"/>
                <w:sz w:val="16"/>
              </w:rPr>
              <w:t>=93.9万元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3EF4">
            <w:pPr>
              <w:jc w:val="center"/>
            </w:pPr>
            <w:r>
              <w:rPr>
                <w:rFonts w:ascii="宋体" w:hAnsi="宋体" w:eastAsia="宋体"/>
                <w:sz w:val="16"/>
              </w:rPr>
              <w:t>98.84%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B38B">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E539">
            <w:pPr>
              <w:jc w:val="center"/>
            </w:pPr>
            <w:r>
              <w:rPr>
                <w:rFonts w:ascii="宋体" w:hAnsi="宋体" w:eastAsia="宋体"/>
                <w:sz w:val="16"/>
              </w:rPr>
              <w:t>项目通过履行基本建设招标程序，形成有效市场竞争，成本节约，费用减少。改进措施：加大本项目成本管理，通过绩效管理优化投资。</w:t>
            </w:r>
          </w:p>
        </w:tc>
      </w:tr>
      <w:tr w14:paraId="368C4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011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AC2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5FB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552F">
            <w:pPr>
              <w:jc w:val="center"/>
            </w:pPr>
            <w:r>
              <w:rPr>
                <w:rFonts w:ascii="宋体" w:hAnsi="宋体" w:eastAsia="宋体"/>
                <w:sz w:val="16"/>
              </w:rPr>
              <w:t>物资利用率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38F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F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04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BD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6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EB9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D8D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2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F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D734">
            <w:pPr>
              <w:jc w:val="center"/>
            </w:pPr>
          </w:p>
        </w:tc>
      </w:tr>
      <w:tr w14:paraId="2D7F4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46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68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82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E092">
            <w:pPr>
              <w:jc w:val="center"/>
            </w:pPr>
            <w:r>
              <w:rPr>
                <w:rFonts w:ascii="宋体" w:hAnsi="宋体" w:eastAsia="宋体"/>
                <w:sz w:val="16"/>
              </w:rPr>
              <w:t>提升轮台县绿化养护效率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A907">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2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87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53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4F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683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04E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85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0B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5884">
            <w:pPr>
              <w:jc w:val="center"/>
            </w:pPr>
          </w:p>
        </w:tc>
      </w:tr>
      <w:tr w14:paraId="49D0D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6E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E4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04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15F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8D7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C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79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BA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EC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42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DCA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A0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5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B5B2">
            <w:pPr>
              <w:jc w:val="center"/>
            </w:pPr>
          </w:p>
        </w:tc>
      </w:tr>
      <w:tr w14:paraId="22F5D8E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10FA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B90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552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6A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F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B69B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A4CA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4159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B5E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72E2">
            <w:pPr>
              <w:jc w:val="center"/>
            </w:pPr>
            <w:r>
              <w:rPr>
                <w:rFonts w:ascii="宋体" w:hAnsi="宋体" w:eastAsia="宋体"/>
                <w:sz w:val="16"/>
              </w:rPr>
              <w:t>99.82分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DDE96"/>
        </w:tc>
      </w:tr>
    </w:tbl>
    <w:p w14:paraId="2DFE3C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59CD5E59">
        <w:tc>
          <w:tcPr>
            <w:tcW w:w="8848" w:type="dxa"/>
            <w:gridSpan w:val="14"/>
            <w:vAlign w:val="center"/>
          </w:tcPr>
          <w:p w14:paraId="6C528749">
            <w:pPr>
              <w:jc w:val="center"/>
            </w:pPr>
            <w:r>
              <w:rPr>
                <w:rFonts w:ascii="宋体" w:hAnsi="宋体" w:eastAsia="宋体"/>
                <w:sz w:val="24"/>
              </w:rPr>
              <w:t>项目支出绩效自评表</w:t>
            </w:r>
          </w:p>
        </w:tc>
      </w:tr>
      <w:tr w14:paraId="3FDC1636">
        <w:tblPrEx>
          <w:tblCellMar>
            <w:top w:w="0" w:type="dxa"/>
            <w:left w:w="108" w:type="dxa"/>
            <w:bottom w:w="0" w:type="dxa"/>
            <w:right w:w="108" w:type="dxa"/>
          </w:tblCellMar>
        </w:tblPrEx>
        <w:tc>
          <w:tcPr>
            <w:tcW w:w="8848" w:type="dxa"/>
            <w:gridSpan w:val="14"/>
            <w:vAlign w:val="center"/>
          </w:tcPr>
          <w:p w14:paraId="3EE73AEA">
            <w:pPr>
              <w:jc w:val="center"/>
            </w:pPr>
            <w:r>
              <w:rPr>
                <w:rFonts w:ascii="宋体" w:hAnsi="宋体" w:eastAsia="宋体"/>
                <w:sz w:val="24"/>
              </w:rPr>
              <w:t>(2024年度)</w:t>
            </w:r>
          </w:p>
        </w:tc>
      </w:tr>
      <w:tr w14:paraId="2210E3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21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29B7FD">
            <w:pPr>
              <w:jc w:val="center"/>
            </w:pPr>
            <w:r>
              <w:rPr>
                <w:rFonts w:ascii="宋体" w:hAnsi="宋体" w:eastAsia="宋体"/>
                <w:sz w:val="16"/>
              </w:rPr>
              <w:t>园林中心:2023年法桐所需防寒包裹棉毡费汇总</w:t>
            </w:r>
          </w:p>
        </w:tc>
      </w:tr>
      <w:tr w14:paraId="534F12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DA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AAE61E">
            <w:pPr>
              <w:jc w:val="center"/>
            </w:pPr>
            <w:r>
              <w:rPr>
                <w:rFonts w:ascii="宋体" w:hAnsi="宋体" w:eastAsia="宋体"/>
                <w:sz w:val="16"/>
              </w:rPr>
              <w:t>轮台县园林绿化服务中心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3B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014D7A">
            <w:pPr>
              <w:jc w:val="center"/>
            </w:pPr>
            <w:r>
              <w:rPr>
                <w:rFonts w:ascii="宋体" w:hAnsi="宋体" w:eastAsia="宋体"/>
                <w:sz w:val="16"/>
              </w:rPr>
              <w:t>轮台县园林绿化服务中心</w:t>
            </w:r>
          </w:p>
        </w:tc>
      </w:tr>
      <w:tr w14:paraId="61B3FF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3791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0A6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8FEA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149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01A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1B4C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1B5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6D63">
            <w:pPr>
              <w:jc w:val="center"/>
            </w:pPr>
            <w:r>
              <w:rPr>
                <w:rFonts w:ascii="宋体" w:hAnsi="宋体" w:eastAsia="宋体"/>
                <w:sz w:val="16"/>
              </w:rPr>
              <w:t>得分</w:t>
            </w:r>
          </w:p>
        </w:tc>
      </w:tr>
      <w:tr w14:paraId="69C265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E90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550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F6ECA">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FFD28">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02ECB">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9C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D61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4ED1">
            <w:pPr>
              <w:jc w:val="center"/>
            </w:pPr>
            <w:r>
              <w:rPr>
                <w:rFonts w:ascii="宋体" w:hAnsi="宋体" w:eastAsia="宋体"/>
                <w:sz w:val="16"/>
              </w:rPr>
              <w:t>10.00</w:t>
            </w:r>
          </w:p>
        </w:tc>
      </w:tr>
      <w:tr w14:paraId="5AE7A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86A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275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2DB2">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B569B">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00991">
            <w:pPr>
              <w:jc w:val="center"/>
            </w:pPr>
            <w:r>
              <w:rPr>
                <w:rFonts w:ascii="宋体" w:hAnsi="宋体" w:eastAsia="宋体"/>
                <w:sz w:val="16"/>
              </w:rPr>
              <w:t>12.75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863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BF5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FA91">
            <w:pPr>
              <w:jc w:val="center"/>
            </w:pPr>
            <w:r>
              <w:rPr>
                <w:rFonts w:ascii="宋体" w:hAnsi="宋体" w:eastAsia="宋体"/>
                <w:sz w:val="16"/>
              </w:rPr>
              <w:t>-</w:t>
            </w:r>
          </w:p>
        </w:tc>
      </w:tr>
      <w:tr w14:paraId="765AA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BC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404EC">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347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7D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814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8C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0BD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2BFF">
            <w:pPr>
              <w:jc w:val="center"/>
            </w:pPr>
            <w:r>
              <w:rPr>
                <w:rFonts w:ascii="宋体" w:hAnsi="宋体" w:eastAsia="宋体"/>
                <w:sz w:val="16"/>
              </w:rPr>
              <w:t>-</w:t>
            </w:r>
          </w:p>
        </w:tc>
      </w:tr>
      <w:tr w14:paraId="4C9C0E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4DDC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41697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21A8D">
            <w:pPr>
              <w:jc w:val="center"/>
            </w:pPr>
            <w:r>
              <w:rPr>
                <w:rFonts w:ascii="宋体" w:hAnsi="宋体" w:eastAsia="宋体"/>
                <w:sz w:val="16"/>
              </w:rPr>
              <w:t>总体目标完成情况</w:t>
            </w:r>
          </w:p>
        </w:tc>
      </w:tr>
      <w:tr w14:paraId="7654C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8E0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AAD4F">
            <w:pPr>
              <w:jc w:val="both"/>
            </w:pPr>
            <w:r>
              <w:rPr>
                <w:rFonts w:ascii="宋体" w:hAnsi="宋体" w:eastAsia="宋体"/>
                <w:sz w:val="16"/>
              </w:rPr>
              <w:t>为了巩固提升国家园林城市创建成果，确保种植的法桐能够顺利越冬成活，落实住建局文件和精神要求：                                                                               目标：计划采购防寒包裹棉毡，确保种植的法桐能够顺利越冬成活，确保树木健康生长。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D1A39">
            <w:pPr>
              <w:jc w:val="both"/>
            </w:pPr>
            <w:r>
              <w:rPr>
                <w:rFonts w:hint="eastAsia" w:ascii="宋体" w:hAnsi="宋体"/>
                <w:sz w:val="16"/>
                <w:lang w:eastAsia="zh-CN"/>
              </w:rPr>
              <w:t>本单位</w:t>
            </w:r>
            <w:r>
              <w:rPr>
                <w:rFonts w:ascii="宋体" w:hAnsi="宋体" w:eastAsia="宋体"/>
                <w:sz w:val="16"/>
              </w:rPr>
              <w:t>本年度巩固提升了国家园林城市创建成果，已完成采购防寒包裹棉毡布8620条，确保了种植的法桐能够顺利越冬成活，提升了轮台县绿化养护效率。</w:t>
            </w:r>
          </w:p>
        </w:tc>
      </w:tr>
      <w:tr w14:paraId="1F0894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DAE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9F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63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1C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05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81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4D3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D9B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D5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8D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AB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2FA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86F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00C7">
            <w:pPr>
              <w:jc w:val="center"/>
            </w:pPr>
            <w:r>
              <w:rPr>
                <w:rFonts w:ascii="宋体" w:hAnsi="宋体" w:eastAsia="宋体"/>
                <w:sz w:val="16"/>
              </w:rPr>
              <w:t>偏差原因分析及改进措施</w:t>
            </w:r>
          </w:p>
        </w:tc>
      </w:tr>
      <w:tr w14:paraId="3B0128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7B3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E24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41E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BE94">
            <w:pPr>
              <w:jc w:val="center"/>
            </w:pPr>
            <w:r>
              <w:rPr>
                <w:rFonts w:ascii="宋体" w:hAnsi="宋体" w:eastAsia="宋体"/>
                <w:sz w:val="16"/>
              </w:rPr>
              <w:t>采购防寒包裹棉毡布数量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E17F">
            <w:pPr>
              <w:jc w:val="center"/>
            </w:pPr>
            <w:r>
              <w:rPr>
                <w:rFonts w:ascii="宋体" w:hAnsi="宋体" w:eastAsia="宋体"/>
                <w:sz w:val="16"/>
              </w:rPr>
              <w:t>&gt;=8620条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5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CA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E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19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BA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9070">
            <w:pPr>
              <w:jc w:val="center"/>
            </w:pPr>
            <w:r>
              <w:rPr>
                <w:rFonts w:ascii="宋体" w:hAnsi="宋体" w:eastAsia="宋体"/>
                <w:sz w:val="16"/>
              </w:rPr>
              <w:t>=8620条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69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7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3812">
            <w:pPr>
              <w:jc w:val="center"/>
            </w:pPr>
          </w:p>
        </w:tc>
      </w:tr>
      <w:tr w14:paraId="4CF92C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F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AF4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100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593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E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83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2F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3A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24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74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F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F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D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23E5">
            <w:pPr>
              <w:jc w:val="center"/>
            </w:pPr>
          </w:p>
        </w:tc>
      </w:tr>
      <w:tr w14:paraId="3D26F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4E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DE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98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DB61">
            <w:pPr>
              <w:jc w:val="center"/>
            </w:pPr>
            <w:r>
              <w:rPr>
                <w:rFonts w:ascii="宋体" w:hAnsi="宋体" w:eastAsia="宋体"/>
                <w:sz w:val="16"/>
              </w:rPr>
              <w:t>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6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A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9C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B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10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97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84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2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CA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D5D0">
            <w:pPr>
              <w:jc w:val="center"/>
            </w:pPr>
          </w:p>
        </w:tc>
      </w:tr>
      <w:tr w14:paraId="5E674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18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9E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14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05A5">
            <w:pPr>
              <w:jc w:val="center"/>
            </w:pPr>
            <w:r>
              <w:rPr>
                <w:rFonts w:ascii="宋体" w:hAnsi="宋体" w:eastAsia="宋体"/>
                <w:sz w:val="16"/>
              </w:rPr>
              <w:t>物资采购及时率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28F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4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CD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4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C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CD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D6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1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1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7C6A">
            <w:pPr>
              <w:jc w:val="center"/>
            </w:pPr>
          </w:p>
        </w:tc>
      </w:tr>
      <w:tr w14:paraId="7D4AE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FD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5B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C8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2AA7">
            <w:pPr>
              <w:jc w:val="center"/>
            </w:pPr>
            <w:r>
              <w:rPr>
                <w:rFonts w:ascii="宋体" w:hAnsi="宋体" w:eastAsia="宋体"/>
                <w:sz w:val="16"/>
              </w:rPr>
              <w:t>采购防寒包裹棉毡成本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78E1">
            <w:pPr>
              <w:jc w:val="center"/>
            </w:pPr>
            <w:r>
              <w:rPr>
                <w:rFonts w:ascii="宋体" w:hAnsi="宋体" w:eastAsia="宋体"/>
                <w:sz w:val="16"/>
              </w:rPr>
              <w:t>&lt;=14.80元/条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65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2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D6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28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57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B5F3">
            <w:pPr>
              <w:jc w:val="center"/>
            </w:pPr>
            <w:r>
              <w:rPr>
                <w:rFonts w:ascii="宋体" w:hAnsi="宋体" w:eastAsia="宋体"/>
                <w:sz w:val="16"/>
              </w:rPr>
              <w:t>=14.8元/条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6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02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D742">
            <w:pPr>
              <w:jc w:val="center"/>
            </w:pPr>
          </w:p>
        </w:tc>
      </w:tr>
      <w:tr w14:paraId="157E5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3FA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4D7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322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2C93">
            <w:pPr>
              <w:jc w:val="center"/>
            </w:pPr>
            <w:r>
              <w:rPr>
                <w:rFonts w:ascii="宋体" w:hAnsi="宋体" w:eastAsia="宋体"/>
                <w:sz w:val="16"/>
              </w:rPr>
              <w:t>物资利用率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156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2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EC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40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22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77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4A3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A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0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0F22">
            <w:pPr>
              <w:jc w:val="center"/>
            </w:pPr>
          </w:p>
        </w:tc>
      </w:tr>
      <w:tr w14:paraId="0A186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3C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E1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B3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D4F7">
            <w:pPr>
              <w:jc w:val="center"/>
            </w:pPr>
            <w:r>
              <w:rPr>
                <w:rFonts w:ascii="宋体" w:hAnsi="宋体" w:eastAsia="宋体"/>
                <w:sz w:val="16"/>
              </w:rPr>
              <w:t>提升轮台县绿化养护效率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A3A1">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CD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7D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3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A9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854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BE83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44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1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4B0C">
            <w:pPr>
              <w:jc w:val="center"/>
            </w:pPr>
          </w:p>
        </w:tc>
      </w:tr>
      <w:tr w14:paraId="38B42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3C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05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D3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B87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18C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B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6B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13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2D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0F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BD7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35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57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1FC1">
            <w:pPr>
              <w:jc w:val="center"/>
            </w:pPr>
          </w:p>
        </w:tc>
      </w:tr>
      <w:tr w14:paraId="4AF22D2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DEFC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1C9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E90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2C8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0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604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F0E9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1DCD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5B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84B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4D55C"/>
        </w:tc>
      </w:tr>
    </w:tbl>
    <w:p w14:paraId="2AC35D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D16CB1E">
        <w:tblPrEx>
          <w:tblCellMar>
            <w:top w:w="0" w:type="dxa"/>
            <w:left w:w="108" w:type="dxa"/>
            <w:bottom w:w="0" w:type="dxa"/>
            <w:right w:w="108" w:type="dxa"/>
          </w:tblCellMar>
        </w:tblPrEx>
        <w:tc>
          <w:tcPr>
            <w:tcW w:w="8848" w:type="dxa"/>
            <w:gridSpan w:val="14"/>
            <w:vAlign w:val="center"/>
          </w:tcPr>
          <w:p w14:paraId="6E44B81A">
            <w:pPr>
              <w:jc w:val="center"/>
            </w:pPr>
            <w:r>
              <w:rPr>
                <w:rFonts w:ascii="宋体" w:hAnsi="宋体" w:eastAsia="宋体"/>
                <w:sz w:val="24"/>
              </w:rPr>
              <w:t>项目支出绩效自评表</w:t>
            </w:r>
          </w:p>
        </w:tc>
      </w:tr>
      <w:tr w14:paraId="71CD86A4">
        <w:tblPrEx>
          <w:tblCellMar>
            <w:top w:w="0" w:type="dxa"/>
            <w:left w:w="108" w:type="dxa"/>
            <w:bottom w:w="0" w:type="dxa"/>
            <w:right w:w="108" w:type="dxa"/>
          </w:tblCellMar>
        </w:tblPrEx>
        <w:tc>
          <w:tcPr>
            <w:tcW w:w="8848" w:type="dxa"/>
            <w:gridSpan w:val="14"/>
            <w:vAlign w:val="center"/>
          </w:tcPr>
          <w:p w14:paraId="3413F87F">
            <w:pPr>
              <w:jc w:val="center"/>
            </w:pPr>
            <w:r>
              <w:rPr>
                <w:rFonts w:ascii="宋体" w:hAnsi="宋体" w:eastAsia="宋体"/>
                <w:sz w:val="24"/>
              </w:rPr>
              <w:t>(2024年度)</w:t>
            </w:r>
          </w:p>
        </w:tc>
      </w:tr>
      <w:tr w14:paraId="4AFF6C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16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3E6A56">
            <w:pPr>
              <w:jc w:val="center"/>
            </w:pPr>
            <w:r>
              <w:rPr>
                <w:rFonts w:ascii="宋体" w:hAnsi="宋体" w:eastAsia="宋体"/>
                <w:sz w:val="16"/>
              </w:rPr>
              <w:t>园林中心:园林专用车辆燃油费汇总</w:t>
            </w:r>
          </w:p>
        </w:tc>
      </w:tr>
      <w:tr w14:paraId="5AD190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AF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84C99">
            <w:pPr>
              <w:jc w:val="center"/>
            </w:pPr>
            <w:r>
              <w:rPr>
                <w:rFonts w:ascii="宋体" w:hAnsi="宋体" w:eastAsia="宋体"/>
                <w:sz w:val="16"/>
              </w:rPr>
              <w:t>轮台县园林绿化服务中心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9B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737ABD">
            <w:pPr>
              <w:jc w:val="center"/>
            </w:pPr>
            <w:r>
              <w:rPr>
                <w:rFonts w:ascii="宋体" w:hAnsi="宋体" w:eastAsia="宋体"/>
                <w:sz w:val="16"/>
              </w:rPr>
              <w:t>轮台县园林绿化服务中心</w:t>
            </w:r>
          </w:p>
        </w:tc>
      </w:tr>
      <w:tr w14:paraId="3F6428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AD57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83F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0A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B06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281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7163">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90B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27A5">
            <w:pPr>
              <w:jc w:val="center"/>
            </w:pPr>
            <w:r>
              <w:rPr>
                <w:rFonts w:ascii="宋体" w:hAnsi="宋体" w:eastAsia="宋体"/>
                <w:sz w:val="16"/>
              </w:rPr>
              <w:t>得分</w:t>
            </w:r>
          </w:p>
        </w:tc>
      </w:tr>
      <w:tr w14:paraId="58119C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9AF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FE9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7242A">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127A">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60EC">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85F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417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3302">
            <w:pPr>
              <w:jc w:val="center"/>
            </w:pPr>
            <w:r>
              <w:rPr>
                <w:rFonts w:ascii="宋体" w:hAnsi="宋体" w:eastAsia="宋体"/>
                <w:sz w:val="16"/>
              </w:rPr>
              <w:t>10.00</w:t>
            </w:r>
          </w:p>
        </w:tc>
      </w:tr>
      <w:tr w14:paraId="74A5F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756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43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3594">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201D">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7F160">
            <w:pPr>
              <w:jc w:val="center"/>
            </w:pPr>
            <w:r>
              <w:rPr>
                <w:rFonts w:ascii="宋体" w:hAnsi="宋体" w:eastAsia="宋体"/>
                <w:sz w:val="16"/>
              </w:rPr>
              <w:t>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025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0D3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E7AF">
            <w:pPr>
              <w:jc w:val="center"/>
            </w:pPr>
            <w:r>
              <w:rPr>
                <w:rFonts w:ascii="宋体" w:hAnsi="宋体" w:eastAsia="宋体"/>
                <w:sz w:val="16"/>
              </w:rPr>
              <w:t>-</w:t>
            </w:r>
          </w:p>
        </w:tc>
      </w:tr>
      <w:tr w14:paraId="36744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AFC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3764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C90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FE9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4C0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6B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A49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1406">
            <w:pPr>
              <w:jc w:val="center"/>
            </w:pPr>
            <w:r>
              <w:rPr>
                <w:rFonts w:ascii="宋体" w:hAnsi="宋体" w:eastAsia="宋体"/>
                <w:sz w:val="16"/>
              </w:rPr>
              <w:t>-</w:t>
            </w:r>
          </w:p>
        </w:tc>
      </w:tr>
      <w:tr w14:paraId="17E62C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B29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1897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77B70F">
            <w:pPr>
              <w:jc w:val="center"/>
            </w:pPr>
            <w:r>
              <w:rPr>
                <w:rFonts w:ascii="宋体" w:hAnsi="宋体" w:eastAsia="宋体"/>
                <w:sz w:val="16"/>
              </w:rPr>
              <w:t>总体目标完成情况</w:t>
            </w:r>
          </w:p>
        </w:tc>
      </w:tr>
      <w:tr w14:paraId="26C2E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6E0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1B1C1D">
            <w:pPr>
              <w:jc w:val="both"/>
            </w:pPr>
            <w:r>
              <w:rPr>
                <w:rFonts w:ascii="宋体" w:hAnsi="宋体" w:eastAsia="宋体"/>
                <w:sz w:val="16"/>
              </w:rPr>
              <w:t>目标：为了确保园林专用车辆，拖拉机，绿篱机，剪草机，草坪机等车辆正常工作，提升园林专用车辆工作效率，从而确保债权人的利益得到有效保障，确保公司财务状况持续稳定，支付燃油费欠款7.86万元。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FF59F9">
            <w:pPr>
              <w:jc w:val="both"/>
            </w:pPr>
            <w:r>
              <w:rPr>
                <w:rFonts w:hint="eastAsia" w:ascii="宋体" w:hAnsi="宋体"/>
                <w:sz w:val="16"/>
                <w:lang w:eastAsia="zh-CN"/>
              </w:rPr>
              <w:t>本单位</w:t>
            </w:r>
            <w:r>
              <w:rPr>
                <w:rFonts w:ascii="宋体" w:hAnsi="宋体" w:eastAsia="宋体"/>
                <w:sz w:val="16"/>
              </w:rPr>
              <w:t>本年度确保了园林专用车辆，拖拉机，绿篱机，剪草机，草坪机等车辆正常工作，已支付燃油费欠款7.86万元，从而确保了债权人的利益得到有效保障，确保了公司财务状况持续稳定。</w:t>
            </w:r>
          </w:p>
        </w:tc>
      </w:tr>
      <w:tr w14:paraId="1B048B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230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D3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17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9D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1CCD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EC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2F1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5A5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8B5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E5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7F1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C83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A84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2402">
            <w:pPr>
              <w:jc w:val="center"/>
            </w:pPr>
            <w:r>
              <w:rPr>
                <w:rFonts w:ascii="宋体" w:hAnsi="宋体" w:eastAsia="宋体"/>
                <w:sz w:val="16"/>
              </w:rPr>
              <w:t>偏差原因分析及改进措施</w:t>
            </w:r>
          </w:p>
        </w:tc>
      </w:tr>
      <w:tr w14:paraId="3293D7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236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840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76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DCA1">
            <w:pPr>
              <w:jc w:val="center"/>
            </w:pPr>
            <w:r>
              <w:rPr>
                <w:rFonts w:ascii="宋体" w:hAnsi="宋体" w:eastAsia="宋体"/>
                <w:sz w:val="16"/>
              </w:rPr>
              <w:t>支付燃油费月数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405B">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7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49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94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F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79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B4AE">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1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C4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CE55">
            <w:pPr>
              <w:jc w:val="center"/>
            </w:pPr>
          </w:p>
        </w:tc>
      </w:tr>
      <w:tr w14:paraId="33AE3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4D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9F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642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10A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2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A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D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C1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8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3B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3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5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A9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6A86">
            <w:pPr>
              <w:jc w:val="center"/>
            </w:pPr>
          </w:p>
        </w:tc>
      </w:tr>
      <w:tr w14:paraId="17550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54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B3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29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F34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5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B1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74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E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4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7E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C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1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D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E046">
            <w:pPr>
              <w:jc w:val="center"/>
            </w:pPr>
          </w:p>
        </w:tc>
      </w:tr>
      <w:tr w14:paraId="5CD42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17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E8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94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D02D">
            <w:pPr>
              <w:jc w:val="center"/>
            </w:pPr>
            <w:r>
              <w:rPr>
                <w:rFonts w:ascii="宋体" w:hAnsi="宋体" w:eastAsia="宋体"/>
                <w:sz w:val="16"/>
              </w:rPr>
              <w:t>燃油费月平均成本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C4C8">
            <w:pPr>
              <w:jc w:val="center"/>
            </w:pPr>
            <w:r>
              <w:rPr>
                <w:rFonts w:ascii="宋体" w:hAnsi="宋体" w:eastAsia="宋体"/>
                <w:sz w:val="16"/>
              </w:rPr>
              <w:t>&lt;=1.12万元/月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C1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BE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D34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8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93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7043">
            <w:pPr>
              <w:jc w:val="center"/>
            </w:pPr>
            <w:r>
              <w:rPr>
                <w:rFonts w:ascii="宋体" w:hAnsi="宋体" w:eastAsia="宋体"/>
                <w:sz w:val="16"/>
              </w:rPr>
              <w:t>=1.12万元/月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1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6A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0F5A">
            <w:pPr>
              <w:jc w:val="center"/>
            </w:pPr>
          </w:p>
        </w:tc>
      </w:tr>
      <w:tr w14:paraId="0145A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3EA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52DE1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E5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E4DB">
            <w:pPr>
              <w:jc w:val="center"/>
            </w:pPr>
            <w:r>
              <w:rPr>
                <w:rFonts w:ascii="宋体" w:hAnsi="宋体" w:eastAsia="宋体"/>
                <w:sz w:val="16"/>
              </w:rPr>
              <w:t>确保车辆正常工作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81D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9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31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7D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DD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40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16B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C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4C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E755">
            <w:pPr>
              <w:jc w:val="center"/>
            </w:pPr>
          </w:p>
        </w:tc>
      </w:tr>
      <w:tr w14:paraId="32A23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11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24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E7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B5B7">
            <w:pPr>
              <w:jc w:val="center"/>
            </w:pPr>
            <w:r>
              <w:rPr>
                <w:rFonts w:ascii="宋体" w:hAnsi="宋体" w:eastAsia="宋体"/>
                <w:sz w:val="16"/>
              </w:rPr>
              <w:t>确保单位财务状况持续稳定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FF1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E5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AC6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4A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16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99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FFF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3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44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10CD">
            <w:pPr>
              <w:jc w:val="center"/>
            </w:pPr>
          </w:p>
        </w:tc>
      </w:tr>
      <w:tr w14:paraId="59B821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EF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45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57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AD8D">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B1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F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7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73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58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A2F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B5F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0F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C5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3FD0">
            <w:pPr>
              <w:jc w:val="center"/>
            </w:pPr>
          </w:p>
        </w:tc>
      </w:tr>
      <w:tr w14:paraId="0A29D67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0077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6E43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52BA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85C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2C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86E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C1D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146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03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F41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8B3206"/>
        </w:tc>
      </w:tr>
    </w:tbl>
    <w:p w14:paraId="25051ADA">
      <w:r>
        <w:br w:type="page"/>
      </w:r>
    </w:p>
    <w:p w14:paraId="6289A384">
      <w:pPr>
        <w:spacing w:line="640" w:lineRule="exact"/>
        <w:ind w:firstLine="640"/>
        <w:jc w:val="both"/>
        <w:outlineLvl w:val="2"/>
      </w:pPr>
      <w:r>
        <w:rPr>
          <w:rFonts w:ascii="黑体" w:hAnsi="黑体" w:eastAsia="黑体"/>
          <w:sz w:val="32"/>
        </w:rPr>
        <w:t>十二、其他需说明的事项</w:t>
      </w:r>
    </w:p>
    <w:p w14:paraId="24F94907">
      <w:pPr>
        <w:spacing w:line="580" w:lineRule="exact"/>
        <w:ind w:firstLine="640"/>
        <w:jc w:val="both"/>
      </w:pPr>
      <w:r>
        <w:rPr>
          <w:rFonts w:ascii="仿宋_GB2312" w:hAnsi="仿宋_GB2312" w:eastAsia="仿宋_GB2312"/>
          <w:b w:val="0"/>
          <w:sz w:val="32"/>
        </w:rPr>
        <w:t>本单位无其他需说明的事项。</w:t>
      </w:r>
    </w:p>
    <w:p w14:paraId="3B6F36BE">
      <w:r>
        <w:br w:type="page"/>
      </w:r>
    </w:p>
    <w:p w14:paraId="4271E59D">
      <w:pPr>
        <w:spacing w:line="240" w:lineRule="auto"/>
        <w:jc w:val="center"/>
        <w:outlineLvl w:val="1"/>
      </w:pPr>
      <w:r>
        <w:rPr>
          <w:rFonts w:ascii="黑体" w:hAnsi="黑体" w:eastAsia="黑体"/>
          <w:sz w:val="32"/>
        </w:rPr>
        <w:t>第三部分 专业名词解释</w:t>
      </w:r>
    </w:p>
    <w:p w14:paraId="4267BA3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85C1B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6CB27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B1994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AAF90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9BA0E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A1D29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6536F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8F316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9A60E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ED70E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A82E55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1672B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E5538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441F02">
      <w:r>
        <w:br w:type="page"/>
      </w:r>
    </w:p>
    <w:p w14:paraId="6AE1B052">
      <w:pPr>
        <w:spacing w:line="240" w:lineRule="auto"/>
        <w:jc w:val="center"/>
        <w:outlineLvl w:val="1"/>
      </w:pPr>
      <w:r>
        <w:rPr>
          <w:rFonts w:ascii="黑体" w:hAnsi="黑体" w:eastAsia="黑体"/>
          <w:sz w:val="32"/>
        </w:rPr>
        <w:t>第四部分 部门决算报表（见附表）</w:t>
      </w:r>
    </w:p>
    <w:p w14:paraId="1E8D9C7D">
      <w:pPr>
        <w:spacing w:line="240" w:lineRule="auto"/>
        <w:ind w:firstLine="640"/>
        <w:jc w:val="both"/>
      </w:pPr>
      <w:r>
        <w:rPr>
          <w:rFonts w:ascii="仿宋_GB2312" w:hAnsi="仿宋_GB2312" w:eastAsia="仿宋_GB2312"/>
          <w:b w:val="0"/>
          <w:sz w:val="32"/>
        </w:rPr>
        <w:t>一、《收入支出决算总表》</w:t>
      </w:r>
    </w:p>
    <w:p w14:paraId="1B4D62D4">
      <w:pPr>
        <w:spacing w:line="240" w:lineRule="auto"/>
        <w:ind w:firstLine="640"/>
        <w:jc w:val="both"/>
      </w:pPr>
      <w:r>
        <w:rPr>
          <w:rFonts w:ascii="仿宋_GB2312" w:hAnsi="仿宋_GB2312" w:eastAsia="仿宋_GB2312"/>
          <w:b w:val="0"/>
          <w:sz w:val="32"/>
        </w:rPr>
        <w:t>二、《收入决算表》</w:t>
      </w:r>
    </w:p>
    <w:p w14:paraId="0DC2DB26">
      <w:pPr>
        <w:spacing w:line="240" w:lineRule="auto"/>
        <w:ind w:firstLine="640"/>
        <w:jc w:val="both"/>
      </w:pPr>
      <w:r>
        <w:rPr>
          <w:rFonts w:ascii="仿宋_GB2312" w:hAnsi="仿宋_GB2312" w:eastAsia="仿宋_GB2312"/>
          <w:b w:val="0"/>
          <w:sz w:val="32"/>
        </w:rPr>
        <w:t>三、《支出决算表》</w:t>
      </w:r>
    </w:p>
    <w:p w14:paraId="7671F088">
      <w:pPr>
        <w:spacing w:line="240" w:lineRule="auto"/>
        <w:ind w:firstLine="640"/>
        <w:jc w:val="both"/>
      </w:pPr>
      <w:r>
        <w:rPr>
          <w:rFonts w:ascii="仿宋_GB2312" w:hAnsi="仿宋_GB2312" w:eastAsia="仿宋_GB2312"/>
          <w:b w:val="0"/>
          <w:sz w:val="32"/>
        </w:rPr>
        <w:t>四、《财政拨款收入支出决算总表》</w:t>
      </w:r>
    </w:p>
    <w:p w14:paraId="3771AB90">
      <w:pPr>
        <w:spacing w:line="240" w:lineRule="auto"/>
        <w:ind w:firstLine="640"/>
        <w:jc w:val="both"/>
      </w:pPr>
      <w:r>
        <w:rPr>
          <w:rFonts w:ascii="仿宋_GB2312" w:hAnsi="仿宋_GB2312" w:eastAsia="仿宋_GB2312"/>
          <w:b w:val="0"/>
          <w:sz w:val="32"/>
        </w:rPr>
        <w:t>五、《一般公共预算财政拨款支出决算表》</w:t>
      </w:r>
    </w:p>
    <w:p w14:paraId="5FCB4E31">
      <w:pPr>
        <w:spacing w:line="240" w:lineRule="auto"/>
        <w:ind w:firstLine="640"/>
        <w:jc w:val="both"/>
      </w:pPr>
      <w:r>
        <w:rPr>
          <w:rFonts w:ascii="仿宋_GB2312" w:hAnsi="仿宋_GB2312" w:eastAsia="仿宋_GB2312"/>
          <w:b w:val="0"/>
          <w:sz w:val="32"/>
        </w:rPr>
        <w:t>六、《一般公共预算财政拨款基本支出决算表》</w:t>
      </w:r>
    </w:p>
    <w:p w14:paraId="43DAD6F6">
      <w:pPr>
        <w:spacing w:line="240" w:lineRule="auto"/>
        <w:ind w:firstLine="640"/>
        <w:jc w:val="both"/>
      </w:pPr>
      <w:r>
        <w:rPr>
          <w:rFonts w:ascii="仿宋_GB2312" w:hAnsi="仿宋_GB2312" w:eastAsia="仿宋_GB2312"/>
          <w:b w:val="0"/>
          <w:sz w:val="32"/>
        </w:rPr>
        <w:t>七、《政府性基金预算财政拨款收入支出决算表》</w:t>
      </w:r>
    </w:p>
    <w:p w14:paraId="210BE52B">
      <w:pPr>
        <w:spacing w:line="240" w:lineRule="auto"/>
        <w:ind w:firstLine="640"/>
        <w:jc w:val="both"/>
      </w:pPr>
      <w:r>
        <w:rPr>
          <w:rFonts w:ascii="仿宋_GB2312" w:hAnsi="仿宋_GB2312" w:eastAsia="仿宋_GB2312"/>
          <w:b w:val="0"/>
          <w:sz w:val="32"/>
        </w:rPr>
        <w:t>八、《国有资本经营预算财政拨款收入支出决算表》</w:t>
      </w:r>
    </w:p>
    <w:p w14:paraId="61AB2792">
      <w:pPr>
        <w:spacing w:line="240" w:lineRule="auto"/>
        <w:ind w:firstLine="640"/>
        <w:jc w:val="both"/>
      </w:pPr>
      <w:r>
        <w:rPr>
          <w:rFonts w:ascii="仿宋_GB2312" w:hAnsi="仿宋_GB2312" w:eastAsia="仿宋_GB2312"/>
          <w:b w:val="0"/>
          <w:sz w:val="32"/>
        </w:rPr>
        <w:t>九、《财政拨款“三公”经费支出决算表》</w:t>
      </w:r>
    </w:p>
    <w:p w14:paraId="7AD4B0FB">
      <w:pPr>
        <w:spacing w:line="240" w:lineRule="auto"/>
        <w:ind w:firstLine="640"/>
        <w:jc w:val="both"/>
      </w:pPr>
    </w:p>
    <w:p w14:paraId="1026D94D">
      <w:pPr>
        <w:spacing w:line="240" w:lineRule="auto"/>
        <w:ind w:firstLine="640"/>
        <w:jc w:val="both"/>
      </w:pPr>
    </w:p>
    <w:p w14:paraId="7A0B78AA">
      <w:pPr>
        <w:spacing w:line="240" w:lineRule="auto"/>
        <w:ind w:firstLine="640"/>
        <w:jc w:val="both"/>
      </w:pPr>
    </w:p>
    <w:p w14:paraId="515D740B">
      <w:pPr>
        <w:spacing w:line="240" w:lineRule="auto"/>
        <w:ind w:firstLine="640"/>
        <w:jc w:val="both"/>
      </w:pPr>
    </w:p>
    <w:p w14:paraId="4FFFF4E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6AB04D-61D5-40B2-B8E7-EE5DBF622E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6BC17E2-7C6D-4A9B-A507-7E1E47C5FA55}"/>
  </w:font>
  <w:font w:name="仿宋_GB2312">
    <w:altName w:val="仿宋"/>
    <w:panose1 w:val="02010609030101010101"/>
    <w:charset w:val="86"/>
    <w:family w:val="modern"/>
    <w:pitch w:val="default"/>
    <w:sig w:usb0="00000000" w:usb1="00000000" w:usb2="00000000" w:usb3="00000000" w:csb0="00040000" w:csb1="00000000"/>
    <w:embedRegular r:id="rId3" w:fontKey="{68243512-91CF-4370-8A8D-6E0CD4D6E2F2}"/>
  </w:font>
  <w:font w:name="楷体_GB2312">
    <w:altName w:val="楷体"/>
    <w:panose1 w:val="00000000000000000000"/>
    <w:charset w:val="00"/>
    <w:family w:val="auto"/>
    <w:pitch w:val="default"/>
    <w:sig w:usb0="00000000" w:usb1="00000000" w:usb2="00000000" w:usb3="00000000" w:csb0="00000000" w:csb1="00000000"/>
    <w:embedRegular r:id="rId4" w:fontKey="{DA1E5087-8595-49CD-96BD-8DEF16036966}"/>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34672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2F02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5126</Words>
  <Characters>5912</Characters>
  <Lines>0</Lines>
  <Paragraphs>0</Paragraphs>
  <TotalTime>11</TotalTime>
  <ScaleCrop>false</ScaleCrop>
  <LinksUpToDate>false</LinksUpToDate>
  <CharactersWithSpaces>5920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2025-09-16T07:44:40Z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