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轮台县图书馆2024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(一）收集各种类型的图书文献资料，进行科学</w:t>
      </w:r>
      <w:r>
        <w:rPr>
          <w:rFonts w:hint="eastAsia" w:ascii="仿宋_GB2312" w:hAnsi="仿宋_GB2312" w:eastAsia="仿宋_GB2312"/>
          <w:sz w:val="32"/>
          <w:lang w:eastAsia="zh-CN"/>
        </w:rPr>
        <w:t>地</w:t>
      </w:r>
      <w:r>
        <w:rPr>
          <w:rFonts w:ascii="仿宋_GB2312" w:hAnsi="仿宋_GB2312" w:eastAsia="仿宋_GB2312"/>
          <w:sz w:val="32"/>
        </w:rPr>
        <w:t>加工整理和管理，开发和利用“文化信息资源共享工程”，为我县提供切实有效的图书文献信息保障。</w:t>
      </w:r>
    </w:p>
    <w:p>
      <w:pPr>
        <w:spacing w:line="580" w:lineRule="exact"/>
        <w:ind w:firstLine="640"/>
        <w:jc w:val="both"/>
      </w:pPr>
      <w:r>
        <w:rPr>
          <w:rFonts w:ascii="仿宋_GB2312" w:hAnsi="仿宋_GB2312" w:eastAsia="仿宋_GB2312"/>
          <w:sz w:val="32"/>
        </w:rPr>
        <w:t>(二）开展文献借阅、阅览、读者辅导、参考咨询、信息服务和用户培训工作，</w:t>
      </w:r>
      <w:r>
        <w:rPr>
          <w:rFonts w:hint="eastAsia" w:ascii="仿宋_GB2312" w:hAnsi="仿宋_GB2312" w:eastAsia="仿宋_GB2312"/>
          <w:sz w:val="32"/>
          <w:lang w:eastAsia="zh-CN"/>
        </w:rPr>
        <w:t>增强</w:t>
      </w:r>
      <w:r>
        <w:rPr>
          <w:rFonts w:ascii="仿宋_GB2312" w:hAnsi="仿宋_GB2312" w:eastAsia="仿宋_GB2312"/>
          <w:sz w:val="32"/>
        </w:rPr>
        <w:t>读者的信息意识和利用文献信息的技能。</w:t>
      </w:r>
    </w:p>
    <w:p>
      <w:pPr>
        <w:spacing w:line="580" w:lineRule="exact"/>
        <w:ind w:firstLine="640"/>
        <w:jc w:val="both"/>
      </w:pPr>
      <w:r>
        <w:rPr>
          <w:rFonts w:ascii="仿宋_GB2312" w:hAnsi="仿宋_GB2312" w:eastAsia="仿宋_GB2312"/>
          <w:sz w:val="32"/>
        </w:rPr>
        <w:t>(三）积极采用现代技术，实行科学管理，不断提高业务工作质量和服务水平。</w:t>
      </w:r>
    </w:p>
    <w:p>
      <w:pPr>
        <w:spacing w:line="580" w:lineRule="exact"/>
        <w:ind w:firstLine="640"/>
        <w:jc w:val="both"/>
      </w:pPr>
      <w:r>
        <w:rPr>
          <w:rFonts w:ascii="仿宋_GB2312" w:hAnsi="仿宋_GB2312" w:eastAsia="仿宋_GB2312"/>
          <w:sz w:val="32"/>
        </w:rPr>
        <w:t>(四）开展多功能、多层次、多方式的读者服务工作，提高各种文献资料的利用率。</w:t>
      </w:r>
    </w:p>
    <w:p>
      <w:pPr>
        <w:spacing w:line="580" w:lineRule="exact"/>
        <w:ind w:firstLine="640"/>
        <w:jc w:val="both"/>
      </w:pPr>
      <w:r>
        <w:rPr>
          <w:rFonts w:ascii="仿宋_GB2312" w:hAnsi="仿宋_GB2312" w:eastAsia="仿宋_GB2312"/>
          <w:sz w:val="32"/>
        </w:rPr>
        <w:t>(五）兼顾纸质文献、电子文献和</w:t>
      </w:r>
      <w:r>
        <w:rPr>
          <w:rFonts w:hint="eastAsia" w:ascii="仿宋_GB2312" w:hAnsi="仿宋_GB2312" w:eastAsia="仿宋_GB2312"/>
          <w:sz w:val="32"/>
          <w:lang w:eastAsia="zh-CN"/>
        </w:rPr>
        <w:t>其他载体</w:t>
      </w:r>
      <w:r>
        <w:rPr>
          <w:rFonts w:ascii="仿宋_GB2312" w:hAnsi="仿宋_GB2312" w:eastAsia="仿宋_GB2312"/>
          <w:sz w:val="32"/>
        </w:rPr>
        <w:t>文献的流通阅览，积极推广纸质文献开架借阅、电子资源上网服务。</w:t>
      </w:r>
    </w:p>
    <w:p>
      <w:pPr>
        <w:spacing w:line="580" w:lineRule="exact"/>
        <w:ind w:firstLine="640"/>
        <w:jc w:val="both"/>
      </w:pPr>
      <w:r>
        <w:rPr>
          <w:rFonts w:ascii="仿宋_GB2312" w:hAnsi="仿宋_GB2312" w:eastAsia="仿宋_GB2312"/>
          <w:sz w:val="32"/>
        </w:rPr>
        <w:t>(六）保护读者合法、公平地利用图书馆的权利,为残疾人等特殊读者利用图书馆提供便利。</w:t>
      </w:r>
    </w:p>
    <w:p>
      <w:pPr>
        <w:spacing w:line="580" w:lineRule="exact"/>
        <w:ind w:firstLine="640"/>
        <w:jc w:val="both"/>
      </w:pPr>
      <w:r>
        <w:rPr>
          <w:rFonts w:ascii="仿宋_GB2312" w:hAnsi="仿宋_GB2312" w:eastAsia="仿宋_GB2312"/>
          <w:sz w:val="32"/>
        </w:rPr>
        <w:t>(七）教育读者遵守规章制度，爱护文献资料和图书馆设施。对违反规章制度，损坏、盗窃文献资料或设备者，按照管理制度、法规予以处理。</w:t>
      </w:r>
    </w:p>
    <w:p>
      <w:pPr>
        <w:spacing w:line="580" w:lineRule="exact"/>
        <w:ind w:firstLine="640"/>
        <w:jc w:val="both"/>
      </w:pPr>
      <w:r>
        <w:rPr>
          <w:rFonts w:ascii="仿宋_GB2312" w:hAnsi="仿宋_GB2312" w:eastAsia="仿宋_GB2312"/>
          <w:sz w:val="32"/>
        </w:rPr>
        <w:t>(八）做好图书馆的馆舍、设备维修工作，注意内外环境的美化绿化，落实防火、防水等各项安全防护措施，改善灯光、通风、防寒防暑等条件，为读者创造良好的学习和研究环境。</w:t>
      </w:r>
    </w:p>
    <w:p>
      <w:pPr>
        <w:spacing w:line="580" w:lineRule="exact"/>
        <w:ind w:firstLine="640"/>
        <w:jc w:val="both"/>
      </w:pPr>
      <w:r>
        <w:rPr>
          <w:rFonts w:ascii="仿宋_GB2312" w:hAnsi="仿宋_GB2312" w:eastAsia="仿宋_GB2312"/>
          <w:sz w:val="32"/>
        </w:rPr>
        <w:t>(九）承担有关培训任务，完成上级交办的有关工作。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轮台县图书馆2024年度，实有人数13人，其中：在职人员5人，减少3人；离休人员0人，增加0人；退休人员8人,增加1人。</w:t>
      </w:r>
    </w:p>
    <w:p>
      <w:pPr>
        <w:spacing w:line="580" w:lineRule="exact"/>
        <w:ind w:firstLine="640"/>
        <w:jc w:val="both"/>
      </w:pPr>
      <w:r>
        <w:rPr>
          <w:rFonts w:ascii="仿宋_GB2312" w:hAnsi="仿宋_GB2312" w:eastAsia="仿宋_GB2312"/>
          <w:sz w:val="32"/>
        </w:rPr>
        <w:t>轮台县图书馆无下属预算单位，下设2个科室，分别是：图书室、少儿阅览室。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2024年度收入总计983.12万元，</w:t>
      </w:r>
      <w:r>
        <w:rPr>
          <w:rFonts w:ascii="仿宋_GB2312" w:hAnsi="仿宋_GB2312" w:eastAsia="仿宋_GB2312"/>
          <w:b w:val="0"/>
          <w:sz w:val="32"/>
        </w:rPr>
        <w:t>其中：本年收入合计983.09万元，使用非财政拨款结余（含专用结余）0.00万元，年初结转和结余0.02万元。</w:t>
      </w:r>
    </w:p>
    <w:p>
      <w:pPr>
        <w:spacing w:line="580" w:lineRule="exact"/>
        <w:ind w:firstLine="640"/>
        <w:jc w:val="both"/>
      </w:pPr>
      <w:r>
        <w:rPr>
          <w:rFonts w:ascii="仿宋_GB2312" w:hAnsi="仿宋_GB2312" w:eastAsia="仿宋_GB2312"/>
          <w:b/>
          <w:sz w:val="32"/>
        </w:rPr>
        <w:t>2024年度支出总计983.12万元，</w:t>
      </w:r>
      <w:r>
        <w:rPr>
          <w:rFonts w:ascii="仿宋_GB2312" w:hAnsi="仿宋_GB2312" w:eastAsia="仿宋_GB2312"/>
          <w:b w:val="0"/>
          <w:sz w:val="32"/>
        </w:rPr>
        <w:t>其中：本年支出合计983.10万元，结余分配0.00万元，年末结转和结余0.02万元。</w:t>
      </w:r>
    </w:p>
    <w:p>
      <w:pPr>
        <w:spacing w:line="580" w:lineRule="exact"/>
        <w:ind w:firstLine="640"/>
        <w:jc w:val="both"/>
      </w:pPr>
      <w:r>
        <w:rPr>
          <w:rFonts w:ascii="仿宋_GB2312" w:hAnsi="仿宋_GB2312" w:eastAsia="仿宋_GB2312"/>
          <w:b w:val="0"/>
          <w:sz w:val="32"/>
        </w:rPr>
        <w:t>收入支出总体与上年相比，增加835.16万元，增长564.45%，主要原因是：本年度增加轮台县图书馆建设项目工程款，导致经费较上年增加。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本年收入983.09万元，</w:t>
      </w:r>
      <w:r>
        <w:rPr>
          <w:rFonts w:ascii="仿宋_GB2312" w:hAnsi="仿宋_GB2312" w:eastAsia="仿宋_GB2312"/>
          <w:b w:val="0"/>
          <w:sz w:val="32"/>
        </w:rPr>
        <w:t>其中：财政拨款收入983.08万元，占100.00%；上级补助收入0.00万元，占0.00%；事业收入0.00万元，占0.00%；经营收入0.00万元，占0.00%；附属单位上缴收入0.00万元，占0.00%；其他收入0.01万元，占0.001%。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本年支出983.10万元，</w:t>
      </w:r>
      <w:r>
        <w:rPr>
          <w:rFonts w:ascii="仿宋_GB2312" w:hAnsi="仿宋_GB2312" w:eastAsia="仿宋_GB2312"/>
          <w:b w:val="0"/>
          <w:sz w:val="32"/>
        </w:rPr>
        <w:t>其中：基本支出138.85万元，占14.12%；项目支出844.25万元，占85.88%；上缴上级支出0.00万元，占0.00%；经营支出0.00万元，占0.00%；对附属单位补助支出0.00万元，占0.00%。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2024年度财政拨款收入总计983.08万元，</w:t>
      </w:r>
      <w:r>
        <w:rPr>
          <w:rFonts w:ascii="仿宋_GB2312" w:hAnsi="仿宋_GB2312" w:eastAsia="仿宋_GB2312"/>
          <w:b w:val="0"/>
          <w:sz w:val="32"/>
        </w:rPr>
        <w:t>其中：年初财政拨款结转和结余0.00万元，本年财政拨款收入983.08万元。</w:t>
      </w:r>
      <w:r>
        <w:rPr>
          <w:rFonts w:ascii="仿宋_GB2312" w:hAnsi="仿宋_GB2312" w:eastAsia="仿宋_GB2312"/>
          <w:b/>
          <w:sz w:val="32"/>
        </w:rPr>
        <w:t>财政拨款支出总计983.08万元，</w:t>
      </w:r>
      <w:r>
        <w:rPr>
          <w:rFonts w:ascii="仿宋_GB2312" w:hAnsi="仿宋_GB2312" w:eastAsia="仿宋_GB2312"/>
          <w:b w:val="0"/>
          <w:sz w:val="32"/>
        </w:rPr>
        <w:t>其中：年末财政拨款结转和结余0.00万元，本年财政拨款支出983.08万元。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增加835.16万元，增长564.60%，主要原因是：本年度增加轮台县图书馆建设项目工程款，导致经费较上年增加。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年初预算数968.59万元，决算数983.08万元，预决算差异率1.50%，主要原因是：年中追加轮台县图书馆建设项目工程款，导致预决算存在差异。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2024年度一般公共预算财政拨款支出983.08万元，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增加835.16万元，增长564.60%，主要原因是：本年度增加轮台县图书馆建设项目工程款，导致经费较上年增加。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年初预算数968.59万元，决算数983.08万元，预决算差异率1.50%，主要原因是：年中追加轮台县图书馆建设项目工程款，导致预决算存在差异。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1.文化旅游体育与传媒支出(类)118.92万元,占12.10%。</w:t>
      </w:r>
    </w:p>
    <w:p>
      <w:pPr>
        <w:spacing w:line="580" w:lineRule="exact"/>
        <w:ind w:firstLine="640"/>
        <w:jc w:val="both"/>
      </w:pPr>
      <w:r>
        <w:rPr>
          <w:rFonts w:ascii="仿宋_GB2312" w:hAnsi="仿宋_GB2312" w:eastAsia="仿宋_GB2312"/>
          <w:b w:val="0"/>
          <w:sz w:val="32"/>
        </w:rPr>
        <w:t>2.社会保障和就业支出(类)20.95万元,占2.13%。</w:t>
      </w:r>
    </w:p>
    <w:p>
      <w:pPr>
        <w:spacing w:line="580" w:lineRule="exact"/>
        <w:ind w:firstLine="640"/>
        <w:jc w:val="both"/>
      </w:pPr>
      <w:r>
        <w:rPr>
          <w:rFonts w:ascii="仿宋_GB2312" w:hAnsi="仿宋_GB2312" w:eastAsia="仿宋_GB2312"/>
          <w:b w:val="0"/>
          <w:sz w:val="32"/>
        </w:rPr>
        <w:t>3.卫生健康支出(类)4.87万元,占0.50%。</w:t>
      </w:r>
    </w:p>
    <w:p>
      <w:pPr>
        <w:spacing w:line="580" w:lineRule="exact"/>
        <w:ind w:firstLine="640"/>
        <w:jc w:val="both"/>
      </w:pPr>
      <w:r>
        <w:rPr>
          <w:rFonts w:ascii="仿宋_GB2312" w:hAnsi="仿宋_GB2312" w:eastAsia="仿宋_GB2312"/>
          <w:b w:val="0"/>
          <w:sz w:val="32"/>
        </w:rPr>
        <w:t>4.住房保障支出(类)8.34万元,占0.85%。</w:t>
      </w:r>
    </w:p>
    <w:p>
      <w:pPr>
        <w:spacing w:line="580" w:lineRule="exact"/>
        <w:ind w:firstLine="640"/>
        <w:jc w:val="both"/>
      </w:pPr>
      <w:r>
        <w:rPr>
          <w:rFonts w:ascii="仿宋_GB2312" w:hAnsi="仿宋_GB2312" w:eastAsia="仿宋_GB2312"/>
          <w:b w:val="0"/>
          <w:sz w:val="32"/>
        </w:rPr>
        <w:t>5.其他支出(类)830.00万元,占84.43%。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1.文化旅游体育与传媒支出(类)文化和旅游(款)图书馆(项):支出决算数为97.14万元，比上年决算增加0.25万元，增长0.26%,主要原因是：本年在职人员工资调增，工资等人员经费增加。</w:t>
      </w:r>
    </w:p>
    <w:p>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2.文化旅游体育与传媒支出(类)文化和旅游(款)其他文化和旅游支出(项):支出决算数为15.20万元，比上年决算增加0.73万元，增长5.04%,主要原因是：本年增加办公设备购置支出。</w:t>
      </w:r>
    </w:p>
    <w:p>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3.文化旅游体育与传媒支出(类)其他文化旅游体育与传媒支出(款)其他文化旅游体育与传媒支出(项):支出决算数为6.58万元，比上年决算增加1.38万元，增长26.54%,主要原因是：本年增加办公设备购置支出。</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4.社会保障和就业支出(类)行政事业单位养老支出(款)事业单位离退休(项):支出决算数为4.82万元，比上年决算增加1.46万元，增长43.45%,主要原因是：本年增加退休人员基础绩效奖，退休费支出增加。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10.73万元，比上年决算减少1.41万元，下降11.61%,主要原因是：本年在职人员减少，单位基本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6.社会保障和就业支出(类)行政事业单位养老支出(款)机关事业单位职业年金缴费支出(项):支出决算数为5.39万元，比上年决算增加5.39万元，增长100.00%,主要原因是：本年度退休人员增加，职业年金支出增加。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7.卫生健康支出(类)行政事业单位医疗(款)事业单位医疗(项):支出决算数为4.87万元，比上年决算减少1.31万元，下降21.20%,主要原因是：本年在职人员减少，事业单位医疗支出较上年减少。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8.住房保障支出(类)住房改革支出(款)住房公积金(项):支出决算数为8.34万元，比上年决算减少1.35万元，下降13.93%,主要原因是：本年在职人员减少，住房公积金缴费较上年减少。</w:t>
      </w:r>
    </w:p>
    <w:p>
      <w:pPr>
        <w:spacing w:line="580" w:lineRule="exact"/>
        <w:ind w:firstLine="640"/>
        <w:jc w:val="both"/>
      </w:pPr>
      <w:r>
        <w:rPr>
          <w:rFonts w:ascii="仿宋_GB2312" w:hAnsi="仿宋_GB2312" w:eastAsia="仿宋_GB2312"/>
          <w:b w:val="0"/>
          <w:sz w:val="32"/>
        </w:rPr>
        <w:t>9.其他支出(类)其他支出(款)其他支出(项):支出决算数为830.00万元，比上年决算增加830.00万元，增长100.00%,主要原因是：本年度增加轮台县图书馆建设项目工程款。</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2024年度一般公共预算财政拨款基本支出138.83万元，其中：</w:t>
      </w:r>
      <w:r>
        <w:rPr>
          <w:rFonts w:ascii="仿宋_GB2312" w:hAnsi="仿宋_GB2312" w:eastAsia="仿宋_GB2312"/>
          <w:b/>
          <w:sz w:val="32"/>
        </w:rPr>
        <w:t>人员经费109.62万元，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公用经费29.21万元，</w:t>
      </w:r>
      <w:r>
        <w:rPr>
          <w:rFonts w:ascii="仿宋_GB2312" w:hAnsi="仿宋_GB2312" w:eastAsia="仿宋_GB2312"/>
          <w:b w:val="0"/>
          <w:sz w:val="32"/>
        </w:rPr>
        <w:t>包括：办公费、取暖费、差旅费、税金及附加费用、办公设备购置。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2024年度轮台县图书馆（事业单位）公用经费支出29.21万元，比上年增加9.52万元，增长48.35%，主要原因是：本年增加图书馆传统文化产品类图书款，广告宣传制作费用等公用经费支出。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2024年度政府采购支出总额2.55万元，其中：政府采购货物支出1.22万元、政府采购工程支出0.00万元、政府采购服务支出1.33万元。</w:t>
      </w:r>
    </w:p>
    <w:p>
      <w:pPr>
        <w:spacing w:line="580" w:lineRule="exact"/>
        <w:ind w:firstLine="640"/>
        <w:jc w:val="both"/>
      </w:pPr>
      <w:r>
        <w:rPr>
          <w:rFonts w:ascii="仿宋_GB2312" w:hAnsi="仿宋_GB2312" w:eastAsia="仿宋_GB2312"/>
          <w:b w:val="0"/>
          <w:sz w:val="32"/>
        </w:rPr>
        <w:t>授予中小企业合同金额2.55万元，占政府采购支出总额的100.00%，其中：授予小微企业合同金额2.55万元，占政府采购支出总额的100.00%。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983.12万元，实际执行总额983.09万元；预算绩效评价项目2个，全年预算数835.00万元，全年执行数835.00万元。预算绩效管理取得的成效：一是滋养民族心灵、培育文化自信的重要场所以及“阅读是人类获取知识、启智增慧、培养道德的重要途径”的重要指示精神，二是大力推进巴州轮台县图书馆项目建设，保障图书馆顺利建设。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绩效指标设置的准确性和目标值设定的合理性。指标体系指向不明确，与资金安排不够匹配，约束力、操作性和指导性不强，导致绩效目标设定不够科学合理，影响了绩效评价质量及结果应用预算单位没有绩效管理专业人员，由单位财务人员承担，预算单位财会人员忙于业务，又缺乏专业性，导致编制的绩效目标质量不高，编制的部门整体支出绩效目标存在目标与指标空乏、缺乏约束力。二是项目监督工作存在薄弱环节，项目实施过程中的上报、跟踪、反馈机制尚未真正形成，对资金的使用、实施等监管措施仍然存在改进的空间。下一步改进措施：一是建立实施绩效管理的程序、步骤、方法、原则和要求进行统一的规定。二是合理设置年度任务。提高项目规划的重视程度，增强相关规划的落地性、导向性。三是实施评价指标体系。优化绩效指标体系。绩效目标管理的难点是绩效指标体系的建立。为保证绩效指标设立的科学性、准确性，应加强对部门、项目等指标体系建设在设定绩效目标时选取相关性强的量化指标，并注重选取符合实际工作情况的指标值，加强业务培训与指导，提升业务素质。要进一步提高绩效目标编报质量，提升预算单位分管领导和业务人员工作能力和业务水平。二是建立动态分析管理机制，提高项目监管主动性，加大对项目的监控力度，并建立对重点项目实施</w:t>
      </w:r>
      <w:r>
        <w:rPr>
          <w:rFonts w:hint="eastAsia" w:ascii="仿宋_GB2312" w:hAnsi="仿宋_GB2312" w:eastAsia="仿宋_GB2312"/>
          <w:b w:val="0"/>
          <w:sz w:val="32"/>
          <w:lang w:eastAsia="zh-CN"/>
        </w:rPr>
        <w:t>情况</w:t>
      </w:r>
      <w:r>
        <w:rPr>
          <w:rFonts w:ascii="仿宋_GB2312" w:hAnsi="仿宋_GB2312" w:eastAsia="仿宋_GB2312"/>
          <w:b w:val="0"/>
          <w:sz w:val="32"/>
        </w:rPr>
        <w:t>及时上报机制，及时督促执行情况，提高对项目的整体把控能力。主动下去工地进行检查，发挥监督作用。同时进一步扩大抽查覆盖面，或聘请专业第三方机构对项目运行情况进行事中、事后监控。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轮台县图书馆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1.举办学习阅读活动10次,流动图书下乡、展览场5次，全民阅读读书交流会2次，助推基层阅读服务，积极努力，更好</w:t>
            </w:r>
            <w:r>
              <w:rPr>
                <w:rFonts w:hint="eastAsia" w:ascii="宋体" w:hAnsi="宋体"/>
                <w:sz w:val="16"/>
                <w:lang w:eastAsia="zh-CN"/>
              </w:rPr>
              <w:t>地</w:t>
            </w:r>
            <w:r>
              <w:rPr>
                <w:rFonts w:ascii="宋体" w:hAnsi="宋体" w:eastAsia="宋体"/>
                <w:sz w:val="16"/>
              </w:rPr>
              <w:t>开展全民阅读推广服务工作，为全县广大读者提供了优质的服务；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2.组织中国梦-图书进万家活动5次，切实发挥公共文化服务和意识形态的主阵地作用；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3.组织演讲活动1次、朗读大赛活动1次，充分发挥了图书馆作为阅读推广、社会教育、文化传播主力军作用。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1.已完成举办学习阅读活动10场,流动图书下乡、展览场5次，全民阅读读书交流会2次，助推基层阅读服务，积极努力，更好</w:t>
            </w:r>
            <w:r>
              <w:rPr>
                <w:rFonts w:hint="eastAsia" w:ascii="宋体" w:hAnsi="宋体"/>
                <w:sz w:val="16"/>
                <w:lang w:eastAsia="zh-CN"/>
              </w:rPr>
              <w:t>地</w:t>
            </w:r>
            <w:r>
              <w:rPr>
                <w:rFonts w:ascii="宋体" w:hAnsi="宋体" w:eastAsia="宋体"/>
                <w:sz w:val="16"/>
              </w:rPr>
              <w:t>开展全民阅读推广服务工作，为全县广大读者提供了优质的服务；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2.已完成组织中国梦-图书进万家活动5次，切实发挥公共文化服务和意识形态的主阵地作用；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3.已完成组织演讲活动1次、朗读大赛活动1次，充分发挥了图书馆作为阅读推广、社会教育、文化传播主力军作用。</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举办学习阅读活动场次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组织流动图书下乡、展览场次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组织中国梦-图书进万家活动次数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组织演讲活动场次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组织全民阅读读书交流会次数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举办朗读大赛活动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图书馆：巴财建</w:t>
            </w:r>
            <w:r>
              <w:rPr>
                <w:rFonts w:hint="eastAsia" w:ascii="宋体" w:hAnsi="宋体"/>
                <w:sz w:val="16"/>
                <w:lang w:eastAsia="zh-CN"/>
              </w:rPr>
              <w:t>〔2023〕66号</w:t>
            </w:r>
            <w:r>
              <w:rPr>
                <w:rFonts w:ascii="宋体" w:hAnsi="宋体" w:eastAsia="宋体"/>
                <w:sz w:val="16"/>
              </w:rPr>
              <w:t>2023年新疆专项[第一批]中央基建投资预算（巴州轮台县图书馆建设项目）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轮台县图书馆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为了落实加强公共文化服务体系建设，推动全民阅读高质量发展的重要指示要求，传承弘扬中华优秀文化，推动构建公共设施体系：</w:t>
            </w:r>
            <w:r>
              <w:rPr>
                <w:rFonts w:ascii="宋体" w:hAnsi="宋体" w:eastAsia="宋体"/>
                <w:sz w:val="16"/>
              </w:rPr>
              <w:br w:type="textWrapping"/>
            </w:r>
            <w:r>
              <w:rPr>
                <w:rFonts w:ascii="宋体" w:hAnsi="宋体" w:eastAsia="宋体"/>
                <w:sz w:val="16"/>
              </w:rPr>
              <w:t>目标1：计划新建图书馆1座，建筑面积2600平方米，及其配套附属设施，保障图书馆顺利建设。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本年度大力推进巴州轮台县图书馆项目建设，已完成建设图书馆1座，建筑面积2600平方米，及其配套附属设施，保障图书馆顺利建设。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支持图书馆建设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图书馆及配套附属设施建设成本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对公共设施体系构建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参观人员满意度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图书馆：巴财教［2024]11号关于下达2024年中央支持地方公共文化服务体系建设补助资金［文化润疆工程重点项目］预算的通知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轮台县图书馆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巴财教［2024]11号关于下达2024年中央支持地方公共文化服务体系建设补助资金［文化润疆工程重点项目］预算的通知》文件要求，落实轮台县图书馆业务职能，计划举办文化润疆专项活动不少于10场，参与人数不少于708人，通过举办各类读书活动、传统文化专题展览、名家宣讲、研学体验、文创推广等多种形式的活动提升服务效率，吸引了大量读者参与。举办“传承文化 温润心灵”系列活动，开展阅读经典书籍、讲述传统故事、体验戏曲艺术和传统手工艺</w:t>
            </w:r>
            <w:r>
              <w:rPr>
                <w:rFonts w:hint="eastAsia" w:ascii="宋体" w:hAnsi="宋体"/>
                <w:sz w:val="16"/>
                <w:lang w:eastAsia="zh-CN"/>
              </w:rPr>
              <w:t>等</w:t>
            </w:r>
            <w:r>
              <w:rPr>
                <w:rFonts w:ascii="宋体" w:hAnsi="宋体" w:eastAsia="宋体"/>
                <w:sz w:val="16"/>
              </w:rPr>
              <w:t>活动，</w:t>
            </w:r>
            <w:r>
              <w:rPr>
                <w:rFonts w:hint="eastAsia" w:ascii="宋体" w:hAnsi="宋体"/>
                <w:sz w:val="16"/>
                <w:lang w:eastAsia="zh-CN"/>
              </w:rPr>
              <w:t>推动群</w:t>
            </w:r>
            <w:r>
              <w:rPr>
                <w:rFonts w:ascii="宋体" w:hAnsi="宋体" w:eastAsia="宋体"/>
                <w:sz w:val="16"/>
              </w:rPr>
              <w:t>众全面参与，弘扬中国传统文化，让广大群众能够全方位、多角度地感受中华文化的博大精深。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落实</w:t>
            </w:r>
            <w:bookmarkStart w:id="0" w:name="_GoBack"/>
            <w:r>
              <w:rPr>
                <w:rFonts w:ascii="宋体" w:hAnsi="宋体" w:eastAsia="宋体"/>
                <w:sz w:val="16"/>
              </w:rPr>
              <w:t>《巴财教［2024]11号关于下达2024年中央支持地方公共文化服务体系建设补助资金［文化润疆工程重点项目］预算的通知》文件要求，已完成文化润疆专项活动10场，共计10天，参与人数708人，通过举办各类读书活动、传统文化专题展览、名家宣讲、研学体验、文创推广等多种形式的活动提升服务效率，吸引了大量读者参与。举办“传承文化 温润心灵”系列活动，开展阅读经典书籍、讲述传统故事、体验戏曲艺术和传统手工艺</w:t>
            </w:r>
            <w:r>
              <w:rPr>
                <w:rFonts w:hint="eastAsia" w:ascii="宋体" w:hAnsi="宋体"/>
                <w:sz w:val="16"/>
                <w:lang w:eastAsia="zh-CN"/>
              </w:rPr>
              <w:t>等</w:t>
            </w:r>
            <w:r>
              <w:rPr>
                <w:rFonts w:ascii="宋体" w:hAnsi="宋体" w:eastAsia="宋体"/>
                <w:sz w:val="16"/>
              </w:rPr>
              <w:t>活动，</w:t>
            </w:r>
            <w:r>
              <w:rPr>
                <w:rFonts w:hint="eastAsia" w:ascii="宋体" w:hAnsi="宋体"/>
                <w:sz w:val="16"/>
                <w:lang w:eastAsia="zh-CN"/>
              </w:rPr>
              <w:t>推动群</w:t>
            </w:r>
            <w:r>
              <w:rPr>
                <w:rFonts w:ascii="宋体" w:hAnsi="宋体" w:eastAsia="宋体"/>
                <w:sz w:val="16"/>
              </w:rPr>
              <w:t>众全面参与，弘扬了中国传统文化，让广大群众能够全方位、多角度地感受中华文化的博大精深</w:t>
            </w:r>
            <w:bookmarkEnd w:id="0"/>
            <w:r>
              <w:rPr>
                <w:rFonts w:ascii="宋体" w:hAnsi="宋体" w:eastAsia="宋体"/>
                <w:sz w:val="16"/>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活动正常开展率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举办文化润疆专项活动平均成本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弘扬中国传统文化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EA8056-3D52-4BCB-B2D5-9BA9F2978B6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A7540B67-6A59-45D9-8574-3CD4091B00F5}"/>
  </w:font>
  <w:font w:name="仿宋_GB2312">
    <w:panose1 w:val="02010609030101010101"/>
    <w:charset w:val="86"/>
    <w:family w:val="modern"/>
    <w:pitch w:val="default"/>
    <w:sig w:usb0="00000001" w:usb1="080E0000" w:usb2="00000000" w:usb3="00000000" w:csb0="00040000" w:csb1="00000000"/>
    <w:embedRegular r:id="rId3" w:fontKey="{8BA1EB46-0791-44E9-8BB4-FFD73CA2CF49}"/>
  </w:font>
  <w:font w:name="楷体_GB2312">
    <w:panose1 w:val="02010609030101010101"/>
    <w:charset w:val="86"/>
    <w:family w:val="auto"/>
    <w:pitch w:val="default"/>
    <w:sig w:usb0="00000001" w:usb1="080E0000" w:usb2="00000000" w:usb3="00000000" w:csb0="00040000" w:csb1="00000000"/>
    <w:embedRegular r:id="rId4" w:fontKey="{0C6AC84F-1282-43BC-9EFD-B7D677E0739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8407BA"/>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1A7ED9"/>
    <w:rsid w:val="464B7E04"/>
    <w:rsid w:val="464F7E64"/>
    <w:rsid w:val="46901EEE"/>
    <w:rsid w:val="469C74D2"/>
    <w:rsid w:val="47445515"/>
    <w:rsid w:val="49EF5898"/>
    <w:rsid w:val="4B4C0111"/>
    <w:rsid w:val="4BB23021"/>
    <w:rsid w:val="4F3F074E"/>
    <w:rsid w:val="50DB5F45"/>
    <w:rsid w:val="52F92565"/>
    <w:rsid w:val="53A534C2"/>
    <w:rsid w:val="543D17CB"/>
    <w:rsid w:val="55DA564E"/>
    <w:rsid w:val="56E07045"/>
    <w:rsid w:val="583059FA"/>
    <w:rsid w:val="587E6212"/>
    <w:rsid w:val="5AFC6609"/>
    <w:rsid w:val="5FA17648"/>
    <w:rsid w:val="5FD320BD"/>
    <w:rsid w:val="60DE4D57"/>
    <w:rsid w:val="613409CB"/>
    <w:rsid w:val="61A46A97"/>
    <w:rsid w:val="62DD7D21"/>
    <w:rsid w:val="64CF034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5167</Words>
  <Characters>5850</Characters>
  <Lines>0</Lines>
  <Paragraphs>0</Paragraphs>
  <TotalTime>9</TotalTime>
  <ScaleCrop>false</ScaleCrop>
  <LinksUpToDate>false</LinksUpToDate>
  <CharactersWithSpaces>5858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2025-09-28T09:59:40Z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