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轮台县妇幼保健计划生育服务中心2024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部门决算公开说明</w:t>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r>
        <w:br w:type="page"/>
      </w:r>
    </w:p>
    <w:p>
      <w:pPr>
        <w:spacing w:line="640" w:lineRule="exact"/>
        <w:jc w:val="center"/>
        <w:outlineLvl w:val="1"/>
      </w:pPr>
      <w:r>
        <w:rPr>
          <w:rFonts w:ascii="黑体" w:hAnsi="黑体" w:eastAsia="黑体"/>
          <w:sz w:val="32"/>
        </w:rPr>
        <w:t>第一部分 单位概况</w:t>
      </w:r>
    </w:p>
    <w:p>
      <w:pPr>
        <w:spacing w:line="640" w:lineRule="exact"/>
        <w:ind w:firstLine="640"/>
        <w:jc w:val="both"/>
        <w:outlineLvl w:val="2"/>
      </w:pPr>
      <w:r>
        <w:rPr>
          <w:rFonts w:ascii="黑体" w:hAnsi="黑体" w:eastAsia="黑体"/>
          <w:sz w:val="32"/>
        </w:rPr>
        <w:t>一、主要职能</w:t>
      </w:r>
    </w:p>
    <w:p>
      <w:pPr>
        <w:spacing w:line="580" w:lineRule="exact"/>
        <w:ind w:firstLine="640"/>
        <w:jc w:val="both"/>
      </w:pPr>
      <w:r>
        <w:rPr>
          <w:rFonts w:ascii="仿宋_GB2312" w:hAnsi="仿宋_GB2312" w:eastAsia="仿宋_GB2312"/>
          <w:sz w:val="32"/>
        </w:rPr>
        <w:t>轮台县妇幼保健院，公益二类，为轮台县卫生健康委员会管理的副科级事业单位。</w:t>
      </w:r>
    </w:p>
    <w:p>
      <w:pPr>
        <w:spacing w:line="580" w:lineRule="exact"/>
        <w:ind w:firstLine="640"/>
        <w:jc w:val="both"/>
      </w:pPr>
      <w:r>
        <w:rPr>
          <w:rFonts w:ascii="仿宋_GB2312" w:hAnsi="仿宋_GB2312" w:eastAsia="仿宋_GB2312"/>
          <w:sz w:val="32"/>
        </w:rPr>
        <w:t>轮台县妇幼保健院的主要职责是：根据全县妇幼儿童健康情况及影响因素，协助卫生行政部门制定全县妇幼卫生工作的相关政策。负责指导和开展全县妇幼保健健康教育与健康促进工作，组织实施全县母婴保健技术培训，对乡（镇）医疗保健机构开展业务指导和提供技术支持，接受下级转诊。负责全县孕产妇死亡、婴儿及5岁以下儿童死亡、出生缺陷人群及医院儿童营养等“六网监测”工作；负责全县妇幼卫生项目、妇幼卫生服务及技术管理、质量控制等信息的收集、统计分析和汇总上报工作。开展妇女保健服务，包括青春期保健、婚前和孕前保健、孕产期保健、更年期保健、老年期保健，重点做好心理卫生咨询、营养指导、计划生育技术服务、生殖道感染、性传播疾病等妇女常见病防治。开展儿童保健服务，包括胎儿期、新生儿期、婴幼儿期、学龄前期及学龄期保健，受卫生行政部门委托对托幼园所卫生保健进行管理和业务指导，重点做好儿童早期综合发展、营养与喂养指导、生长发育监测、心理行为咨询、儿童疾病综合管理等儿童保健服务；负责婴幼儿孕育、出生、死亡、智力等调查分析。推广应用妇幼卫生、生殖健康适宜技术。</w:t>
      </w:r>
    </w:p>
    <w:p>
      <w:pPr>
        <w:spacing w:line="640" w:lineRule="exact"/>
        <w:ind w:firstLine="640"/>
        <w:jc w:val="both"/>
        <w:outlineLvl w:val="2"/>
      </w:pPr>
      <w:r>
        <w:rPr>
          <w:rFonts w:ascii="黑体" w:hAnsi="黑体" w:eastAsia="黑体"/>
          <w:sz w:val="32"/>
        </w:rPr>
        <w:t>二、机构设置及人员情况</w:t>
      </w:r>
    </w:p>
    <w:p>
      <w:pPr>
        <w:spacing w:line="580" w:lineRule="exact"/>
        <w:ind w:firstLine="640"/>
        <w:jc w:val="both"/>
      </w:pPr>
      <w:r>
        <w:rPr>
          <w:rFonts w:ascii="仿宋_GB2312" w:hAnsi="仿宋_GB2312" w:eastAsia="仿宋_GB2312"/>
          <w:sz w:val="32"/>
        </w:rPr>
        <w:t>轮台县妇幼保健计划生育服务中心2024年度，实有人数41人，其中：在职人员28人，减少4人；离休人员0人，增加0人；退休人员13人,增加3人。</w:t>
      </w:r>
    </w:p>
    <w:p>
      <w:pPr>
        <w:spacing w:line="580" w:lineRule="exact"/>
        <w:ind w:firstLine="640"/>
        <w:jc w:val="both"/>
      </w:pPr>
      <w:r>
        <w:rPr>
          <w:rFonts w:ascii="仿宋_GB2312" w:hAnsi="仿宋_GB2312" w:eastAsia="仿宋_GB2312"/>
          <w:sz w:val="32"/>
        </w:rPr>
        <w:t>轮台县妇幼保健计划生育服务中心无下属预算单位，下设10个科室，分别是：办公室、保健部、医务护理部、药品器械股、医技股、院感股、宣传培训股、技术服务股、门诊部、住院部。</w:t>
      </w:r>
    </w:p>
    <w:p>
      <w:r>
        <w:br w:type="page"/>
      </w:r>
    </w:p>
    <w:p>
      <w:pPr>
        <w:spacing w:line="240" w:lineRule="auto"/>
        <w:jc w:val="center"/>
        <w:outlineLvl w:val="1"/>
      </w:pPr>
      <w:r>
        <w:rPr>
          <w:rFonts w:ascii="黑体" w:hAnsi="黑体" w:eastAsia="黑体"/>
          <w:sz w:val="32"/>
        </w:rPr>
        <w:t>第二部分 部门决算情况说明</w:t>
      </w:r>
    </w:p>
    <w:p>
      <w:pPr>
        <w:spacing w:line="640" w:lineRule="exact"/>
        <w:ind w:firstLine="640"/>
        <w:jc w:val="both"/>
        <w:outlineLvl w:val="2"/>
      </w:pPr>
      <w:r>
        <w:rPr>
          <w:rFonts w:ascii="黑体" w:hAnsi="黑体" w:eastAsia="黑体"/>
          <w:sz w:val="32"/>
        </w:rPr>
        <w:t>一、收入支出决算总体情况说明</w:t>
      </w:r>
    </w:p>
    <w:p>
      <w:pPr>
        <w:spacing w:line="580" w:lineRule="exact"/>
        <w:ind w:firstLine="640"/>
        <w:jc w:val="both"/>
      </w:pPr>
      <w:r>
        <w:rPr>
          <w:rFonts w:ascii="仿宋_GB2312" w:hAnsi="仿宋_GB2312" w:eastAsia="仿宋_GB2312"/>
          <w:b/>
          <w:sz w:val="32"/>
        </w:rPr>
        <w:t>2024年度收入总计696.33万元，</w:t>
      </w:r>
      <w:r>
        <w:rPr>
          <w:rFonts w:ascii="仿宋_GB2312" w:hAnsi="仿宋_GB2312" w:eastAsia="仿宋_GB2312"/>
          <w:b w:val="0"/>
          <w:sz w:val="32"/>
        </w:rPr>
        <w:t>其中：本年收入合计673.76万元，使用非财政拨款结余（含专用结余）0.00万元，年初结转和结余22.57万元。</w:t>
      </w:r>
    </w:p>
    <w:p>
      <w:pPr>
        <w:spacing w:line="580" w:lineRule="exact"/>
        <w:ind w:firstLine="640"/>
        <w:jc w:val="both"/>
      </w:pPr>
      <w:r>
        <w:rPr>
          <w:rFonts w:ascii="仿宋_GB2312" w:hAnsi="仿宋_GB2312" w:eastAsia="仿宋_GB2312"/>
          <w:b/>
          <w:sz w:val="32"/>
        </w:rPr>
        <w:t>2024年度支出总计696.33万元，</w:t>
      </w:r>
      <w:r>
        <w:rPr>
          <w:rFonts w:ascii="仿宋_GB2312" w:hAnsi="仿宋_GB2312" w:eastAsia="仿宋_GB2312"/>
          <w:b w:val="0"/>
          <w:sz w:val="32"/>
        </w:rPr>
        <w:t>其中：本年支出合计682.19万元，结余分配0.00万元，年末结转和结余14.14万元。</w:t>
      </w:r>
    </w:p>
    <w:p>
      <w:pPr>
        <w:spacing w:line="580" w:lineRule="exact"/>
        <w:ind w:firstLine="640"/>
        <w:jc w:val="both"/>
      </w:pPr>
      <w:r>
        <w:rPr>
          <w:rFonts w:ascii="仿宋_GB2312" w:hAnsi="仿宋_GB2312" w:eastAsia="仿宋_GB2312"/>
          <w:b w:val="0"/>
          <w:sz w:val="32"/>
        </w:rPr>
        <w:t>收入支出总体与上年相比，减少7.01万元，下降1.00%，主要原因是：本年度门诊收入减少、新疆办事处两癌筛查检查费减少，导致经费较上年减少。</w:t>
      </w:r>
    </w:p>
    <w:p>
      <w:pPr>
        <w:spacing w:line="640" w:lineRule="exact"/>
        <w:ind w:firstLine="640"/>
        <w:jc w:val="both"/>
        <w:outlineLvl w:val="2"/>
      </w:pPr>
      <w:r>
        <w:rPr>
          <w:rFonts w:ascii="黑体" w:hAnsi="黑体" w:eastAsia="黑体"/>
          <w:sz w:val="32"/>
        </w:rPr>
        <w:t>二、收入决算情况说明</w:t>
      </w:r>
    </w:p>
    <w:p>
      <w:pPr>
        <w:spacing w:line="580" w:lineRule="exact"/>
        <w:ind w:firstLine="640"/>
        <w:jc w:val="both"/>
      </w:pPr>
      <w:r>
        <w:rPr>
          <w:rFonts w:ascii="仿宋_GB2312" w:hAnsi="仿宋_GB2312" w:eastAsia="仿宋_GB2312"/>
          <w:b/>
          <w:sz w:val="32"/>
        </w:rPr>
        <w:t>本年收入673.76万元，</w:t>
      </w:r>
      <w:r>
        <w:rPr>
          <w:rFonts w:ascii="仿宋_GB2312" w:hAnsi="仿宋_GB2312" w:eastAsia="仿宋_GB2312"/>
          <w:b w:val="0"/>
          <w:sz w:val="32"/>
        </w:rPr>
        <w:t>其中：财政拨款收入579.75万元，占86.05%；上级补助收入0.00万元，占0.00%；事业收入93.86万元，占13.93%；经营收入0.00万元，占0.00%；附属单位上缴收入0.00万元，占0.00%；其他收入0.15万元，占0.02%。</w:t>
      </w:r>
    </w:p>
    <w:p>
      <w:pPr>
        <w:spacing w:line="640" w:lineRule="exact"/>
        <w:ind w:firstLine="640"/>
        <w:jc w:val="both"/>
        <w:outlineLvl w:val="2"/>
      </w:pPr>
      <w:r>
        <w:rPr>
          <w:rFonts w:ascii="黑体" w:hAnsi="黑体" w:eastAsia="黑体"/>
          <w:sz w:val="32"/>
        </w:rPr>
        <w:t>三、支出决算情况说明</w:t>
      </w:r>
    </w:p>
    <w:p>
      <w:pPr>
        <w:spacing w:line="580" w:lineRule="exact"/>
        <w:ind w:firstLine="640"/>
        <w:jc w:val="both"/>
      </w:pPr>
      <w:r>
        <w:rPr>
          <w:rFonts w:ascii="仿宋_GB2312" w:hAnsi="仿宋_GB2312" w:eastAsia="仿宋_GB2312"/>
          <w:b/>
          <w:sz w:val="32"/>
        </w:rPr>
        <w:t>本年支出682.19万元，</w:t>
      </w:r>
      <w:r>
        <w:rPr>
          <w:rFonts w:ascii="仿宋_GB2312" w:hAnsi="仿宋_GB2312" w:eastAsia="仿宋_GB2312"/>
          <w:b w:val="0"/>
          <w:sz w:val="32"/>
        </w:rPr>
        <w:t>其中：基本支出682.19万元，占100.00%；项目支出0.00万元，占0.00%；上缴上级支出0.00万元，占0.00%；经营支出0.00万元，占0.00%；对附属单位补助支出0.00万元，占0.00%。</w:t>
      </w:r>
    </w:p>
    <w:p>
      <w:pPr>
        <w:spacing w:line="640" w:lineRule="exact"/>
        <w:ind w:firstLine="640"/>
        <w:jc w:val="both"/>
        <w:outlineLvl w:val="2"/>
      </w:pPr>
      <w:r>
        <w:rPr>
          <w:rFonts w:ascii="黑体" w:hAnsi="黑体" w:eastAsia="黑体"/>
          <w:sz w:val="32"/>
        </w:rPr>
        <w:t>四、财政拨款收入支出决算总体情况说明</w:t>
      </w:r>
    </w:p>
    <w:p>
      <w:pPr>
        <w:spacing w:line="580" w:lineRule="exact"/>
        <w:ind w:firstLine="640"/>
        <w:jc w:val="both"/>
      </w:pPr>
      <w:r>
        <w:rPr>
          <w:rFonts w:ascii="仿宋_GB2312" w:hAnsi="仿宋_GB2312" w:eastAsia="仿宋_GB2312"/>
          <w:b/>
          <w:sz w:val="32"/>
        </w:rPr>
        <w:t>2024年度财政拨款收入总计579.75万元，</w:t>
      </w:r>
      <w:r>
        <w:rPr>
          <w:rFonts w:ascii="仿宋_GB2312" w:hAnsi="仿宋_GB2312" w:eastAsia="仿宋_GB2312"/>
          <w:b w:val="0"/>
          <w:sz w:val="32"/>
        </w:rPr>
        <w:t>其中：年初财政拨款结转和结余0.00万元，本年财政拨款收入579.75万元。</w:t>
      </w:r>
      <w:r>
        <w:rPr>
          <w:rFonts w:ascii="仿宋_GB2312" w:hAnsi="仿宋_GB2312" w:eastAsia="仿宋_GB2312"/>
          <w:b/>
          <w:sz w:val="32"/>
        </w:rPr>
        <w:t>财政拨款支出总计579.75万元，</w:t>
      </w:r>
      <w:r>
        <w:rPr>
          <w:rFonts w:ascii="仿宋_GB2312" w:hAnsi="仿宋_GB2312" w:eastAsia="仿宋_GB2312"/>
          <w:b w:val="0"/>
          <w:sz w:val="32"/>
        </w:rPr>
        <w:t>其中：年末财政拨款结转和结余0.00万元，本年财政拨款支出579.75万元。</w:t>
      </w:r>
    </w:p>
    <w:p>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减少0.39万元，下降0.07%，主要原因是：本年重大传染病防治补助艾滋病防治项目经费减少。</w:t>
      </w:r>
      <w:r>
        <w:rPr>
          <w:rFonts w:ascii="仿宋_GB2312" w:hAnsi="仿宋_GB2312" w:eastAsia="仿宋_GB2312"/>
          <w:b/>
          <w:sz w:val="32"/>
        </w:rPr>
        <w:t>与年初预算相比，</w:t>
      </w:r>
      <w:r>
        <w:rPr>
          <w:rFonts w:ascii="仿宋_GB2312" w:hAnsi="仿宋_GB2312" w:eastAsia="仿宋_GB2312"/>
          <w:b w:val="0"/>
          <w:sz w:val="32"/>
        </w:rPr>
        <w:t>年初预算数584.13万元，决算数579.75万元，预决算差异率-0.75%，主要原因是：本年在职人员减少，年中调减人员经费，导致预决算存在差异。</w:t>
      </w:r>
    </w:p>
    <w:p>
      <w:pPr>
        <w:spacing w:line="640" w:lineRule="exact"/>
        <w:ind w:firstLine="640"/>
        <w:jc w:val="both"/>
        <w:outlineLvl w:val="2"/>
      </w:pPr>
      <w:r>
        <w:rPr>
          <w:rFonts w:ascii="黑体" w:hAnsi="黑体" w:eastAsia="黑体"/>
          <w:sz w:val="32"/>
        </w:rPr>
        <w:t>五、一般公共预算财政拨款支出决算情况说明</w:t>
      </w:r>
    </w:p>
    <w:p>
      <w:pPr>
        <w:spacing w:line="640" w:lineRule="exact"/>
        <w:ind w:firstLine="640"/>
        <w:jc w:val="both"/>
        <w:outlineLvl w:val="3"/>
      </w:pPr>
      <w:r>
        <w:rPr>
          <w:rFonts w:ascii="楷体_GB2312" w:hAnsi="楷体_GB2312" w:eastAsia="楷体_GB2312"/>
          <w:b/>
          <w:sz w:val="32"/>
        </w:rPr>
        <w:t>（一）一般公共预算财政拨款支出决算总体情况</w:t>
      </w:r>
    </w:p>
    <w:p>
      <w:pPr>
        <w:spacing w:line="580" w:lineRule="exact"/>
        <w:ind w:firstLine="640"/>
        <w:jc w:val="both"/>
      </w:pPr>
      <w:r>
        <w:rPr>
          <w:rFonts w:ascii="仿宋_GB2312" w:hAnsi="仿宋_GB2312" w:eastAsia="仿宋_GB2312"/>
          <w:b/>
          <w:sz w:val="32"/>
        </w:rPr>
        <w:t>2024年度一般公共预算财政拨款支出567.75万元，</w:t>
      </w:r>
      <w:r>
        <w:rPr>
          <w:rFonts w:ascii="仿宋_GB2312" w:hAnsi="仿宋_GB2312" w:eastAsia="仿宋_GB2312"/>
          <w:b w:val="0"/>
          <w:sz w:val="32"/>
        </w:rPr>
        <w:t>占本年支出合计的83.22%。</w:t>
      </w:r>
      <w:r>
        <w:rPr>
          <w:rFonts w:ascii="仿宋_GB2312" w:hAnsi="仿宋_GB2312" w:eastAsia="仿宋_GB2312"/>
          <w:b/>
          <w:sz w:val="32"/>
        </w:rPr>
        <w:t>与上年相比，</w:t>
      </w:r>
      <w:r>
        <w:rPr>
          <w:rFonts w:ascii="仿宋_GB2312" w:hAnsi="仿宋_GB2312" w:eastAsia="仿宋_GB2312"/>
          <w:b w:val="0"/>
          <w:sz w:val="32"/>
        </w:rPr>
        <w:t>减少12.39万元，下降2.14%，主要原因是：本年重大传染病防治补助艾滋病防治项目经费减少。</w:t>
      </w:r>
      <w:r>
        <w:rPr>
          <w:rFonts w:ascii="仿宋_GB2312" w:hAnsi="仿宋_GB2312" w:eastAsia="仿宋_GB2312"/>
          <w:b/>
          <w:sz w:val="32"/>
        </w:rPr>
        <w:t>与年初预算相比,</w:t>
      </w:r>
      <w:r>
        <w:rPr>
          <w:rFonts w:ascii="仿宋_GB2312" w:hAnsi="仿宋_GB2312" w:eastAsia="仿宋_GB2312"/>
          <w:b w:val="0"/>
          <w:sz w:val="32"/>
        </w:rPr>
        <w:t>年初预算数584.13万元，决算数567.75万元，预决算差异率-2.80%，主要原因是：本年在职人员减少，年中调减人员经费，导致预决算存在差异。</w:t>
      </w:r>
    </w:p>
    <w:p>
      <w:pPr>
        <w:spacing w:line="640" w:lineRule="exact"/>
        <w:ind w:firstLine="640"/>
        <w:jc w:val="both"/>
        <w:outlineLvl w:val="3"/>
      </w:pPr>
      <w:r>
        <w:rPr>
          <w:rFonts w:ascii="楷体_GB2312" w:hAnsi="楷体_GB2312" w:eastAsia="楷体_GB2312"/>
          <w:b/>
          <w:sz w:val="32"/>
        </w:rPr>
        <w:t>（二）一般公共预算财政拨款支出决算结构情况</w:t>
      </w:r>
    </w:p>
    <w:p>
      <w:pPr>
        <w:spacing w:line="580" w:lineRule="exact"/>
        <w:ind w:firstLine="640"/>
        <w:jc w:val="both"/>
      </w:pPr>
      <w:r>
        <w:rPr>
          <w:rFonts w:ascii="仿宋_GB2312" w:hAnsi="仿宋_GB2312" w:eastAsia="仿宋_GB2312"/>
          <w:b w:val="0"/>
          <w:sz w:val="32"/>
        </w:rPr>
        <w:t>1.社会保障和就业支出(类)76.78万元,占13.52%。</w:t>
      </w:r>
    </w:p>
    <w:p>
      <w:pPr>
        <w:spacing w:line="580" w:lineRule="exact"/>
        <w:ind w:firstLine="640"/>
        <w:jc w:val="both"/>
      </w:pPr>
      <w:r>
        <w:rPr>
          <w:rFonts w:ascii="仿宋_GB2312" w:hAnsi="仿宋_GB2312" w:eastAsia="仿宋_GB2312"/>
          <w:b w:val="0"/>
          <w:sz w:val="32"/>
        </w:rPr>
        <w:t>2.卫生健康支出(类)450.09万元,占79.28%。</w:t>
      </w:r>
    </w:p>
    <w:p>
      <w:pPr>
        <w:spacing w:line="580" w:lineRule="exact"/>
        <w:ind w:firstLine="640"/>
        <w:jc w:val="both"/>
      </w:pPr>
      <w:r>
        <w:rPr>
          <w:rFonts w:ascii="仿宋_GB2312" w:hAnsi="仿宋_GB2312" w:eastAsia="仿宋_GB2312"/>
          <w:b w:val="0"/>
          <w:sz w:val="32"/>
        </w:rPr>
        <w:t>3.住房保障支出(类)40.88万元,占7.20%。</w:t>
      </w:r>
    </w:p>
    <w:p>
      <w:pPr>
        <w:spacing w:line="640" w:lineRule="exact"/>
        <w:ind w:firstLine="640"/>
        <w:jc w:val="both"/>
        <w:outlineLvl w:val="3"/>
      </w:pPr>
      <w:r>
        <w:rPr>
          <w:rFonts w:ascii="楷体_GB2312" w:hAnsi="楷体_GB2312" w:eastAsia="楷体_GB2312"/>
          <w:b/>
          <w:sz w:val="32"/>
        </w:rPr>
        <w:t>（三）一般公共预算财政拨款支出决算具体情况</w:t>
      </w:r>
    </w:p>
    <w:p>
      <w:pPr>
        <w:spacing w:line="580" w:lineRule="exact"/>
        <w:ind w:firstLine="640"/>
        <w:jc w:val="both"/>
      </w:pPr>
      <w:r>
        <w:rPr>
          <w:rFonts w:ascii="仿宋_GB2312" w:hAnsi="仿宋_GB2312" w:eastAsia="仿宋_GB2312"/>
          <w:b w:val="0"/>
          <w:sz w:val="32"/>
        </w:rPr>
        <w:t>1.社会保障和就业支出(类)行政事业单位养老支出(款)事业单位离退休(项):支出决算数为8.23万元，比上年决算增加3.14万元，增长61.69%,主要原因是：本年退休人员增加，退休费支出增加。</w:t>
      </w:r>
    </w:p>
    <w:p>
      <w:pPr>
        <w:spacing w:line="580" w:lineRule="exact"/>
        <w:ind w:firstLine="640"/>
        <w:jc w:val="both"/>
      </w:pPr>
      <w:r>
        <w:rPr>
          <w:rFonts w:ascii="仿宋_GB2312" w:hAnsi="仿宋_GB2312" w:eastAsia="仿宋_GB2312"/>
          <w:b w:val="0"/>
          <w:sz w:val="32"/>
        </w:rPr>
        <w:t>2.社会保障和就业支出(类)行政事业单位养老支出(款)机关事业单位基本养老保险缴费支出(项):支出决算数为50.10万元，比上年决算减少0.88万元，下降1.73%,主要原因是：本年在职人员减少，单位基本养老保险缴费较上年减少。</w:t>
      </w:r>
    </w:p>
    <w:p>
      <w:pPr>
        <w:spacing w:line="580" w:lineRule="exact"/>
        <w:ind w:firstLine="640"/>
        <w:jc w:val="both"/>
      </w:pPr>
      <w:r>
        <w:rPr>
          <w:rFonts w:ascii="仿宋_GB2312" w:hAnsi="仿宋_GB2312" w:eastAsia="仿宋_GB2312"/>
          <w:b w:val="0"/>
          <w:sz w:val="32"/>
        </w:rPr>
        <w:t>3.社会保障和就业支出(类)行政事业单位养老支出(款)机关事业单位职业年金缴费支出(项):支出决算数为18.45万元，比上年决算增加9.84万元，增长114.29%,主要原因是：本年新增退休人员较上年增加，职业年金缴费支出增加。</w:t>
      </w:r>
    </w:p>
    <w:p>
      <w:pPr>
        <w:spacing w:line="580" w:lineRule="exact"/>
        <w:ind w:firstLine="640"/>
        <w:jc w:val="both"/>
      </w:pPr>
      <w:r>
        <w:rPr>
          <w:rFonts w:ascii="仿宋_GB2312" w:hAnsi="仿宋_GB2312" w:eastAsia="仿宋_GB2312"/>
          <w:b w:val="0"/>
          <w:sz w:val="32"/>
        </w:rPr>
        <w:t>4.卫生健康支出(类)公共卫生(款)妇幼保健机构(项):支出决算数为383.38万元，比上年决算减少11.86万元，下降3.00%,主要原因是：本年在职人员减少，工资等相关人员经费减少。</w:t>
      </w:r>
    </w:p>
    <w:p>
      <w:pPr>
        <w:spacing w:line="580" w:lineRule="exact"/>
        <w:ind w:firstLine="640"/>
        <w:jc w:val="both"/>
      </w:pPr>
      <w:r>
        <w:rPr>
          <w:rFonts w:ascii="仿宋_GB2312" w:hAnsi="仿宋_GB2312" w:eastAsia="仿宋_GB2312"/>
          <w:b w:val="0"/>
          <w:sz w:val="32"/>
        </w:rPr>
        <w:t>5.卫生健康支出(类)公共卫生(款)基本公共卫生服务(项):支出决算数为24.50万元，比上年决算减少1.88万元，下降7.13%,主要原因是：本年国家孕前优生两癌检查项目经费减少。</w:t>
      </w:r>
    </w:p>
    <w:p>
      <w:pPr>
        <w:spacing w:line="580" w:lineRule="exact"/>
        <w:ind w:firstLine="640"/>
        <w:jc w:val="both"/>
      </w:pPr>
      <w:r>
        <w:rPr>
          <w:rFonts w:ascii="仿宋_GB2312" w:hAnsi="仿宋_GB2312" w:eastAsia="仿宋_GB2312"/>
          <w:b w:val="0"/>
          <w:sz w:val="32"/>
        </w:rPr>
        <w:t>6.卫生健康支出(类)公共卫生(款)重大公共卫生服务(项):支出决算数为10.99万元，比上年决算减少13.23万元，下降54.62%,主要原因是：本年重大传染病防治补助艾滋病防治项目经费减少。</w:t>
      </w:r>
    </w:p>
    <w:p>
      <w:pPr>
        <w:spacing w:line="580" w:lineRule="exact"/>
        <w:ind w:firstLine="640"/>
        <w:jc w:val="both"/>
      </w:pPr>
      <w:r>
        <w:rPr>
          <w:rFonts w:ascii="仿宋_GB2312" w:hAnsi="仿宋_GB2312" w:eastAsia="仿宋_GB2312"/>
          <w:b w:val="0"/>
          <w:sz w:val="32"/>
        </w:rPr>
        <w:t>7.卫生健康支出(类)公共卫生(款)其他公共卫生支出(项):支出决算数为0.42万元，比上年决算减少0.22万元，下降34.38%,主要原因是：本年度减少公共卫生专用材料费用支出。</w:t>
      </w:r>
    </w:p>
    <w:p>
      <w:pPr>
        <w:spacing w:line="580" w:lineRule="exact"/>
        <w:ind w:firstLine="640"/>
        <w:jc w:val="both"/>
      </w:pPr>
      <w:r>
        <w:rPr>
          <w:rFonts w:ascii="仿宋_GB2312" w:hAnsi="仿宋_GB2312" w:eastAsia="仿宋_GB2312"/>
          <w:b w:val="0"/>
          <w:sz w:val="32"/>
        </w:rPr>
        <w:t>8.卫生健康支出(类)计划生育事务(款)计划生育服务(项):支出决算数为8.81万元，比上年决算增加4.81万元，增长120.25%,主要原因是：本年计划生育补助资金避孕节育免费技术服务项目经费增加。</w:t>
      </w:r>
    </w:p>
    <w:p>
      <w:pPr>
        <w:spacing w:line="580" w:lineRule="exact"/>
        <w:ind w:firstLine="640"/>
        <w:jc w:val="both"/>
      </w:pPr>
      <w:r>
        <w:rPr>
          <w:rFonts w:ascii="仿宋_GB2312" w:hAnsi="仿宋_GB2312" w:eastAsia="仿宋_GB2312"/>
          <w:b w:val="0"/>
          <w:sz w:val="32"/>
        </w:rPr>
        <w:t>9.卫生健康支出(类)行政事业单位医疗(款)事业单位医疗(项):支出决算数为22.00万元，比上年决算减少2.33万元，下降9.58%,主要原因是：本年在职人员减少，事业单位医疗支出较上年减少。</w:t>
      </w:r>
    </w:p>
    <w:p>
      <w:pPr>
        <w:spacing w:line="580" w:lineRule="exact"/>
        <w:ind w:firstLine="640"/>
        <w:jc w:val="both"/>
      </w:pPr>
      <w:r>
        <w:rPr>
          <w:rFonts w:ascii="仿宋_GB2312" w:hAnsi="仿宋_GB2312" w:eastAsia="仿宋_GB2312"/>
          <w:b w:val="0"/>
          <w:sz w:val="32"/>
        </w:rPr>
        <w:t>10.住房保障支出(类)住房改革支出(款)住房公积金(项):支出决算数为40.88万元，比上年决算增加0.22万元，增长0.54%,主要原因是：本年在职人员工资基数调增，公积金缴费基数上涨，相应支出增加。</w:t>
      </w:r>
    </w:p>
    <w:p>
      <w:pPr>
        <w:spacing w:line="640" w:lineRule="exact"/>
        <w:ind w:firstLine="640"/>
        <w:jc w:val="both"/>
        <w:outlineLvl w:val="2"/>
      </w:pPr>
      <w:r>
        <w:rPr>
          <w:rFonts w:ascii="黑体" w:hAnsi="黑体" w:eastAsia="黑体"/>
          <w:sz w:val="32"/>
        </w:rPr>
        <w:t>六、一般公共预算财政拨款基本支出决算情况说明</w:t>
      </w:r>
    </w:p>
    <w:p>
      <w:pPr>
        <w:spacing w:line="580" w:lineRule="exact"/>
        <w:ind w:firstLine="640"/>
        <w:jc w:val="both"/>
      </w:pPr>
      <w:r>
        <w:rPr>
          <w:rFonts w:ascii="仿宋_GB2312" w:hAnsi="仿宋_GB2312" w:eastAsia="仿宋_GB2312"/>
          <w:b w:val="0"/>
          <w:sz w:val="32"/>
        </w:rPr>
        <w:t>2024年度一般公共预算财政拨款基本支出567.75万元，其中：</w:t>
      </w:r>
      <w:r>
        <w:rPr>
          <w:rFonts w:ascii="仿宋_GB2312" w:hAnsi="仿宋_GB2312" w:eastAsia="仿宋_GB2312"/>
          <w:b/>
          <w:sz w:val="32"/>
        </w:rPr>
        <w:t>人员经费525.59万元，</w:t>
      </w:r>
      <w:r>
        <w:rPr>
          <w:rFonts w:ascii="仿宋_GB2312" w:hAnsi="仿宋_GB2312" w:eastAsia="仿宋_GB2312"/>
          <w:b w:val="0"/>
          <w:sz w:val="32"/>
        </w:rPr>
        <w:t>包括：基本工资、津贴补贴、奖金、绩效工资、机关事业单位基本养老保险缴费、职业年金缴费、职工基本医疗保险缴费、其他社会保障缴费、住房公积金、其他工资福利支出、退休费、生活补助、奖励金。</w:t>
      </w:r>
    </w:p>
    <w:p>
      <w:pPr>
        <w:spacing w:line="580" w:lineRule="exact"/>
        <w:ind w:firstLine="640"/>
        <w:jc w:val="both"/>
      </w:pPr>
      <w:r>
        <w:rPr>
          <w:rFonts w:ascii="仿宋_GB2312" w:hAnsi="仿宋_GB2312" w:eastAsia="仿宋_GB2312"/>
          <w:b/>
          <w:sz w:val="32"/>
        </w:rPr>
        <w:t>公用经费42.17万元，</w:t>
      </w:r>
      <w:r>
        <w:rPr>
          <w:rFonts w:ascii="仿宋_GB2312" w:hAnsi="仿宋_GB2312" w:eastAsia="仿宋_GB2312"/>
          <w:b w:val="0"/>
          <w:sz w:val="32"/>
        </w:rPr>
        <w:t>包括：办公费、印刷费、邮电费、差旅费、维修（护）费、培训费、专用材料费、委托业务费、其他交通费用、专用设备购置。</w:t>
      </w:r>
    </w:p>
    <w:p>
      <w:pPr>
        <w:spacing w:line="640" w:lineRule="exact"/>
        <w:ind w:firstLine="640"/>
        <w:jc w:val="both"/>
        <w:outlineLvl w:val="2"/>
      </w:pPr>
      <w:r>
        <w:rPr>
          <w:rFonts w:ascii="黑体" w:hAnsi="黑体" w:eastAsia="黑体"/>
          <w:sz w:val="32"/>
        </w:rPr>
        <w:t>七、政府性基金预算财政拨款收入支出决算情况说明</w:t>
      </w:r>
    </w:p>
    <w:p>
      <w:pPr>
        <w:spacing w:line="580" w:lineRule="exact"/>
        <w:ind w:firstLine="640"/>
        <w:jc w:val="both"/>
      </w:pPr>
      <w:r>
        <w:rPr>
          <w:rFonts w:ascii="仿宋_GB2312" w:hAnsi="仿宋_GB2312" w:eastAsia="仿宋_GB2312"/>
          <w:b/>
          <w:sz w:val="32"/>
        </w:rPr>
        <w:t>2024年度政府性基金预算财政拨款收入总计12.00万元，</w:t>
      </w:r>
      <w:r>
        <w:rPr>
          <w:rFonts w:ascii="仿宋_GB2312" w:hAnsi="仿宋_GB2312" w:eastAsia="仿宋_GB2312"/>
          <w:b w:val="0"/>
          <w:sz w:val="32"/>
        </w:rPr>
        <w:t>其中：年初结转和结余0.00万元，本年收入12.00万元。</w:t>
      </w:r>
      <w:r>
        <w:rPr>
          <w:rFonts w:ascii="仿宋_GB2312" w:hAnsi="仿宋_GB2312" w:eastAsia="仿宋_GB2312"/>
          <w:b/>
          <w:sz w:val="32"/>
        </w:rPr>
        <w:t>政府性基金预算财政拨款支出总计12.00万元，</w:t>
      </w:r>
      <w:r>
        <w:rPr>
          <w:rFonts w:ascii="仿宋_GB2312" w:hAnsi="仿宋_GB2312" w:eastAsia="仿宋_GB2312"/>
          <w:b w:val="0"/>
          <w:sz w:val="32"/>
        </w:rPr>
        <w:t>其中：年末结转和结余0.00万元，本年支出12.00万元。</w:t>
      </w:r>
    </w:p>
    <w:p>
      <w:pPr>
        <w:spacing w:line="580" w:lineRule="exact"/>
        <w:ind w:firstLine="640"/>
        <w:jc w:val="both"/>
      </w:pPr>
      <w:r>
        <w:rPr>
          <w:rFonts w:ascii="仿宋_GB2312" w:hAnsi="仿宋_GB2312" w:eastAsia="仿宋_GB2312"/>
          <w:b/>
          <w:sz w:val="32"/>
        </w:rPr>
        <w:t>政府性基金预算财政拨款收入支出总体与上年相比，</w:t>
      </w:r>
      <w:r>
        <w:rPr>
          <w:rFonts w:ascii="仿宋_GB2312" w:hAnsi="仿宋_GB2312" w:eastAsia="仿宋_GB2312"/>
          <w:b w:val="0"/>
          <w:sz w:val="32"/>
        </w:rPr>
        <w:t>增加12.00万元，增长100.00%，主要原因是：本年度增加农村两癌筛查项目、宫颈癌项目。</w:t>
      </w:r>
      <w:r>
        <w:rPr>
          <w:rFonts w:ascii="仿宋_GB2312" w:hAnsi="仿宋_GB2312" w:eastAsia="仿宋_GB2312"/>
          <w:b/>
          <w:sz w:val="32"/>
        </w:rPr>
        <w:t>与年初预算相比，</w:t>
      </w:r>
      <w:r>
        <w:rPr>
          <w:rFonts w:ascii="仿宋_GB2312" w:hAnsi="仿宋_GB2312" w:eastAsia="仿宋_GB2312"/>
          <w:b w:val="0"/>
          <w:sz w:val="32"/>
        </w:rPr>
        <w:t>年初预算数0.00万元，决算数12.00万元，预决算差异率100.00%，主要原因是：年中追加农村两癌筛查项目、宫颈癌项目，导致预决算存在差异。</w:t>
      </w:r>
    </w:p>
    <w:p>
      <w:pPr>
        <w:spacing w:line="580" w:lineRule="exact"/>
        <w:ind w:firstLine="640"/>
        <w:jc w:val="both"/>
      </w:pPr>
      <w:r>
        <w:rPr>
          <w:rFonts w:ascii="仿宋_GB2312" w:hAnsi="仿宋_GB2312" w:eastAsia="仿宋_GB2312"/>
          <w:b w:val="0"/>
          <w:sz w:val="32"/>
        </w:rPr>
        <w:t>政府性基金预算财政拨款支出12.00万元。</w:t>
      </w:r>
    </w:p>
    <w:p>
      <w:pPr>
        <w:spacing w:line="580" w:lineRule="exact"/>
        <w:ind w:firstLine="640"/>
        <w:jc w:val="both"/>
      </w:pPr>
      <w:r>
        <w:rPr>
          <w:rFonts w:ascii="仿宋_GB2312" w:hAnsi="仿宋_GB2312" w:eastAsia="仿宋_GB2312"/>
          <w:b w:val="0"/>
          <w:sz w:val="32"/>
        </w:rPr>
        <w:t>1.其他支出(类)彩票公益金安排的支出(款)用于社会福利的彩票公益金支出(项):支出决算数为12.00万元，比上年决算增加12.00万元，增长100.00%,主要原因是：本年度增加农村两癌筛查项目、宫颈癌项目。</w:t>
      </w:r>
    </w:p>
    <w:p>
      <w:pPr>
        <w:spacing w:line="640" w:lineRule="exact"/>
        <w:ind w:firstLine="640"/>
        <w:jc w:val="both"/>
        <w:outlineLvl w:val="2"/>
      </w:pPr>
      <w:r>
        <w:rPr>
          <w:rFonts w:ascii="黑体" w:hAnsi="黑体" w:eastAsia="黑体"/>
          <w:sz w:val="32"/>
        </w:rPr>
        <w:t>八、国有资本经营预算财政拨款收入支出决算情况说明</w:t>
      </w:r>
    </w:p>
    <w:p>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pPr>
        <w:spacing w:line="640" w:lineRule="exact"/>
        <w:ind w:firstLine="640"/>
        <w:jc w:val="both"/>
        <w:outlineLvl w:val="2"/>
      </w:pPr>
      <w:r>
        <w:rPr>
          <w:rFonts w:ascii="黑体" w:hAnsi="黑体" w:eastAsia="黑体"/>
          <w:sz w:val="32"/>
        </w:rPr>
        <w:t>九、财政拨款“三公”经费支出决算情况说明</w:t>
      </w:r>
    </w:p>
    <w:p>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其中：因公出国（境）费支出0.00万元，占0.00%，比上年增加0.00万元，增长0.00%，主要原因是：2023年与2024年均未安排因公出国（境）费支出。公务用车购置及运行维护费支出0.00万元，占0.00%，比上年增加0.00万元，增长0.00%，主要原因是：2023年与2024年均未安排公务用车购置及运行维护费支出。公务接待费支出0.00万元，占0.00%，比上年增加0.00万元，增长0.00%，主要原因是：2023年与2024年均未安排公务接待费支出。</w:t>
      </w:r>
    </w:p>
    <w:p>
      <w:pPr>
        <w:spacing w:line="580" w:lineRule="exact"/>
        <w:ind w:firstLine="640"/>
        <w:jc w:val="both"/>
      </w:pPr>
      <w:r>
        <w:rPr>
          <w:rFonts w:ascii="仿宋_GB2312" w:hAnsi="仿宋_GB2312" w:eastAsia="仿宋_GB2312"/>
          <w:b/>
          <w:sz w:val="32"/>
        </w:rPr>
        <w:t>具体情况如下：</w:t>
      </w:r>
    </w:p>
    <w:p>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6辆，与公务用车保有量差异原因是：单位业务用车，车辆费用未使用财政拨款公务用车运行维护费支付，由事业收入经费保障。</w:t>
      </w:r>
    </w:p>
    <w:p>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pPr>
        <w:spacing w:line="640" w:lineRule="exact"/>
        <w:ind w:firstLine="640"/>
        <w:jc w:val="both"/>
        <w:outlineLvl w:val="2"/>
      </w:pPr>
      <w:r>
        <w:rPr>
          <w:rFonts w:ascii="黑体" w:hAnsi="黑体" w:eastAsia="黑体"/>
          <w:sz w:val="32"/>
        </w:rPr>
        <w:t>十、其他重要事项的情况说明</w:t>
      </w:r>
    </w:p>
    <w:p>
      <w:pPr>
        <w:spacing w:line="640" w:lineRule="exact"/>
        <w:ind w:firstLine="640"/>
        <w:jc w:val="both"/>
        <w:outlineLvl w:val="3"/>
      </w:pPr>
      <w:r>
        <w:rPr>
          <w:rFonts w:ascii="楷体_GB2312" w:hAnsi="楷体_GB2312" w:eastAsia="楷体_GB2312"/>
          <w:b/>
          <w:sz w:val="32"/>
        </w:rPr>
        <w:t>（一）机关运行经费及公用经费支出情况</w:t>
      </w:r>
    </w:p>
    <w:p>
      <w:pPr>
        <w:spacing w:line="580" w:lineRule="exact"/>
        <w:ind w:firstLine="640"/>
        <w:jc w:val="both"/>
      </w:pPr>
      <w:r>
        <w:rPr>
          <w:rFonts w:ascii="仿宋_GB2312" w:hAnsi="仿宋_GB2312" w:eastAsia="仿宋_GB2312"/>
          <w:b w:val="0"/>
          <w:sz w:val="32"/>
        </w:rPr>
        <w:t>2024年度轮台县妇幼保健计划生育服务中心（事业单位）公用经费支出54.17万元，比上年减少0.47万元，下降0.86%，主要原因是：本年度减少办公设备维修维护费用支出。</w:t>
      </w:r>
    </w:p>
    <w:p>
      <w:pPr>
        <w:spacing w:line="640" w:lineRule="exact"/>
        <w:ind w:firstLine="640"/>
        <w:jc w:val="both"/>
        <w:outlineLvl w:val="3"/>
      </w:pPr>
      <w:r>
        <w:rPr>
          <w:rFonts w:ascii="楷体_GB2312" w:hAnsi="楷体_GB2312" w:eastAsia="楷体_GB2312"/>
          <w:b/>
          <w:sz w:val="32"/>
        </w:rPr>
        <w:t>（二）政府采购情况</w:t>
      </w:r>
    </w:p>
    <w:p>
      <w:pPr>
        <w:spacing w:line="580" w:lineRule="exact"/>
        <w:ind w:firstLine="640"/>
        <w:jc w:val="both"/>
      </w:pPr>
      <w:r>
        <w:rPr>
          <w:rFonts w:ascii="仿宋_GB2312" w:hAnsi="仿宋_GB2312" w:eastAsia="仿宋_GB2312"/>
          <w:b w:val="0"/>
          <w:sz w:val="32"/>
        </w:rPr>
        <w:t>2024年度政府采购支出总额48.10万元，其中：政府采购货物支出11.66万元、政府采购工程支出0.00万元、政府采购服务支出36.44万元。</w:t>
      </w:r>
    </w:p>
    <w:p>
      <w:pPr>
        <w:spacing w:line="580" w:lineRule="exact"/>
        <w:ind w:firstLine="640"/>
        <w:jc w:val="both"/>
      </w:pPr>
      <w:r>
        <w:rPr>
          <w:rFonts w:ascii="仿宋_GB2312" w:hAnsi="仿宋_GB2312" w:eastAsia="仿宋_GB2312"/>
          <w:b w:val="0"/>
          <w:sz w:val="32"/>
        </w:rPr>
        <w:t>授予中小企业合同金额47.38万元，占政府采购支出总额的98.50%，其中：授予小微企业合同金额44.82万元，占政府采购支出总额的93.18%。</w:t>
      </w:r>
    </w:p>
    <w:p>
      <w:pPr>
        <w:spacing w:line="640" w:lineRule="exact"/>
        <w:ind w:firstLine="640"/>
        <w:jc w:val="both"/>
        <w:outlineLvl w:val="3"/>
      </w:pPr>
      <w:r>
        <w:rPr>
          <w:rFonts w:ascii="楷体_GB2312" w:hAnsi="楷体_GB2312" w:eastAsia="楷体_GB2312"/>
          <w:b/>
          <w:sz w:val="32"/>
        </w:rPr>
        <w:t>（三）国有资产占用情况说明</w:t>
      </w:r>
    </w:p>
    <w:p>
      <w:pPr>
        <w:spacing w:line="580" w:lineRule="exact"/>
        <w:ind w:firstLine="640"/>
        <w:jc w:val="both"/>
      </w:pPr>
      <w:r>
        <w:rPr>
          <w:rFonts w:ascii="仿宋_GB2312" w:hAnsi="仿宋_GB2312" w:eastAsia="仿宋_GB2312"/>
          <w:b w:val="0"/>
          <w:sz w:val="32"/>
        </w:rPr>
        <w:t>截至2024年12月31日，房屋2,032.90平方米，价值178.92万元。车辆6辆，价值100.93万元，其中：副部（省）级及以上领导用车0辆、主要负责人用车0辆、机要通信用车0辆、应急保障用车0辆、执法执勤用车0辆、特种专业技术用车0辆、离退休干部服务用车0辆、其他用车6辆，其他用车主要是：救护车、垃圾车。单价100万元（含）以上设备（不含车辆）3台（套）。</w:t>
      </w:r>
    </w:p>
    <w:p>
      <w:pPr>
        <w:spacing w:line="640" w:lineRule="exact"/>
        <w:ind w:firstLine="640"/>
        <w:jc w:val="both"/>
        <w:outlineLvl w:val="2"/>
      </w:pPr>
      <w:r>
        <w:rPr>
          <w:rFonts w:ascii="黑体" w:hAnsi="黑体" w:eastAsia="黑体"/>
          <w:sz w:val="32"/>
        </w:rPr>
        <w:t>十一、预算绩效的情况说明</w:t>
      </w:r>
    </w:p>
    <w:p>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696.33万元，实际执行总额682.19万元；预算绩效评价项目1个，全年预算数102.21万元，全年执行数102.21万元。预算绩效管理取得的成效：一是完成做好母婴安全保障工作，目标人群叶酸服用率达到100%；降低了神经管缺陷发生率，提高了出生人口素质；二是已完成出生缺陷防治，新生儿遗传代谢病筛查率达到100%；提高了出生人口素质,改善了患儿的预后和生活质量，降低了智力和听力残疾儿童发生率。发现的问题及原因：一是相关绩效管理方面专业知识的系统性学习有待加强。各项指标的设置要进一步优化、完善，主要在细化、量化上改进。在绩效自评过程中，</w:t>
      </w:r>
      <w:r>
        <w:rPr>
          <w:rFonts w:hint="eastAsia" w:ascii="仿宋_GB2312" w:hAnsi="仿宋_GB2312" w:eastAsia="仿宋_GB2312"/>
          <w:b w:val="0"/>
          <w:sz w:val="32"/>
          <w:lang w:eastAsia="zh-CN"/>
        </w:rPr>
        <w:t>由于</w:t>
      </w:r>
      <w:r>
        <w:rPr>
          <w:rFonts w:ascii="仿宋_GB2312" w:hAnsi="仿宋_GB2312" w:eastAsia="仿宋_GB2312"/>
          <w:b w:val="0"/>
          <w:sz w:val="32"/>
        </w:rPr>
        <w:t>部分人员缺乏相关绩效管理专业知识，自评价工作还存在自我审定的局限性，影响评价质量；二是因轮岗、调动</w:t>
      </w:r>
      <w:r>
        <w:rPr>
          <w:rFonts w:hint="eastAsia" w:ascii="仿宋_GB2312" w:hAnsi="仿宋_GB2312" w:eastAsia="仿宋_GB2312"/>
          <w:b w:val="0"/>
          <w:sz w:val="32"/>
          <w:lang w:eastAsia="zh-CN"/>
        </w:rPr>
        <w:t>等</w:t>
      </w:r>
      <w:r>
        <w:rPr>
          <w:rFonts w:ascii="仿宋_GB2312" w:hAnsi="仿宋_GB2312" w:eastAsia="仿宋_GB2312"/>
          <w:b w:val="0"/>
          <w:sz w:val="32"/>
        </w:rPr>
        <w:t>因素使</w:t>
      </w:r>
      <w:r>
        <w:rPr>
          <w:rFonts w:hint="eastAsia" w:ascii="仿宋_GB2312" w:hAnsi="仿宋_GB2312" w:eastAsia="仿宋_GB2312"/>
          <w:b w:val="0"/>
          <w:sz w:val="32"/>
          <w:lang w:eastAsia="zh-CN"/>
        </w:rPr>
        <w:t>本单位</w:t>
      </w:r>
      <w:r>
        <w:rPr>
          <w:rFonts w:ascii="仿宋_GB2312" w:hAnsi="仿宋_GB2312" w:eastAsia="仿宋_GB2312"/>
          <w:b w:val="0"/>
          <w:sz w:val="32"/>
        </w:rPr>
        <w:t>绩效工作人员流动频繁，造成了工作衔接不到位的情况。下一步改进措施：一是多进行有关绩效管理工作方面的培训。积极组织第三方开展绩效管理工作培训，进一步夯实业务基础，提高</w:t>
      </w:r>
      <w:r>
        <w:rPr>
          <w:rFonts w:hint="eastAsia" w:ascii="仿宋_GB2312" w:hAnsi="仿宋_GB2312" w:eastAsia="仿宋_GB2312"/>
          <w:b w:val="0"/>
          <w:sz w:val="32"/>
          <w:lang w:eastAsia="zh-CN"/>
        </w:rPr>
        <w:t>本单位</w:t>
      </w:r>
      <w:r>
        <w:rPr>
          <w:rFonts w:ascii="仿宋_GB2312" w:hAnsi="仿宋_GB2312" w:eastAsia="仿宋_GB2312"/>
          <w:b w:val="0"/>
          <w:sz w:val="32"/>
        </w:rPr>
        <w:t>绩效人员水平；二是专门设定对绩效工作人员定职、定岗、定责等相关制度措施，进一步提升</w:t>
      </w:r>
      <w:r>
        <w:rPr>
          <w:rFonts w:hint="eastAsia" w:ascii="仿宋_GB2312" w:hAnsi="仿宋_GB2312" w:eastAsia="仿宋_GB2312"/>
          <w:b w:val="0"/>
          <w:sz w:val="32"/>
          <w:lang w:eastAsia="zh-CN"/>
        </w:rPr>
        <w:t>本单位</w:t>
      </w:r>
      <w:r>
        <w:rPr>
          <w:rFonts w:ascii="仿宋_GB2312" w:hAnsi="仿宋_GB2312" w:eastAsia="仿宋_GB2312"/>
          <w:b w:val="0"/>
          <w:sz w:val="32"/>
        </w:rPr>
        <w:t>绩效管理工作业务水平，扎实做好绩效管理工作。具体附整体支出绩效自评表，项目支出绩效自评表。</w:t>
      </w:r>
    </w:p>
    <w:p>
      <w:r>
        <w:br w:type="page"/>
      </w:r>
    </w:p>
    <w:tbl>
      <w:tblPr>
        <w:tblStyle w:val="9"/>
        <w:tblW w:w="0" w:type="auto"/>
        <w:tblInd w:w="0" w:type="dxa"/>
        <w:tblLayout w:type="autofit"/>
        <w:tblCellMar>
          <w:top w:w="0" w:type="dxa"/>
          <w:left w:w="108" w:type="dxa"/>
          <w:bottom w:w="0" w:type="dxa"/>
          <w:right w:w="108" w:type="dxa"/>
        </w:tblCellMar>
      </w:tblPr>
      <w:tblGrid>
        <w:gridCol w:w="1105"/>
        <w:gridCol w:w="1105"/>
        <w:gridCol w:w="1105"/>
        <w:gridCol w:w="1105"/>
        <w:gridCol w:w="1105"/>
        <w:gridCol w:w="1105"/>
        <w:gridCol w:w="1105"/>
        <w:gridCol w:w="1105"/>
      </w:tblGrid>
      <w:tr>
        <w:tblPrEx>
          <w:tblCellMar>
            <w:top w:w="0" w:type="dxa"/>
            <w:left w:w="108" w:type="dxa"/>
            <w:bottom w:w="0" w:type="dxa"/>
            <w:right w:w="108" w:type="dxa"/>
          </w:tblCellMar>
        </w:tblPrEx>
        <w:tc>
          <w:tcPr>
            <w:tcW w:w="8840" w:type="dxa"/>
            <w:gridSpan w:val="8"/>
            <w:vAlign w:val="center"/>
          </w:tcPr>
          <w:p>
            <w:pPr>
              <w:jc w:val="center"/>
            </w:pPr>
            <w:r>
              <w:rPr>
                <w:rFonts w:ascii="宋体" w:hAnsi="宋体" w:eastAsia="宋体"/>
                <w:sz w:val="24"/>
              </w:rPr>
              <w:t>单位整体支出绩效自评表</w:t>
            </w:r>
          </w:p>
        </w:tc>
      </w:tr>
      <w:tr>
        <w:tblPrEx>
          <w:tblCellMar>
            <w:top w:w="0" w:type="dxa"/>
            <w:left w:w="108" w:type="dxa"/>
            <w:bottom w:w="0" w:type="dxa"/>
            <w:right w:w="108" w:type="dxa"/>
          </w:tblCellMar>
        </w:tblPrEx>
        <w:tc>
          <w:tcPr>
            <w:tcW w:w="8840" w:type="dxa"/>
            <w:gridSpan w:val="8"/>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轮台县妇幼保健计划生育服务中心</w:t>
            </w:r>
          </w:p>
        </w:tc>
      </w:tr>
      <w:tr>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部门资金（万元）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712.93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696.33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682.19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97.97%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9.8</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其中:上级安排（万元）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76.72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76.72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本级安排（万元）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712.93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503.03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503.03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116.58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102.44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1.坚持以妇女儿童为中心，推进全区妇幼卫生健康服务体系建设，0-6岁儿童眼保健和视力检查覆盖率达到90%，为妇女儿童提供公平可及和系统连续的妇幼健康服务重点做好儿童早期综合发展；2、孕产妇系统管理率达到90%，完成婴幼儿孕育、出生、死亡、智力等调查分析，不断提高全区妇女儿童健康水平；3、关注婴幼儿早期发展，3岁以下儿童系统管理率达到90%；4、做好母婴安全保障工作，目标人群叶酸服用率达到90%；5、出生缺陷防治，新生儿遗传代谢病筛查率达到98%；6、农村妇女“两癌”检查，原国家级贫困县“两癌”检查区县覆盖率达到100%；7、妇幼卫生监测和妇幼健康教育工作，农村计划怀孕夫妇免费孕前优生检查覆盖率80%。</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全面贯彻落实自治区、自治州国民健康政策，提升传染病和突发公共卫生事件应对能力为目标，2024年已完成：</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1、已完成384名儿童的检查工作，0-6岁儿童眼保健和视力检查覆盖率达到了94.27%，为妇女儿童提供公平可及和系统连续的妇幼健康服务重点做好儿童早期综合发展；</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2、已完成孕产妇系统管理率达到93.77%，完成了婴幼儿孕育、出生、死亡、智力等调查分析，不断</w:t>
            </w:r>
            <w:r>
              <w:rPr>
                <w:rFonts w:hint="eastAsia" w:ascii="宋体" w:hAnsi="宋体"/>
                <w:sz w:val="16"/>
                <w:lang w:eastAsia="zh-CN"/>
              </w:rPr>
              <w:t>提高</w:t>
            </w:r>
            <w:r>
              <w:rPr>
                <w:rFonts w:ascii="宋体" w:hAnsi="宋体" w:eastAsia="宋体"/>
                <w:sz w:val="16"/>
              </w:rPr>
              <w:t>了全区妇女儿童健康水平；</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3、关注婴幼儿早期发展，3岁以下儿童系统管理率达到了96.46%；提高了出生人口素质,改善了儿童的预后和生活质量，降低了智力和听力残疾儿童发生率。</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4、已完成做好母婴安全保障工作，目标人群叶酸服用率达到100%；降低了神经管缺陷发生率，提高了出生人口素质。</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5、已完成出生缺陷防治，新生儿遗传代谢病筛查率达到100%；提高了出生人口素质,降低死亡率，改善了患儿的预后和生活质量，降低了智力和听力残疾儿童发生率。</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6、已完成农村妇女“两癌”检查，原国家级贫困县“两癌”检查区县覆盖率达到100%；提高了“两癌”防治知识知晓率，逐步提高了农村妇女整体健康水平。</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7、已完成妇幼卫生监测和妇幼健康教育工作，农村计划怀孕夫妇免费孕前优生检查覆盖率100%；降低了出生缺陷发生率。</w:t>
            </w:r>
          </w:p>
        </w:tc>
      </w:tr>
      <w:tr>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履职效能</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0-6岁儿童眼保健和视力检查覆盖率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轮台县妇幼保健计划生育服务中心2024年工作计划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94.27%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孕产妇系统管理率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轮台县妇幼保健计划生育服务中心2024年工作计划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93.77%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3岁以下儿童系统管理率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轮台县妇幼保健计划生育服务中心2024年工作计划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96.46%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目标人群叶酸服用率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轮台县妇幼保健计划生育服务中心2024年工作计划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新生儿遗传代谢病筛查率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轮台县妇幼保健计划生育服务中心2024年工作计划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原国家级贫困县“两癌”检查区县覆盖率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轮台县妇幼保健计划生育服务中心2024年工作计划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农村计划怀孕夫妇免费孕前优生检查覆盖率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&gt;=80%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轮台县妇幼保健计划生育服务中心2024年工作计划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r>
    </w:tbl>
    <w:p>
      <w:r>
        <w:br w:type="page"/>
      </w:r>
    </w:p>
    <w:tbl>
      <w:tblPr>
        <w:tblStyle w:val="9"/>
        <w:tblW w:w="0" w:type="auto"/>
        <w:tblInd w:w="0" w:type="dxa"/>
        <w:tblLayout w:type="autofit"/>
        <w:tblCellMar>
          <w:top w:w="0" w:type="dxa"/>
          <w:left w:w="108" w:type="dxa"/>
          <w:bottom w:w="0" w:type="dxa"/>
          <w:right w:w="108" w:type="dxa"/>
        </w:tblCellMar>
      </w:tblPr>
      <w:tblGrid>
        <w:gridCol w:w="629"/>
        <w:gridCol w:w="625"/>
        <w:gridCol w:w="625"/>
        <w:gridCol w:w="625"/>
        <w:gridCol w:w="776"/>
        <w:gridCol w:w="625"/>
        <w:gridCol w:w="625"/>
        <w:gridCol w:w="627"/>
        <w:gridCol w:w="625"/>
        <w:gridCol w:w="625"/>
        <w:gridCol w:w="696"/>
        <w:gridCol w:w="629"/>
        <w:gridCol w:w="696"/>
        <w:gridCol w:w="632"/>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2024年单位自有资金支出（门诊收入、住院收入）</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轮台县妇幼保健计划生育服务中心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轮台县妇幼保健计划生育服务中心</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102.21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102.21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102.21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102.21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102.21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102.21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总体目标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总体目标完成情况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贯彻落实国家、自治区医疗卫生重大政策，推进医疗与护理保健服务正常开展：目标1：计划外聘医务人员17人，按月发放工资，稳定医疗队伍,提升医院服务能力，持续为群众提供医疗保障服务；目标2：保障本单位日常办公经费及车辆运转支出，维持正常运转，保障</w:t>
            </w:r>
            <w:r>
              <w:rPr>
                <w:rFonts w:hint="eastAsia" w:ascii="宋体" w:hAnsi="宋体"/>
                <w:sz w:val="16"/>
                <w:lang w:eastAsia="zh-CN"/>
              </w:rPr>
              <w:t>基本公共卫生服务</w:t>
            </w:r>
            <w:r>
              <w:rPr>
                <w:rFonts w:ascii="宋体" w:hAnsi="宋体" w:eastAsia="宋体"/>
                <w:sz w:val="16"/>
              </w:rPr>
              <w:t>开展，完成卫生健康重点工作任务；目标3：计划采购医疗设备，提升医疗服务水平，保障医疗服务质量。</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hint="eastAsia" w:ascii="宋体" w:hAnsi="宋体"/>
                <w:sz w:val="16"/>
                <w:lang w:eastAsia="zh-CN"/>
              </w:rPr>
              <w:t>本单位</w:t>
            </w:r>
            <w:r>
              <w:rPr>
                <w:rFonts w:ascii="宋体" w:hAnsi="宋体" w:eastAsia="宋体"/>
                <w:sz w:val="16"/>
              </w:rPr>
              <w:t>本年度落实了国家、自治区医疗卫生重大政策，推进了医疗与护理保健服务正常开展，已完成外聘医务人员17人，发放1-12月工资，稳定医疗队伍,提升了医院服务能力；已</w:t>
            </w:r>
            <w:bookmarkStart w:id="0" w:name="_GoBack"/>
            <w:bookmarkEnd w:id="0"/>
            <w:r>
              <w:rPr>
                <w:rFonts w:ascii="宋体" w:hAnsi="宋体" w:eastAsia="宋体"/>
                <w:sz w:val="16"/>
              </w:rPr>
              <w:t>完成保障1-12月本单位日常办公经费及车辆运转支出，维持正常运转，保障了</w:t>
            </w:r>
            <w:r>
              <w:rPr>
                <w:rFonts w:hint="eastAsia" w:ascii="宋体" w:hAnsi="宋体"/>
                <w:sz w:val="16"/>
                <w:lang w:eastAsia="zh-CN"/>
              </w:rPr>
              <w:t>基本公共卫生服务</w:t>
            </w:r>
            <w:r>
              <w:rPr>
                <w:rFonts w:ascii="宋体" w:hAnsi="宋体" w:eastAsia="宋体"/>
                <w:sz w:val="16"/>
              </w:rPr>
              <w:t>开展，完成了卫生健康重点工作任务；已完成采购医疗设备2批次，提升了医疗服务水平，保障了医疗服务质量。</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发放外聘人员工资人数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&gt;=17人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=17人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发放外聘人员工资次数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保障办公人员数量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&gt;=48人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=48人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保障公务用车数量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&gt;=2辆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采购医疗设备批次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&gt;=2批次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=2批次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外聘人员工资发放准确率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医疗设备验收合格率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政府采购率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外聘人员工资发放及时率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采购医疗设备完成时间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2024年11月30日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2024年10月29日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每次发放外聘人员工资资金数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&lt;=5.06万元/次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=5.06万元/次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保障办公人员成本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&lt;=40.01万元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=40.01万元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保障公务用车成本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&lt;=0.89万元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=0.89万元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采购医疗设备成本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&lt;=0.59万元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=0.59万元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设备利用率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保障医疗服务质量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提升医疗服务水平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外聘人员满意度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设备使用人员满意度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r>
    </w:tbl>
    <w:p>
      <w:r>
        <w:br w:type="page"/>
      </w:r>
    </w:p>
    <w:p>
      <w:pPr>
        <w:spacing w:line="640" w:lineRule="exact"/>
        <w:ind w:firstLine="640"/>
        <w:jc w:val="both"/>
        <w:outlineLvl w:val="2"/>
      </w:pPr>
      <w:r>
        <w:rPr>
          <w:rFonts w:ascii="黑体" w:hAnsi="黑体" w:eastAsia="黑体"/>
          <w:sz w:val="32"/>
        </w:rPr>
        <w:t>十二、其他需说明的事项</w:t>
      </w:r>
    </w:p>
    <w:p>
      <w:pPr>
        <w:spacing w:line="580" w:lineRule="exact"/>
        <w:ind w:firstLine="640"/>
        <w:jc w:val="both"/>
      </w:pPr>
      <w:r>
        <w:rPr>
          <w:rFonts w:ascii="仿宋_GB2312" w:hAnsi="仿宋_GB2312" w:eastAsia="仿宋_GB2312"/>
          <w:b w:val="0"/>
          <w:sz w:val="32"/>
        </w:rPr>
        <w:t>本单位无其他需说明的事项。</w:t>
      </w:r>
    </w:p>
    <w:p>
      <w:r>
        <w:br w:type="page"/>
      </w:r>
    </w:p>
    <w:p>
      <w:pPr>
        <w:spacing w:line="240" w:lineRule="auto"/>
        <w:jc w:val="center"/>
        <w:outlineLvl w:val="1"/>
      </w:pPr>
      <w:r>
        <w:rPr>
          <w:rFonts w:ascii="黑体" w:hAnsi="黑体" w:eastAsia="黑体"/>
          <w:sz w:val="32"/>
        </w:rPr>
        <w:t>第三部分 专业名词解释</w:t>
      </w:r>
    </w:p>
    <w:p>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r>
        <w:br w:type="page"/>
      </w:r>
    </w:p>
    <w:p>
      <w:pPr>
        <w:spacing w:line="240" w:lineRule="auto"/>
        <w:jc w:val="center"/>
        <w:outlineLvl w:val="1"/>
      </w:pPr>
      <w:r>
        <w:rPr>
          <w:rFonts w:ascii="黑体" w:hAnsi="黑体" w:eastAsia="黑体"/>
          <w:sz w:val="32"/>
        </w:rPr>
        <w:t>第四部分 部门决算报表（见附表）</w:t>
      </w:r>
    </w:p>
    <w:p>
      <w:pPr>
        <w:spacing w:line="240" w:lineRule="auto"/>
        <w:ind w:firstLine="640"/>
        <w:jc w:val="both"/>
      </w:pPr>
      <w:r>
        <w:rPr>
          <w:rFonts w:ascii="仿宋_GB2312" w:hAnsi="仿宋_GB2312" w:eastAsia="仿宋_GB2312"/>
          <w:b w:val="0"/>
          <w:sz w:val="32"/>
        </w:rPr>
        <w:t>一、《收入支出决算总表》</w:t>
      </w:r>
    </w:p>
    <w:p>
      <w:pPr>
        <w:spacing w:line="240" w:lineRule="auto"/>
        <w:ind w:firstLine="640"/>
        <w:jc w:val="both"/>
      </w:pPr>
      <w:r>
        <w:rPr>
          <w:rFonts w:ascii="仿宋_GB2312" w:hAnsi="仿宋_GB2312" w:eastAsia="仿宋_GB2312"/>
          <w:b w:val="0"/>
          <w:sz w:val="32"/>
        </w:rPr>
        <w:t>二、《收入决算表》</w:t>
      </w:r>
    </w:p>
    <w:p>
      <w:pPr>
        <w:spacing w:line="240" w:lineRule="auto"/>
        <w:ind w:firstLine="640"/>
        <w:jc w:val="both"/>
      </w:pPr>
      <w:r>
        <w:rPr>
          <w:rFonts w:ascii="仿宋_GB2312" w:hAnsi="仿宋_GB2312" w:eastAsia="仿宋_GB2312"/>
          <w:b w:val="0"/>
          <w:sz w:val="32"/>
        </w:rPr>
        <w:t>三、《支出决算表》</w:t>
      </w:r>
    </w:p>
    <w:p>
      <w:pPr>
        <w:spacing w:line="240" w:lineRule="auto"/>
        <w:ind w:firstLine="640"/>
        <w:jc w:val="both"/>
      </w:pPr>
      <w:r>
        <w:rPr>
          <w:rFonts w:ascii="仿宋_GB2312" w:hAnsi="仿宋_GB2312" w:eastAsia="仿宋_GB2312"/>
          <w:b w:val="0"/>
          <w:sz w:val="32"/>
        </w:rPr>
        <w:t>四、《财政拨款收入支出决算总表》</w:t>
      </w:r>
    </w:p>
    <w:p>
      <w:pPr>
        <w:spacing w:line="240" w:lineRule="auto"/>
        <w:ind w:firstLine="640"/>
        <w:jc w:val="both"/>
      </w:pPr>
      <w:r>
        <w:rPr>
          <w:rFonts w:ascii="仿宋_GB2312" w:hAnsi="仿宋_GB2312" w:eastAsia="仿宋_GB2312"/>
          <w:b w:val="0"/>
          <w:sz w:val="32"/>
        </w:rPr>
        <w:t>五、《一般公共预算财政拨款支出决算表》</w:t>
      </w:r>
    </w:p>
    <w:p>
      <w:pPr>
        <w:spacing w:line="240" w:lineRule="auto"/>
        <w:ind w:firstLine="640"/>
        <w:jc w:val="both"/>
      </w:pPr>
      <w:r>
        <w:rPr>
          <w:rFonts w:ascii="仿宋_GB2312" w:hAnsi="仿宋_GB2312" w:eastAsia="仿宋_GB2312"/>
          <w:b w:val="0"/>
          <w:sz w:val="32"/>
        </w:rPr>
        <w:t>六、《一般公共预算财政拨款基本支出决算表》</w:t>
      </w:r>
    </w:p>
    <w:p>
      <w:pPr>
        <w:spacing w:line="240" w:lineRule="auto"/>
        <w:ind w:firstLine="640"/>
        <w:jc w:val="both"/>
      </w:pPr>
      <w:r>
        <w:rPr>
          <w:rFonts w:ascii="仿宋_GB2312" w:hAnsi="仿宋_GB2312" w:eastAsia="仿宋_GB2312"/>
          <w:b w:val="0"/>
          <w:sz w:val="32"/>
        </w:rPr>
        <w:t>七、《政府性基金预算财政拨款收入支出决算表》</w:t>
      </w:r>
    </w:p>
    <w:p>
      <w:pPr>
        <w:spacing w:line="240" w:lineRule="auto"/>
        <w:ind w:firstLine="640"/>
        <w:jc w:val="both"/>
      </w:pPr>
      <w:r>
        <w:rPr>
          <w:rFonts w:ascii="仿宋_GB2312" w:hAnsi="仿宋_GB2312" w:eastAsia="仿宋_GB2312"/>
          <w:b w:val="0"/>
          <w:sz w:val="32"/>
        </w:rPr>
        <w:t>八、《国有资本经营预算财政拨款收入支出决算表》</w:t>
      </w:r>
    </w:p>
    <w:p>
      <w:pPr>
        <w:spacing w:line="240" w:lineRule="auto"/>
        <w:ind w:firstLine="640"/>
        <w:jc w:val="both"/>
      </w:pPr>
      <w:r>
        <w:rPr>
          <w:rFonts w:ascii="仿宋_GB2312" w:hAnsi="仿宋_GB2312" w:eastAsia="仿宋_GB2312"/>
          <w:b w:val="0"/>
          <w:sz w:val="32"/>
        </w:rPr>
        <w:t>九、《财政拨款“三公”经费支出决算表》</w:t>
      </w: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362F10"/>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 w:val="7EFD64F6"/>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23</Pages>
  <Words>5297</Words>
  <Characters>6054</Characters>
  <Lines>0</Lines>
  <Paragraphs>0</Paragraphs>
  <TotalTime>4</TotalTime>
  <ScaleCrop>false</ScaleCrop>
  <LinksUpToDate>false</LinksUpToDate>
  <CharactersWithSpaces>6062</CharactersWithSpaces>
  <Application>WPS Office_11.8.2.10321_F1E327BC-269C-435d-A152-05C5408002CA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lenovo</cp:lastModifiedBy>
  <cp:lastPrinted>2024-07-22T11:58:00Z</cp:lastPrinted>
  <dcterms:modified xsi:type="dcterms:W3CDTF">2025-09-28T10:34:25Z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2052-11.8.2.10321</vt:lpwstr>
  </property>
  <property fmtid="{D5CDD505-2E9C-101B-9397-08002B2CF9AE}" pid="3" name="ICV">
    <vt:lpwstr>B858A68E913346F885B5BC17D4DBEB06_13</vt:lpwstr>
  </property>
  <property fmtid="{D5CDD505-2E9C-101B-9397-08002B2CF9AE}" pid="4" name="KSOTemplateDocerSaveRecord">
    <vt:lpwstr>eyJoZGlkIjoiZWE5M2E4OTRkNmEwYTUyNjM2Mzg3NThiMTA5NmIzZWUiLCJ1c2VySWQiOiI0OTMxMTE3MjUifQ==</vt:lpwstr>
  </property>
</Properties>
</file>