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轮台县技工学校2024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0C959F1C">
      <w:r>
        <w:br w:type="page"/>
      </w:r>
    </w:p>
    <w:p w14:paraId="389ADBE1">
      <w:pPr>
        <w:spacing w:line="640" w:lineRule="exact"/>
        <w:jc w:val="center"/>
        <w:outlineLvl w:val="1"/>
      </w:pPr>
      <w:r>
        <w:rPr>
          <w:rFonts w:ascii="黑体" w:hAnsi="黑体" w:eastAsia="黑体"/>
          <w:sz w:val="32"/>
        </w:rPr>
        <w:t>第一部分 单位概况</w:t>
      </w:r>
    </w:p>
    <w:p w14:paraId="305FEC9F">
      <w:pPr>
        <w:spacing w:line="640" w:lineRule="exact"/>
        <w:ind w:firstLine="640"/>
        <w:jc w:val="both"/>
        <w:outlineLvl w:val="2"/>
      </w:pPr>
      <w:r>
        <w:rPr>
          <w:rFonts w:ascii="黑体" w:hAnsi="黑体" w:eastAsia="黑体"/>
          <w:sz w:val="32"/>
        </w:rPr>
        <w:t>一、主要职能</w:t>
      </w:r>
    </w:p>
    <w:p w14:paraId="5B3CD2F8">
      <w:pPr>
        <w:spacing w:line="580" w:lineRule="exact"/>
        <w:ind w:firstLine="640"/>
        <w:jc w:val="both"/>
      </w:pPr>
      <w:r>
        <w:rPr>
          <w:rFonts w:ascii="仿宋_GB2312" w:hAnsi="仿宋_GB2312" w:eastAsia="仿宋_GB2312"/>
          <w:sz w:val="32"/>
        </w:rPr>
        <w:t>(一)贯彻执行党和国家的教育工作方针政策和法律法规。</w:t>
      </w:r>
    </w:p>
    <w:p w14:paraId="2C3DC671">
      <w:pPr>
        <w:spacing w:line="580" w:lineRule="exact"/>
        <w:ind w:firstLine="640"/>
        <w:jc w:val="both"/>
      </w:pPr>
      <w:r>
        <w:rPr>
          <w:rFonts w:ascii="仿宋_GB2312" w:hAnsi="仿宋_GB2312" w:eastAsia="仿宋_GB2312"/>
          <w:sz w:val="32"/>
        </w:rPr>
        <w:t>(二)坚持学制教育与技能培训并举，履行国家、自治区、自治州赋予的招生、教育、培训职能，完成好轮台县委、人民政府安排的各项任务。</w:t>
      </w:r>
    </w:p>
    <w:p w14:paraId="4CCC63DC">
      <w:pPr>
        <w:spacing w:line="580" w:lineRule="exact"/>
        <w:ind w:firstLine="640"/>
        <w:jc w:val="both"/>
      </w:pPr>
      <w:r>
        <w:rPr>
          <w:rFonts w:ascii="仿宋_GB2312" w:hAnsi="仿宋_GB2312" w:eastAsia="仿宋_GB2312"/>
          <w:sz w:val="32"/>
        </w:rPr>
        <w:t>(三)组织编制和实施学校的发展规划，推进落实年度教学和人才培养计划。</w:t>
      </w:r>
    </w:p>
    <w:p w14:paraId="0F0B4111">
      <w:pPr>
        <w:spacing w:line="580" w:lineRule="exact"/>
        <w:ind w:firstLine="640"/>
        <w:jc w:val="both"/>
      </w:pPr>
      <w:r>
        <w:rPr>
          <w:rFonts w:ascii="仿宋_GB2312" w:hAnsi="仿宋_GB2312" w:eastAsia="仿宋_GB2312"/>
          <w:sz w:val="32"/>
        </w:rPr>
        <w:t>(四)根据教学、培训任务要求，制定教学计划和教学大纲，加强教学实训基地建设，研究和改进教学方法，提高教学水平。加强师资队伍建设，强化一体化教师培养，提高专兼职教师的教育教学水平。</w:t>
      </w:r>
    </w:p>
    <w:p w14:paraId="71294178">
      <w:pPr>
        <w:spacing w:line="580" w:lineRule="exact"/>
        <w:ind w:firstLine="640"/>
        <w:jc w:val="both"/>
      </w:pPr>
      <w:r>
        <w:rPr>
          <w:rFonts w:ascii="仿宋_GB2312" w:hAnsi="仿宋_GB2312" w:eastAsia="仿宋_GB2312"/>
          <w:sz w:val="32"/>
        </w:rPr>
        <w:t>(五)开设国家通用语言文字、法律法规、思想政治、行为养成及公共安全等教学科目，拓宽学生获取现代知识和信息渠道。</w:t>
      </w:r>
    </w:p>
    <w:p w14:paraId="2EB546E1">
      <w:pPr>
        <w:spacing w:line="580" w:lineRule="exact"/>
        <w:ind w:firstLine="640"/>
        <w:jc w:val="both"/>
      </w:pPr>
      <w:r>
        <w:rPr>
          <w:rFonts w:ascii="仿宋_GB2312" w:hAnsi="仿宋_GB2312" w:eastAsia="仿宋_GB2312"/>
          <w:sz w:val="32"/>
        </w:rPr>
        <w:t>(六)立足区域产业规划和市场用工需求，科学设置培训专业(工种)，扎实开展农牧民技能培训，不断提升劳动者职业素质和技能水平，拓宽就业渠道。</w:t>
      </w:r>
    </w:p>
    <w:p w14:paraId="3DA7E240">
      <w:pPr>
        <w:spacing w:line="580" w:lineRule="exact"/>
        <w:ind w:firstLine="640"/>
        <w:jc w:val="both"/>
      </w:pPr>
      <w:r>
        <w:rPr>
          <w:rFonts w:ascii="仿宋_GB2312" w:hAnsi="仿宋_GB2312" w:eastAsia="仿宋_GB2312"/>
          <w:sz w:val="32"/>
        </w:rPr>
        <w:t>(七)搭建培训平台，通过校企合作、校校联合、部门协作的方式，承担各行业、各部门综合培训和技能培训项目，开展职业技能等级评价认定。</w:t>
      </w:r>
    </w:p>
    <w:p w14:paraId="4D2817EE">
      <w:pPr>
        <w:spacing w:line="580" w:lineRule="exact"/>
        <w:ind w:firstLine="640"/>
        <w:jc w:val="both"/>
      </w:pPr>
      <w:r>
        <w:rPr>
          <w:rFonts w:ascii="仿宋_GB2312" w:hAnsi="仿宋_GB2312" w:eastAsia="仿宋_GB2312"/>
          <w:sz w:val="32"/>
        </w:rPr>
        <w:t>(八)加强学校学生教育教学和就业安置服务管理，做好行政后勤和安全管理、卫生健康工作，维护正常校园秩序，保证教学和教研工作顺利开展。</w:t>
      </w:r>
    </w:p>
    <w:p w14:paraId="5F64FAE7">
      <w:pPr>
        <w:spacing w:line="580" w:lineRule="exact"/>
        <w:ind w:firstLine="640"/>
        <w:jc w:val="both"/>
      </w:pPr>
      <w:r>
        <w:rPr>
          <w:rFonts w:ascii="仿宋_GB2312" w:hAnsi="仿宋_GB2312" w:eastAsia="仿宋_GB2312"/>
          <w:sz w:val="32"/>
        </w:rPr>
        <w:t>(九)积极申请国家、自治区、自治州和对口援疆省市资金项目支持开展技工学校合作交流。</w:t>
      </w:r>
    </w:p>
    <w:p w14:paraId="1E8F767D">
      <w:pPr>
        <w:spacing w:line="580" w:lineRule="exact"/>
        <w:ind w:firstLine="640"/>
        <w:jc w:val="both"/>
      </w:pPr>
      <w:r>
        <w:rPr>
          <w:rFonts w:ascii="仿宋_GB2312" w:hAnsi="仿宋_GB2312" w:eastAsia="仿宋_GB2312"/>
          <w:sz w:val="32"/>
        </w:rPr>
        <w:t>(十)承办轮台县委、人民政府交办的其他工作任务。</w:t>
      </w:r>
    </w:p>
    <w:p w14:paraId="05C8A45A">
      <w:pPr>
        <w:spacing w:line="640" w:lineRule="exact"/>
        <w:ind w:firstLine="640"/>
        <w:jc w:val="both"/>
        <w:outlineLvl w:val="2"/>
      </w:pPr>
      <w:r>
        <w:rPr>
          <w:rFonts w:ascii="黑体" w:hAnsi="黑体" w:eastAsia="黑体"/>
          <w:sz w:val="32"/>
        </w:rPr>
        <w:t>二、机构设置及人员情况</w:t>
      </w:r>
    </w:p>
    <w:p w14:paraId="5D4F21ED">
      <w:pPr>
        <w:spacing w:line="580" w:lineRule="exact"/>
        <w:ind w:firstLine="640"/>
        <w:jc w:val="both"/>
      </w:pPr>
      <w:r>
        <w:rPr>
          <w:rFonts w:ascii="仿宋_GB2312" w:hAnsi="仿宋_GB2312" w:eastAsia="仿宋_GB2312"/>
          <w:sz w:val="32"/>
        </w:rPr>
        <w:t>轮台县技工学校2024年度，实有人数43人，其中：在职人员42人，增加19人；离休人员0人，增加0人；退休人员1人,增加1人。</w:t>
      </w:r>
    </w:p>
    <w:p w14:paraId="6ABC3839">
      <w:pPr>
        <w:spacing w:line="580" w:lineRule="exact"/>
        <w:ind w:firstLine="640"/>
        <w:jc w:val="both"/>
      </w:pPr>
      <w:r>
        <w:rPr>
          <w:rFonts w:ascii="仿宋_GB2312" w:hAnsi="仿宋_GB2312" w:eastAsia="仿宋_GB2312"/>
          <w:sz w:val="32"/>
        </w:rPr>
        <w:t>轮台县技工学校无下属预算单位，下设5个科室，分别是：办公室、教务科、学生科、招生就业科、后勤管理科。</w:t>
      </w:r>
    </w:p>
    <w:p w14:paraId="7608E838">
      <w:r>
        <w:br w:type="page"/>
      </w:r>
    </w:p>
    <w:p w14:paraId="47B74C63">
      <w:pPr>
        <w:spacing w:line="240" w:lineRule="auto"/>
        <w:jc w:val="center"/>
        <w:outlineLvl w:val="1"/>
      </w:pPr>
      <w:r>
        <w:rPr>
          <w:rFonts w:ascii="黑体" w:hAnsi="黑体" w:eastAsia="黑体"/>
          <w:sz w:val="32"/>
        </w:rPr>
        <w:t>第二部分 部门决算情况说明</w:t>
      </w:r>
    </w:p>
    <w:p w14:paraId="675C1ABB">
      <w:pPr>
        <w:spacing w:line="640" w:lineRule="exact"/>
        <w:ind w:firstLine="640"/>
        <w:jc w:val="both"/>
        <w:outlineLvl w:val="2"/>
      </w:pPr>
      <w:r>
        <w:rPr>
          <w:rFonts w:ascii="黑体" w:hAnsi="黑体" w:eastAsia="黑体"/>
          <w:sz w:val="32"/>
        </w:rPr>
        <w:t>一、收入支出决算总体情况说明</w:t>
      </w:r>
    </w:p>
    <w:p w14:paraId="3414921D">
      <w:pPr>
        <w:spacing w:line="580" w:lineRule="exact"/>
        <w:ind w:firstLine="640"/>
        <w:jc w:val="both"/>
      </w:pPr>
      <w:r>
        <w:rPr>
          <w:rFonts w:ascii="仿宋_GB2312" w:hAnsi="仿宋_GB2312" w:eastAsia="仿宋_GB2312"/>
          <w:b/>
          <w:sz w:val="32"/>
        </w:rPr>
        <w:t>2024年度收入总计1,760.85万元，</w:t>
      </w:r>
      <w:r>
        <w:rPr>
          <w:rFonts w:ascii="仿宋_GB2312" w:hAnsi="仿宋_GB2312" w:eastAsia="仿宋_GB2312"/>
          <w:b w:val="0"/>
          <w:sz w:val="32"/>
        </w:rPr>
        <w:t>其中：本年收入合计905.52万元，使用非财政拨款结余（含专用结余）0.00万元，年初结转和结余855.34万元。</w:t>
      </w:r>
    </w:p>
    <w:p w14:paraId="302975AE">
      <w:pPr>
        <w:spacing w:line="580" w:lineRule="exact"/>
        <w:ind w:firstLine="640"/>
        <w:jc w:val="both"/>
      </w:pPr>
      <w:r>
        <w:rPr>
          <w:rFonts w:ascii="仿宋_GB2312" w:hAnsi="仿宋_GB2312" w:eastAsia="仿宋_GB2312"/>
          <w:b/>
          <w:sz w:val="32"/>
        </w:rPr>
        <w:t>2024年度支出总计1,760.85万元，</w:t>
      </w:r>
      <w:r>
        <w:rPr>
          <w:rFonts w:ascii="仿宋_GB2312" w:hAnsi="仿宋_GB2312" w:eastAsia="仿宋_GB2312"/>
          <w:b w:val="0"/>
          <w:sz w:val="32"/>
        </w:rPr>
        <w:t>其中：本年支出合计773.66万元，结余分配0.00万元，年末结转和结余987.19万元。</w:t>
      </w:r>
    </w:p>
    <w:p w14:paraId="495488A9">
      <w:pPr>
        <w:spacing w:line="580" w:lineRule="exact"/>
        <w:ind w:firstLine="640"/>
        <w:jc w:val="both"/>
      </w:pPr>
      <w:r>
        <w:rPr>
          <w:rFonts w:ascii="仿宋_GB2312" w:hAnsi="仿宋_GB2312" w:eastAsia="仿宋_GB2312"/>
          <w:b w:val="0"/>
          <w:sz w:val="32"/>
        </w:rPr>
        <w:t>收入支出总体与上年相比，增加19.55万元，增长1.12%，主要原因是：本年在职人员增加，在职人员工资调增、社保、公积金基数调增，人员经费增加。</w:t>
      </w:r>
    </w:p>
    <w:p w14:paraId="375210FD">
      <w:pPr>
        <w:spacing w:line="640" w:lineRule="exact"/>
        <w:ind w:firstLine="640"/>
        <w:jc w:val="both"/>
        <w:outlineLvl w:val="2"/>
      </w:pPr>
      <w:r>
        <w:rPr>
          <w:rFonts w:ascii="黑体" w:hAnsi="黑体" w:eastAsia="黑体"/>
          <w:sz w:val="32"/>
        </w:rPr>
        <w:t>二、收入决算情况说明</w:t>
      </w:r>
    </w:p>
    <w:p w14:paraId="420E513B">
      <w:pPr>
        <w:spacing w:line="580" w:lineRule="exact"/>
        <w:ind w:firstLine="640"/>
        <w:jc w:val="both"/>
      </w:pPr>
      <w:r>
        <w:rPr>
          <w:rFonts w:ascii="仿宋_GB2312" w:hAnsi="仿宋_GB2312" w:eastAsia="仿宋_GB2312"/>
          <w:b/>
          <w:sz w:val="32"/>
        </w:rPr>
        <w:t>本年收入905.52万元，</w:t>
      </w:r>
      <w:r>
        <w:rPr>
          <w:rFonts w:ascii="仿宋_GB2312" w:hAnsi="仿宋_GB2312" w:eastAsia="仿宋_GB2312"/>
          <w:b w:val="0"/>
          <w:sz w:val="32"/>
        </w:rPr>
        <w:t>其中：财政拨款收入585.79万元，占64.69%；上级补助收入0.00万元，占0.00%；事业收入0.00万元，占0.00%；经营收入0.00万元，占0.00%；附属单位上缴收入0.00万元，占0.00%；其他收入319.73万元，占35.31%。</w:t>
      </w:r>
    </w:p>
    <w:p w14:paraId="227E0810">
      <w:pPr>
        <w:spacing w:line="640" w:lineRule="exact"/>
        <w:ind w:firstLine="640"/>
        <w:jc w:val="both"/>
        <w:outlineLvl w:val="2"/>
      </w:pPr>
      <w:r>
        <w:rPr>
          <w:rFonts w:ascii="黑体" w:hAnsi="黑体" w:eastAsia="黑体"/>
          <w:sz w:val="32"/>
        </w:rPr>
        <w:t>三、支出决算情况说明</w:t>
      </w:r>
    </w:p>
    <w:p w14:paraId="3A34B372">
      <w:pPr>
        <w:spacing w:line="580" w:lineRule="exact"/>
        <w:ind w:firstLine="640"/>
        <w:jc w:val="both"/>
      </w:pPr>
      <w:r>
        <w:rPr>
          <w:rFonts w:ascii="仿宋_GB2312" w:hAnsi="仿宋_GB2312" w:eastAsia="仿宋_GB2312"/>
          <w:b/>
          <w:sz w:val="32"/>
        </w:rPr>
        <w:t>本年支出773.66万元，</w:t>
      </w:r>
      <w:r>
        <w:rPr>
          <w:rFonts w:ascii="仿宋_GB2312" w:hAnsi="仿宋_GB2312" w:eastAsia="仿宋_GB2312"/>
          <w:b w:val="0"/>
          <w:sz w:val="32"/>
        </w:rPr>
        <w:t>其中：基本支出614.77万元，占79.46%；项目支出158.89万元，占20.54%；上缴上级支出0.00万元，占0.00%；经营支出0.00万元，占0.00%；对附属单位补助支出0.00万元，占0.00%。</w:t>
      </w:r>
    </w:p>
    <w:p w14:paraId="75FD7C4A">
      <w:pPr>
        <w:spacing w:line="640" w:lineRule="exact"/>
        <w:ind w:firstLine="640"/>
        <w:jc w:val="both"/>
        <w:outlineLvl w:val="2"/>
      </w:pPr>
      <w:r>
        <w:rPr>
          <w:rFonts w:ascii="黑体" w:hAnsi="黑体" w:eastAsia="黑体"/>
          <w:sz w:val="32"/>
        </w:rPr>
        <w:t>四、财政拨款收入支出决算总体情况说明</w:t>
      </w:r>
    </w:p>
    <w:p w14:paraId="5CFBEF05">
      <w:pPr>
        <w:spacing w:line="580" w:lineRule="exact"/>
        <w:ind w:firstLine="640"/>
        <w:jc w:val="both"/>
      </w:pPr>
      <w:r>
        <w:rPr>
          <w:rFonts w:ascii="仿宋_GB2312" w:hAnsi="仿宋_GB2312" w:eastAsia="仿宋_GB2312"/>
          <w:b/>
          <w:sz w:val="32"/>
        </w:rPr>
        <w:t>2024年度财政拨款收入总计585.79万元，</w:t>
      </w:r>
      <w:r>
        <w:rPr>
          <w:rFonts w:ascii="仿宋_GB2312" w:hAnsi="仿宋_GB2312" w:eastAsia="仿宋_GB2312"/>
          <w:b w:val="0"/>
          <w:sz w:val="32"/>
        </w:rPr>
        <w:t>其中：年初财政拨款结转和结余0.00万元，本年财政拨款收入585.79万元。</w:t>
      </w:r>
      <w:r>
        <w:rPr>
          <w:rFonts w:ascii="仿宋_GB2312" w:hAnsi="仿宋_GB2312" w:eastAsia="仿宋_GB2312"/>
          <w:b/>
          <w:sz w:val="32"/>
        </w:rPr>
        <w:t>财政拨款支出总计585.79万元，</w:t>
      </w:r>
      <w:r>
        <w:rPr>
          <w:rFonts w:ascii="仿宋_GB2312" w:hAnsi="仿宋_GB2312" w:eastAsia="仿宋_GB2312"/>
          <w:b w:val="0"/>
          <w:sz w:val="32"/>
        </w:rPr>
        <w:t>其中：年末财政拨款结转和结余0.00万元，本年财政拨款支出585.79万元。</w:t>
      </w:r>
    </w:p>
    <w:p w14:paraId="2F5A0D8B">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增加3.14万元，增长0.54%，主要原因是：本年在职人员增加，在职人员工资调增、社保、公积金基数调增，人员经费增加。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年初预算数540.95万元，决算数585.79万元，预决算差异率8.29%，主要原因是：年中追加人员工资、社保、公积金基数调增部分资金，导致预决算存在差异。</w:t>
      </w:r>
    </w:p>
    <w:p w14:paraId="68C2C2BB">
      <w:pPr>
        <w:spacing w:line="640" w:lineRule="exact"/>
        <w:ind w:firstLine="640"/>
        <w:jc w:val="both"/>
        <w:outlineLvl w:val="2"/>
      </w:pPr>
      <w:r>
        <w:rPr>
          <w:rFonts w:ascii="黑体" w:hAnsi="黑体" w:eastAsia="黑体"/>
          <w:sz w:val="32"/>
        </w:rPr>
        <w:t>五、一般公共预算财政拨款支出决算情况说明</w:t>
      </w:r>
    </w:p>
    <w:p w14:paraId="55F768A4">
      <w:pPr>
        <w:spacing w:line="640" w:lineRule="exact"/>
        <w:ind w:firstLine="640"/>
        <w:jc w:val="both"/>
        <w:outlineLvl w:val="3"/>
      </w:pPr>
      <w:r>
        <w:rPr>
          <w:rFonts w:ascii="楷体_GB2312" w:hAnsi="楷体_GB2312" w:eastAsia="楷体_GB2312"/>
          <w:b/>
          <w:sz w:val="32"/>
        </w:rPr>
        <w:t>（一）一般公共预算财政拨款支出决算总体情况</w:t>
      </w:r>
    </w:p>
    <w:p w14:paraId="6965E598">
      <w:pPr>
        <w:spacing w:line="580" w:lineRule="exact"/>
        <w:ind w:firstLine="640"/>
        <w:jc w:val="both"/>
      </w:pPr>
      <w:r>
        <w:rPr>
          <w:rFonts w:ascii="仿宋_GB2312" w:hAnsi="仿宋_GB2312" w:eastAsia="仿宋_GB2312"/>
          <w:b/>
          <w:sz w:val="32"/>
        </w:rPr>
        <w:t>2024年度一般公共预算财政拨款支出585.79万元，</w:t>
      </w:r>
      <w:r>
        <w:rPr>
          <w:rFonts w:ascii="仿宋_GB2312" w:hAnsi="仿宋_GB2312" w:eastAsia="仿宋_GB2312"/>
          <w:b w:val="0"/>
          <w:sz w:val="32"/>
        </w:rPr>
        <w:t>占本年支出合计的75.72%。</w:t>
      </w:r>
      <w:r>
        <w:rPr>
          <w:rFonts w:ascii="仿宋_GB2312" w:hAnsi="仿宋_GB2312" w:eastAsia="仿宋_GB2312"/>
          <w:b/>
          <w:sz w:val="32"/>
        </w:rPr>
        <w:t>与上年相比，</w:t>
      </w:r>
      <w:r>
        <w:rPr>
          <w:rFonts w:ascii="仿宋_GB2312" w:hAnsi="仿宋_GB2312" w:eastAsia="仿宋_GB2312"/>
          <w:b w:val="0"/>
          <w:sz w:val="32"/>
        </w:rPr>
        <w:t>增加3.14万元，增长0.54%，主要原因是：本年在职人员增加，在职人员工资调增、社保、公积金基数调增，人员经费增加。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年初预算数540.95万元，决算数585.79万元，预决算差异率8.29%，主要原因是：年中追加人员工资、社保、公积金基数调增部分资金，导致预决算存在差异。</w:t>
      </w:r>
    </w:p>
    <w:p w14:paraId="2E3A894C">
      <w:pPr>
        <w:spacing w:line="640" w:lineRule="exact"/>
        <w:ind w:firstLine="640"/>
        <w:jc w:val="both"/>
        <w:outlineLvl w:val="3"/>
      </w:pPr>
      <w:r>
        <w:rPr>
          <w:rFonts w:ascii="楷体_GB2312" w:hAnsi="楷体_GB2312" w:eastAsia="楷体_GB2312"/>
          <w:b/>
          <w:sz w:val="32"/>
        </w:rPr>
        <w:t>（二）一般公共预算财政拨款支出决算结构情况</w:t>
      </w:r>
    </w:p>
    <w:p w14:paraId="5E033A12">
      <w:pPr>
        <w:spacing w:line="580" w:lineRule="exact"/>
        <w:ind w:firstLine="640"/>
        <w:jc w:val="both"/>
      </w:pPr>
      <w:r>
        <w:rPr>
          <w:rFonts w:ascii="仿宋_GB2312" w:hAnsi="仿宋_GB2312" w:eastAsia="仿宋_GB2312"/>
          <w:b w:val="0"/>
          <w:sz w:val="32"/>
        </w:rPr>
        <w:t>1.教育支出(类)585.79万元,占100.00%。</w:t>
      </w:r>
    </w:p>
    <w:p w14:paraId="567220E5">
      <w:pPr>
        <w:spacing w:line="640" w:lineRule="exact"/>
        <w:ind w:firstLine="640"/>
        <w:jc w:val="both"/>
        <w:outlineLvl w:val="3"/>
      </w:pPr>
      <w:r>
        <w:rPr>
          <w:rFonts w:ascii="楷体_GB2312" w:hAnsi="楷体_GB2312" w:eastAsia="楷体_GB2312"/>
          <w:b/>
          <w:sz w:val="32"/>
        </w:rPr>
        <w:t>（三）一般公共预算财政拨款支出决算具体情况</w:t>
      </w:r>
    </w:p>
    <w:p w14:paraId="1FE45E83">
      <w:pPr>
        <w:spacing w:line="580" w:lineRule="exact"/>
        <w:ind w:firstLine="640"/>
        <w:jc w:val="both"/>
      </w:pPr>
      <w:r>
        <w:rPr>
          <w:rFonts w:ascii="仿宋_GB2312" w:hAnsi="仿宋_GB2312" w:eastAsia="仿宋_GB2312"/>
          <w:b w:val="0"/>
          <w:sz w:val="32"/>
        </w:rPr>
        <w:t>1.教育支出(类)职业教育(款)中等职业教育(项):支出决算数为0.00万元，比上年决算减少545.81万元，下降100.00%,主要原因是：本年功能科目调整，人员经费及公用经费上年在中等职业教育列支，本年调整至技校教育列支，导致经费较上年减少。</w:t>
      </w:r>
    </w:p>
    <w:p w14:paraId="3B17895A">
      <w:pPr>
        <w:spacing w:line="580" w:lineRule="exact"/>
        <w:ind w:firstLine="640"/>
        <w:jc w:val="both"/>
      </w:pPr>
      <w:r>
        <w:rPr>
          <w:rFonts w:ascii="仿宋_GB2312" w:hAnsi="仿宋_GB2312" w:eastAsia="仿宋_GB2312"/>
          <w:b w:val="0"/>
          <w:sz w:val="32"/>
        </w:rPr>
        <w:t>2.教育支出(类)职业教育(款)技校教育(项):支出决算数为585.79万元，比上年决算增加548.94万元，增长1,489.66%,主要原因是：本年功能科目调整，人员经费及公用经费上年在中等职业教育列支，本年调整至技校教育列支，导致经费较上年增加。</w:t>
      </w:r>
    </w:p>
    <w:p w14:paraId="2435DDB7">
      <w:pPr>
        <w:spacing w:line="640" w:lineRule="exact"/>
        <w:ind w:firstLine="640"/>
        <w:jc w:val="both"/>
        <w:outlineLvl w:val="2"/>
      </w:pPr>
      <w:r>
        <w:rPr>
          <w:rFonts w:ascii="黑体" w:hAnsi="黑体" w:eastAsia="黑体"/>
          <w:sz w:val="32"/>
        </w:rPr>
        <w:t>六、一般公共预算财政拨款基本支出决算情况说明</w:t>
      </w:r>
    </w:p>
    <w:p w14:paraId="7C23AD1C">
      <w:pPr>
        <w:spacing w:line="580" w:lineRule="exact"/>
        <w:ind w:firstLine="640"/>
        <w:jc w:val="both"/>
      </w:pPr>
      <w:r>
        <w:rPr>
          <w:rFonts w:ascii="仿宋_GB2312" w:hAnsi="仿宋_GB2312" w:eastAsia="仿宋_GB2312"/>
          <w:b w:val="0"/>
          <w:sz w:val="32"/>
        </w:rPr>
        <w:t>2024年度一般公共预算财政拨款基本支出585.79万元，其中：</w:t>
      </w:r>
      <w:r>
        <w:rPr>
          <w:rFonts w:ascii="仿宋_GB2312" w:hAnsi="仿宋_GB2312" w:eastAsia="仿宋_GB2312"/>
          <w:b/>
          <w:sz w:val="32"/>
        </w:rPr>
        <w:t>人员经费395.60万元，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包括：基本工资、津贴补贴、奖金、绩效工资、机关事业单位基本养老保险缴费、职业年金缴费、职工基本医疗保险缴费、其他社会保障缴费、住房公积金、其他工资福利支出、生活补助、奖励金。</w:t>
      </w:r>
    </w:p>
    <w:p w14:paraId="34476CAE">
      <w:pPr>
        <w:spacing w:line="580" w:lineRule="exact"/>
        <w:ind w:firstLine="640"/>
        <w:jc w:val="both"/>
      </w:pPr>
      <w:r>
        <w:rPr>
          <w:rFonts w:ascii="仿宋_GB2312" w:hAnsi="仿宋_GB2312" w:eastAsia="仿宋_GB2312"/>
          <w:b/>
          <w:sz w:val="32"/>
        </w:rPr>
        <w:t>公用经费190.18万元，</w:t>
      </w:r>
      <w:r>
        <w:rPr>
          <w:rFonts w:ascii="仿宋_GB2312" w:hAnsi="仿宋_GB2312" w:eastAsia="仿宋_GB2312"/>
          <w:b w:val="0"/>
          <w:sz w:val="32"/>
        </w:rPr>
        <w:t>包括：办公费、水费、电费、邮电费、取暖费、差旅费、维修（护）费、培训费、专用材料费、劳务费、委托业务费、公务用车运行维护费、办公设备购置、专用设备购置。</w:t>
      </w:r>
    </w:p>
    <w:p w14:paraId="43549F97">
      <w:pPr>
        <w:spacing w:line="640" w:lineRule="exact"/>
        <w:ind w:firstLine="640"/>
        <w:jc w:val="both"/>
        <w:outlineLvl w:val="2"/>
      </w:pPr>
      <w:r>
        <w:rPr>
          <w:rFonts w:ascii="黑体" w:hAnsi="黑体" w:eastAsia="黑体"/>
          <w:sz w:val="32"/>
        </w:rPr>
        <w:t>七、政府性基金预算财政拨款收入支出决算情况说明</w:t>
      </w:r>
    </w:p>
    <w:p w14:paraId="6C656489">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6CCB2CAC">
      <w:pPr>
        <w:spacing w:line="640" w:lineRule="exact"/>
        <w:ind w:firstLine="640"/>
        <w:jc w:val="both"/>
        <w:outlineLvl w:val="2"/>
      </w:pPr>
      <w:r>
        <w:rPr>
          <w:rFonts w:ascii="黑体" w:hAnsi="黑体" w:eastAsia="黑体"/>
          <w:sz w:val="32"/>
        </w:rPr>
        <w:t>八、国有资本经营预算财政拨款收入支出决算情况说明</w:t>
      </w:r>
    </w:p>
    <w:p w14:paraId="22770CE8">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5B9CA291">
      <w:pPr>
        <w:spacing w:line="640" w:lineRule="exact"/>
        <w:ind w:firstLine="640"/>
        <w:jc w:val="both"/>
        <w:outlineLvl w:val="2"/>
      </w:pPr>
      <w:r>
        <w:rPr>
          <w:rFonts w:ascii="黑体" w:hAnsi="黑体" w:eastAsia="黑体"/>
          <w:sz w:val="32"/>
        </w:rPr>
        <w:t>九、财政拨款“三公”经费支出决算情况说明</w:t>
      </w:r>
    </w:p>
    <w:p w14:paraId="5414DD8E">
      <w:pPr>
        <w:spacing w:line="580" w:lineRule="exact"/>
        <w:ind w:firstLine="640"/>
        <w:jc w:val="both"/>
      </w:pPr>
      <w:r>
        <w:rPr>
          <w:rFonts w:ascii="仿宋_GB2312" w:hAnsi="仿宋_GB2312" w:eastAsia="仿宋_GB2312"/>
          <w:b/>
          <w:sz w:val="32"/>
        </w:rPr>
        <w:t>2024年度财政拨款“三公”经费支出0.86万元，</w:t>
      </w:r>
      <w:r>
        <w:rPr>
          <w:rFonts w:ascii="仿宋_GB2312" w:hAnsi="仿宋_GB2312" w:eastAsia="仿宋_GB2312"/>
          <w:b w:val="0"/>
          <w:sz w:val="32"/>
        </w:rPr>
        <w:t>比上年增加0.02万元，增长2.38%，主要原因是：本年因业务需求，用车次数增加，燃油费增加，导致公务用车运行维护费较上年增加。其中：因公出国（境）费支出0.00万元，占0.00%，比上年增加0.00万元，增长0.00%，主要原因是：2023年与2024年均未安排因公出国（境）费支出。公务用车购置及运行维护费支出0.86万元，占100.00%，比上年增加0.02万元，增长2.38%，主要原因是：本年因业务需求，用车次数增加，燃油费增加，导致公务用车运行维护费较上年增加。公务接待费支出0.00万元，占0.00%，比上年增加0.00万元，增长0.00%，主要原因是：2023年与2024年均未安排公务接待费支出。</w:t>
      </w:r>
    </w:p>
    <w:p w14:paraId="1FB6B1D1">
      <w:pPr>
        <w:spacing w:line="580" w:lineRule="exact"/>
        <w:ind w:firstLine="640"/>
        <w:jc w:val="both"/>
      </w:pPr>
      <w:r>
        <w:rPr>
          <w:rFonts w:ascii="仿宋_GB2312" w:hAnsi="仿宋_GB2312" w:eastAsia="仿宋_GB2312"/>
          <w:b/>
          <w:sz w:val="32"/>
        </w:rPr>
        <w:t>具体情况如下：</w:t>
      </w:r>
    </w:p>
    <w:p w14:paraId="46C6AFEB">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64ECE43C">
      <w:pPr>
        <w:spacing w:line="580" w:lineRule="exact"/>
        <w:ind w:firstLine="640"/>
        <w:jc w:val="both"/>
      </w:pPr>
      <w:r>
        <w:rPr>
          <w:rFonts w:ascii="仿宋_GB2312" w:hAnsi="仿宋_GB2312" w:eastAsia="仿宋_GB2312"/>
          <w:b w:val="0"/>
          <w:sz w:val="32"/>
        </w:rPr>
        <w:t>公务用车购置及运行维护费0.86万元，其中：公务用车购置费0.00万元，公务用车运行维护费0.86万元。公务用车运行维护费开支内容包括车辆加油费、维修费、保险费、审车费、过路费等。公务用车购置数0辆，公务用车保有量3辆。国有资产占用情况中固定资产车辆3辆，与公务用车保有量差异原因是：本单位固定资产车辆与公务用车保有量一致无差异。</w:t>
      </w:r>
    </w:p>
    <w:p w14:paraId="36BBB478">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704B9403">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0.86万元，决算数0.86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0.86万元，决算数0.86万元，预决算差异率0.00%，主要原因是：严格按照预算执行，预决算无差异。公务接待费全年预算数0.00万元，决算数0.00万元，预决算差异率0.00%，主要原因是：本单位无公务接待费。</w:t>
      </w:r>
    </w:p>
    <w:p w14:paraId="651513D8">
      <w:pPr>
        <w:spacing w:line="640" w:lineRule="exact"/>
        <w:ind w:firstLine="640"/>
        <w:jc w:val="both"/>
        <w:outlineLvl w:val="2"/>
      </w:pPr>
      <w:r>
        <w:rPr>
          <w:rFonts w:ascii="黑体" w:hAnsi="黑体" w:eastAsia="黑体"/>
          <w:sz w:val="32"/>
        </w:rPr>
        <w:t>十、其他重要事项的情况说明</w:t>
      </w:r>
    </w:p>
    <w:p w14:paraId="002DCF3E">
      <w:pPr>
        <w:spacing w:line="640" w:lineRule="exact"/>
        <w:ind w:firstLine="640"/>
        <w:jc w:val="both"/>
        <w:outlineLvl w:val="3"/>
      </w:pPr>
      <w:r>
        <w:rPr>
          <w:rFonts w:ascii="楷体_GB2312" w:hAnsi="楷体_GB2312" w:eastAsia="楷体_GB2312"/>
          <w:b/>
          <w:sz w:val="32"/>
        </w:rPr>
        <w:t>（一）机关运行经费及公用经费支出情况</w:t>
      </w:r>
    </w:p>
    <w:p w14:paraId="18D9A76A">
      <w:pPr>
        <w:spacing w:line="580" w:lineRule="exact"/>
        <w:ind w:firstLine="640"/>
        <w:jc w:val="both"/>
      </w:pPr>
      <w:r>
        <w:rPr>
          <w:rFonts w:ascii="仿宋_GB2312" w:hAnsi="仿宋_GB2312" w:eastAsia="仿宋_GB2312"/>
          <w:b w:val="0"/>
          <w:sz w:val="32"/>
        </w:rPr>
        <w:t>2024年度轮台县技工学校（事业单位）公用经费支出190.18万元，比上年减少1.51万元，下降0.79%，主要原因是：严格控制公用经费，合理节约办公用品，减少不必要开支。</w:t>
      </w:r>
    </w:p>
    <w:p w14:paraId="46F51765">
      <w:pPr>
        <w:spacing w:line="640" w:lineRule="exact"/>
        <w:ind w:firstLine="640"/>
        <w:jc w:val="both"/>
        <w:outlineLvl w:val="3"/>
      </w:pPr>
      <w:r>
        <w:rPr>
          <w:rFonts w:ascii="楷体_GB2312" w:hAnsi="楷体_GB2312" w:eastAsia="楷体_GB2312"/>
          <w:b/>
          <w:sz w:val="32"/>
        </w:rPr>
        <w:t>（二）政府采购情况</w:t>
      </w:r>
    </w:p>
    <w:p w14:paraId="640EE7EC">
      <w:pPr>
        <w:spacing w:line="580" w:lineRule="exact"/>
        <w:ind w:firstLine="640"/>
        <w:jc w:val="both"/>
      </w:pPr>
      <w:r>
        <w:rPr>
          <w:rFonts w:ascii="仿宋_GB2312" w:hAnsi="仿宋_GB2312" w:eastAsia="仿宋_GB2312"/>
          <w:b w:val="0"/>
          <w:sz w:val="32"/>
        </w:rPr>
        <w:t>2024年度政府采购支出总额111.08万元，其中：政府采购货物支出29.88万元、政府采购工程支出22.43万元、政府采购服务支出58.77万元。</w:t>
      </w:r>
    </w:p>
    <w:p w14:paraId="0BE5E24B">
      <w:pPr>
        <w:spacing w:line="580" w:lineRule="exact"/>
        <w:ind w:firstLine="640"/>
        <w:jc w:val="both"/>
      </w:pPr>
      <w:r>
        <w:rPr>
          <w:rFonts w:ascii="仿宋_GB2312" w:hAnsi="仿宋_GB2312" w:eastAsia="仿宋_GB2312"/>
          <w:b w:val="0"/>
          <w:sz w:val="32"/>
        </w:rPr>
        <w:t>授予中小企业合同金额105.91万元，占政府采购支出总额的95.35%，其中：授予小微企业合同金额103.74万元，占政府采购支出总额的93.39%。</w:t>
      </w:r>
    </w:p>
    <w:p w14:paraId="6E4B3679">
      <w:pPr>
        <w:spacing w:line="640" w:lineRule="exact"/>
        <w:ind w:firstLine="640"/>
        <w:jc w:val="both"/>
        <w:outlineLvl w:val="3"/>
      </w:pPr>
      <w:r>
        <w:rPr>
          <w:rFonts w:ascii="楷体_GB2312" w:hAnsi="楷体_GB2312" w:eastAsia="楷体_GB2312"/>
          <w:b/>
          <w:sz w:val="32"/>
        </w:rPr>
        <w:t>（三）国有资产占用情况说明</w:t>
      </w:r>
    </w:p>
    <w:p w14:paraId="67116E56">
      <w:pPr>
        <w:spacing w:line="580" w:lineRule="exact"/>
        <w:ind w:firstLine="640"/>
        <w:jc w:val="both"/>
      </w:pPr>
      <w:r>
        <w:rPr>
          <w:rFonts w:ascii="仿宋_GB2312" w:hAnsi="仿宋_GB2312" w:eastAsia="仿宋_GB2312"/>
          <w:b w:val="0"/>
          <w:sz w:val="32"/>
        </w:rPr>
        <w:t>截至2024年12月31日，房屋0.00平方米，价值0.00万元。车辆3辆，价值27.38万元，其中：副部（省）级及以上领导用车0辆、主要负责人用车0辆、机要通信用车0辆、应急保障用车0辆、执法执勤用车0辆、特种专业技术用车0辆、离退休干部服务用车0辆、其他用车3辆，其他用车主要是：一般公务用车。单价100万元（含）以上设备（不含车辆）0台（套）。</w:t>
      </w:r>
    </w:p>
    <w:p w14:paraId="2CD41711">
      <w:pPr>
        <w:spacing w:line="640" w:lineRule="exact"/>
        <w:ind w:firstLine="640"/>
        <w:jc w:val="both"/>
        <w:outlineLvl w:val="2"/>
      </w:pPr>
      <w:r>
        <w:rPr>
          <w:rFonts w:ascii="黑体" w:hAnsi="黑体" w:eastAsia="黑体"/>
          <w:sz w:val="32"/>
        </w:rPr>
        <w:t>十一、预算绩效的情况说明</w:t>
      </w:r>
    </w:p>
    <w:p w14:paraId="66B58EDA">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1,760.85万元，实际执行总额773.66万元；预算绩效评价项目1个，全年预算数9.80万元，全年执行数9.79万元。预算绩效管理取得的成效：一是确保资金的高效使用，切实发挥</w:t>
      </w:r>
      <w:r>
        <w:rPr>
          <w:rFonts w:hint="eastAsia" w:ascii="仿宋_GB2312" w:hAnsi="仿宋_GB2312" w:eastAsia="仿宋_GB2312"/>
          <w:b w:val="0"/>
          <w:sz w:val="32"/>
          <w:lang w:eastAsia="zh-CN"/>
        </w:rPr>
        <w:t>财政资金使用</w:t>
      </w:r>
      <w:r>
        <w:rPr>
          <w:rFonts w:ascii="仿宋_GB2312" w:hAnsi="仿宋_GB2312" w:eastAsia="仿宋_GB2312"/>
          <w:b w:val="0"/>
          <w:sz w:val="32"/>
        </w:rPr>
        <w:t>效果。二是严格按照工作职责和相关文件依据，确保专款专用。三是严格控制资金的流出方向，确保资金的合规性。发现的问题及原因：一是绩效指标设置不够明确；二是绩效自评工作不够规范。下一步改进措施：一是强化部门绩效管理体系建设；二是强化绩效自评工作，提高自评报告质量。具体附整体支出绩效自评表，项目支出绩效自评表和评价报告。</w:t>
      </w:r>
    </w:p>
    <w:p w14:paraId="43590F30">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76A113F4">
        <w:tblPrEx>
          <w:tblCellMar>
            <w:top w:w="0" w:type="dxa"/>
            <w:left w:w="108" w:type="dxa"/>
            <w:bottom w:w="0" w:type="dxa"/>
            <w:right w:w="108" w:type="dxa"/>
          </w:tblCellMar>
        </w:tblPrEx>
        <w:tc>
          <w:tcPr>
            <w:tcW w:w="8840" w:type="dxa"/>
            <w:gridSpan w:val="8"/>
            <w:vAlign w:val="center"/>
          </w:tcPr>
          <w:p w14:paraId="15E55144">
            <w:pPr>
              <w:jc w:val="center"/>
            </w:pPr>
            <w:r>
              <w:rPr>
                <w:rFonts w:ascii="宋体" w:hAnsi="宋体" w:eastAsia="宋体"/>
                <w:sz w:val="24"/>
              </w:rPr>
              <w:t>单位整体支出绩效自评表</w:t>
            </w:r>
          </w:p>
        </w:tc>
      </w:tr>
      <w:tr w14:paraId="31544BD9">
        <w:tblPrEx>
          <w:tblCellMar>
            <w:top w:w="0" w:type="dxa"/>
            <w:left w:w="108" w:type="dxa"/>
            <w:bottom w:w="0" w:type="dxa"/>
            <w:right w:w="108" w:type="dxa"/>
          </w:tblCellMar>
        </w:tblPrEx>
        <w:tc>
          <w:tcPr>
            <w:tcW w:w="8840" w:type="dxa"/>
            <w:gridSpan w:val="8"/>
            <w:vAlign w:val="center"/>
          </w:tcPr>
          <w:p w14:paraId="095C163F">
            <w:pPr>
              <w:jc w:val="center"/>
            </w:pPr>
            <w:r>
              <w:rPr>
                <w:rFonts w:ascii="宋体" w:hAnsi="宋体" w:eastAsia="宋体"/>
                <w:sz w:val="24"/>
              </w:rPr>
              <w:t>（2024年度）</w:t>
            </w:r>
          </w:p>
        </w:tc>
      </w:tr>
      <w:tr w14:paraId="07492F11">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3F6D14">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A654D42">
            <w:pPr>
              <w:jc w:val="center"/>
            </w:pPr>
            <w:r>
              <w:rPr>
                <w:rFonts w:ascii="宋体" w:hAnsi="宋体" w:eastAsia="宋体"/>
                <w:sz w:val="16"/>
              </w:rPr>
              <w:t>轮台县技工学校</w:t>
            </w:r>
          </w:p>
        </w:tc>
      </w:tr>
      <w:tr w14:paraId="64624610">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BA0A5B">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2C151F">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031985">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24F2CA">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663C23">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FB10D3">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00ED22">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5A90D5">
            <w:pPr>
              <w:jc w:val="center"/>
            </w:pPr>
            <w:r>
              <w:rPr>
                <w:rFonts w:ascii="宋体" w:hAnsi="宋体" w:eastAsia="宋体"/>
                <w:sz w:val="16"/>
              </w:rPr>
              <w:t>得分</w:t>
            </w:r>
          </w:p>
        </w:tc>
      </w:tr>
      <w:tr w14:paraId="241FC4D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E553EB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D9DAEE">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CFF79C">
            <w:pPr>
              <w:jc w:val="center"/>
            </w:pPr>
            <w:r>
              <w:rPr>
                <w:rFonts w:ascii="宋体" w:hAnsi="宋体" w:eastAsia="宋体"/>
                <w:sz w:val="16"/>
              </w:rPr>
              <w:t>540.95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F7E94D">
            <w:pPr>
              <w:jc w:val="center"/>
            </w:pPr>
            <w:r>
              <w:rPr>
                <w:rFonts w:ascii="宋体" w:hAnsi="宋体" w:eastAsia="宋体"/>
                <w:sz w:val="16"/>
              </w:rPr>
              <w:t>1,760.85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5A1E7D">
            <w:pPr>
              <w:jc w:val="center"/>
            </w:pPr>
            <w:r>
              <w:rPr>
                <w:rFonts w:ascii="宋体" w:hAnsi="宋体" w:eastAsia="宋体"/>
                <w:sz w:val="16"/>
              </w:rPr>
              <w:t>773.66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A4E4B2">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9D5340">
            <w:pPr>
              <w:jc w:val="center"/>
            </w:pPr>
            <w:r>
              <w:rPr>
                <w:rFonts w:ascii="宋体" w:hAnsi="宋体" w:eastAsia="宋体"/>
                <w:sz w:val="16"/>
              </w:rPr>
              <w:t>43.94%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2FCEE5">
            <w:pPr>
              <w:jc w:val="center"/>
            </w:pPr>
            <w:r>
              <w:rPr>
                <w:rFonts w:ascii="宋体" w:hAnsi="宋体" w:eastAsia="宋体"/>
                <w:sz w:val="16"/>
              </w:rPr>
              <w:t>4.39</w:t>
            </w:r>
          </w:p>
        </w:tc>
      </w:tr>
      <w:tr w14:paraId="3B5B88B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BE7BC4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5D5301">
            <w:pPr>
              <w:jc w:val="center"/>
            </w:pPr>
            <w:r>
              <w:rPr>
                <w:rFonts w:ascii="宋体" w:hAnsi="宋体" w:eastAsia="宋体"/>
                <w:sz w:val="16"/>
              </w:rPr>
              <w:t>其中:上级安排（万元）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52390C">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C3E700">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FF725A">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50AFC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75D153">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EB1EB3">
            <w:pPr>
              <w:jc w:val="center"/>
            </w:pPr>
            <w:r>
              <w:rPr>
                <w:rFonts w:ascii="宋体" w:hAnsi="宋体" w:eastAsia="宋体"/>
                <w:sz w:val="16"/>
              </w:rPr>
              <w:t>-</w:t>
            </w:r>
          </w:p>
        </w:tc>
      </w:tr>
      <w:tr w14:paraId="066E295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2EF410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F4F28F">
            <w:pPr>
              <w:jc w:val="center"/>
            </w:pPr>
            <w:r>
              <w:rPr>
                <w:rFonts w:ascii="宋体" w:hAnsi="宋体" w:eastAsia="宋体"/>
                <w:sz w:val="16"/>
              </w:rPr>
              <w:t>本级安排（万元）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001F6E">
            <w:pPr>
              <w:jc w:val="center"/>
            </w:pPr>
            <w:r>
              <w:rPr>
                <w:rFonts w:ascii="宋体" w:hAnsi="宋体" w:eastAsia="宋体"/>
                <w:sz w:val="16"/>
              </w:rPr>
              <w:t>540.95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A2572A">
            <w:pPr>
              <w:jc w:val="center"/>
            </w:pPr>
            <w:r>
              <w:rPr>
                <w:rFonts w:ascii="宋体" w:hAnsi="宋体" w:eastAsia="宋体"/>
                <w:sz w:val="16"/>
              </w:rPr>
              <w:t>585.79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83F79A">
            <w:pPr>
              <w:jc w:val="center"/>
            </w:pPr>
            <w:r>
              <w:rPr>
                <w:rFonts w:ascii="宋体" w:hAnsi="宋体" w:eastAsia="宋体"/>
                <w:sz w:val="16"/>
              </w:rPr>
              <w:t>585.79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B7E4E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DB81A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6F8378">
            <w:pPr>
              <w:jc w:val="center"/>
            </w:pPr>
            <w:r>
              <w:rPr>
                <w:rFonts w:ascii="宋体" w:hAnsi="宋体" w:eastAsia="宋体"/>
                <w:sz w:val="16"/>
              </w:rPr>
              <w:t>-</w:t>
            </w:r>
          </w:p>
        </w:tc>
      </w:tr>
      <w:tr w14:paraId="59BF10F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C7A353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226A10">
            <w:pPr>
              <w:jc w:val="center"/>
            </w:pPr>
            <w:r>
              <w:rPr>
                <w:rFonts w:ascii="宋体" w:hAnsi="宋体" w:eastAsia="宋体"/>
                <w:sz w:val="16"/>
              </w:rPr>
              <w:t>其他资金（万元）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67D179">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54D045">
            <w:pPr>
              <w:jc w:val="center"/>
            </w:pPr>
            <w:r>
              <w:rPr>
                <w:rFonts w:ascii="宋体" w:hAnsi="宋体" w:eastAsia="宋体"/>
                <w:sz w:val="16"/>
              </w:rPr>
              <w:t>1,175.06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0FC2E0">
            <w:pPr>
              <w:jc w:val="center"/>
            </w:pPr>
            <w:r>
              <w:rPr>
                <w:rFonts w:ascii="宋体" w:hAnsi="宋体" w:eastAsia="宋体"/>
                <w:sz w:val="16"/>
              </w:rPr>
              <w:t>187.87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20897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C1117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2FCE74">
            <w:pPr>
              <w:jc w:val="center"/>
            </w:pPr>
            <w:r>
              <w:rPr>
                <w:rFonts w:ascii="宋体" w:hAnsi="宋体" w:eastAsia="宋体"/>
                <w:sz w:val="16"/>
              </w:rPr>
              <w:t>-</w:t>
            </w:r>
          </w:p>
        </w:tc>
      </w:tr>
      <w:tr w14:paraId="0E8C0771">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F90EA0">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54E6E29">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8DEE5A3">
            <w:pPr>
              <w:jc w:val="center"/>
            </w:pPr>
            <w:r>
              <w:rPr>
                <w:rFonts w:ascii="宋体" w:hAnsi="宋体" w:eastAsia="宋体"/>
                <w:sz w:val="16"/>
              </w:rPr>
              <w:t>实际完成情况</w:t>
            </w:r>
          </w:p>
        </w:tc>
      </w:tr>
      <w:tr w14:paraId="67D42EC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D2CED3A"/>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CBE5B91">
            <w:pPr>
              <w:jc w:val="both"/>
            </w:pPr>
            <w:r>
              <w:rPr>
                <w:rFonts w:ascii="宋体" w:hAnsi="宋体" w:eastAsia="宋体"/>
                <w:sz w:val="16"/>
              </w:rPr>
              <w:t>1、宣传引导群众转变思想观念“积极走出去”；持续强化技能培训促就业的作用，针对大型工程机械驾驶员缺口，做好农机驾驶员培训，对全县有培训需求的农村富余劳动力开展采棉机驾驶员培训；对有建筑领域培训需求的农村富余劳动力开展砌筑工、钢筋工、电工、焊工等专业的培训。以技能培训助力县域经济发展，加强全年组织开展各类职业技能培训；2、深化校企合作力度，进一步提升产教融合，促进技工学校与企业合作紧密衔接，积极与园区企业进行对接，围绕所需用工开展油服、化工等“订单式”项目制培训；3、扎实做好农牧民群众就业创业工作，开展好就业跟踪服务工作；4、联合县人社局举办或组织人员参加职业技能大赛；5、根据劳务市场用工实际做好培训工作增加取证人次；6、加强干部人才队伍建设，开展教师业务水平提升工作。</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EF1A19C">
            <w:pPr>
              <w:jc w:val="both"/>
            </w:pPr>
            <w:r>
              <w:rPr>
                <w:rFonts w:ascii="宋体" w:hAnsi="宋体" w:eastAsia="宋体"/>
                <w:sz w:val="16"/>
              </w:rPr>
              <w:t>为了落实县上职业技能培训促进农牧民群众就业工作要求，2024年完成：</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1.以技能培训助力县域经济发展，加强全年组织开展各类职业技能培训，我校已完成农机驾驶员，中式烹饪，家政服务，电工，砌筑工等职业技能培训工作，培训</w:t>
            </w:r>
            <w:r>
              <w:rPr>
                <w:rFonts w:hint="eastAsia" w:ascii="宋体" w:hAnsi="宋体"/>
                <w:sz w:val="16"/>
                <w:lang w:eastAsia="zh-CN"/>
              </w:rPr>
              <w:t>人次</w:t>
            </w:r>
            <w:r>
              <w:rPr>
                <w:rFonts w:ascii="宋体" w:hAnsi="宋体" w:eastAsia="宋体"/>
                <w:sz w:val="16"/>
              </w:rPr>
              <w:t>达到7000人次的目标，产生了职业技能培训促进就业，</w:t>
            </w:r>
            <w:r>
              <w:rPr>
                <w:rFonts w:hint="eastAsia" w:ascii="宋体" w:hAnsi="宋体"/>
                <w:sz w:val="16"/>
                <w:lang w:eastAsia="zh-CN"/>
              </w:rPr>
              <w:t>助力</w:t>
            </w:r>
            <w:r>
              <w:rPr>
                <w:rFonts w:ascii="宋体" w:hAnsi="宋体" w:eastAsia="宋体"/>
                <w:sz w:val="16"/>
              </w:rPr>
              <w:t>增收效益；</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已完成深化校企合作力度，进一步提升产教融合，促进技工学校与企业合作紧密衔接，积极与园区企业进行对接，围绕所需用工开展油服、化工等“订单式”项目制培训，达到项目制培训1次的目标，产生了明显的社会效益；</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3.为扎实做好农牧民群众就业创业工作，开展好就业跟踪服务工作，已完成就业跟踪服务7000人次，达到打造良好的就业环境的目标，产生了自觉主动外出就业的效益；</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4.已完成联合县妇联举办职业技能大赛1次，达到培训群众展示自己技能的平台，产生了社会效益；</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5.已完成培训群众取得职业技能等级人数730人次，达到730人次取得职业技能证书的目标，产生了农牧民的就业技能和综合素质得到提高的效益：</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6.已完成提升我校师资的教学能力，组织我校教师参加自治区人社厅和自治州举办的技工学校骨干教师培训共10人，达到加强干部人才队伍建设的目标，产生了教师</w:t>
            </w:r>
            <w:r>
              <w:rPr>
                <w:rFonts w:hint="eastAsia" w:ascii="宋体" w:hAnsi="宋体"/>
                <w:sz w:val="16"/>
                <w:lang w:eastAsia="zh-CN"/>
              </w:rPr>
              <w:t>业务水平</w:t>
            </w:r>
            <w:r>
              <w:rPr>
                <w:rFonts w:ascii="宋体" w:hAnsi="宋体" w:eastAsia="宋体"/>
                <w:sz w:val="16"/>
              </w:rPr>
              <w:t>提升的效益。</w:t>
            </w:r>
          </w:p>
        </w:tc>
      </w:tr>
      <w:tr w14:paraId="28FAF591">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5701F3">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997D03">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68A007">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6209DA">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42266C">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14224E">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7D0DFB">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5DF332">
            <w:pPr>
              <w:jc w:val="center"/>
            </w:pPr>
            <w:r>
              <w:rPr>
                <w:rFonts w:ascii="宋体" w:hAnsi="宋体" w:eastAsia="宋体"/>
                <w:sz w:val="16"/>
              </w:rPr>
              <w:t>得分</w:t>
            </w:r>
          </w:p>
        </w:tc>
      </w:tr>
      <w:tr w14:paraId="2E039283">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A62D13">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F0DD0B">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CEB77D">
            <w:pPr>
              <w:jc w:val="center"/>
            </w:pPr>
            <w:r>
              <w:rPr>
                <w:rFonts w:ascii="宋体" w:hAnsi="宋体" w:eastAsia="宋体"/>
                <w:sz w:val="16"/>
              </w:rPr>
              <w:t>组织开展各类职业技能培训人次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95844E">
            <w:pPr>
              <w:jc w:val="center"/>
            </w:pPr>
            <w:r>
              <w:rPr>
                <w:rFonts w:ascii="宋体" w:hAnsi="宋体" w:eastAsia="宋体"/>
                <w:sz w:val="16"/>
              </w:rPr>
              <w:t>&gt;=7000人次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228799">
            <w:pPr>
              <w:jc w:val="center"/>
            </w:pPr>
            <w:r>
              <w:rPr>
                <w:rFonts w:ascii="宋体" w:hAnsi="宋体" w:eastAsia="宋体"/>
                <w:sz w:val="16"/>
              </w:rPr>
              <w:t>轮台县技工学校2024年度工作计划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90CCC6">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30592E">
            <w:pPr>
              <w:jc w:val="center"/>
            </w:pPr>
            <w:r>
              <w:rPr>
                <w:rFonts w:ascii="宋体" w:hAnsi="宋体" w:eastAsia="宋体"/>
                <w:sz w:val="16"/>
              </w:rPr>
              <w:t>7000人次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28613E">
            <w:pPr>
              <w:jc w:val="center"/>
            </w:pPr>
            <w:r>
              <w:rPr>
                <w:rFonts w:ascii="宋体" w:hAnsi="宋体" w:eastAsia="宋体"/>
                <w:sz w:val="16"/>
              </w:rPr>
              <w:t>15</w:t>
            </w:r>
          </w:p>
        </w:tc>
      </w:tr>
      <w:tr w14:paraId="3838CB3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7E3551A"/>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8CCEA2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FCCD9F">
            <w:pPr>
              <w:jc w:val="center"/>
            </w:pPr>
            <w:r>
              <w:rPr>
                <w:rFonts w:ascii="宋体" w:hAnsi="宋体" w:eastAsia="宋体"/>
                <w:sz w:val="16"/>
              </w:rPr>
              <w:t>组织项目制培训次数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0503DD">
            <w:pPr>
              <w:jc w:val="center"/>
            </w:pPr>
            <w:r>
              <w:rPr>
                <w:rFonts w:ascii="宋体" w:hAnsi="宋体" w:eastAsia="宋体"/>
                <w:sz w:val="16"/>
              </w:rPr>
              <w:t>=1次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1EB955">
            <w:pPr>
              <w:jc w:val="center"/>
            </w:pPr>
            <w:r>
              <w:rPr>
                <w:rFonts w:ascii="宋体" w:hAnsi="宋体" w:eastAsia="宋体"/>
                <w:sz w:val="16"/>
              </w:rPr>
              <w:t>轮台县技工学校2024年度工作计划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ABCBD7">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8866D6">
            <w:pPr>
              <w:jc w:val="center"/>
            </w:pPr>
            <w:r>
              <w:rPr>
                <w:rFonts w:ascii="宋体" w:hAnsi="宋体" w:eastAsia="宋体"/>
                <w:sz w:val="16"/>
              </w:rPr>
              <w:t>1次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A9C75E">
            <w:pPr>
              <w:jc w:val="center"/>
            </w:pPr>
            <w:r>
              <w:rPr>
                <w:rFonts w:ascii="宋体" w:hAnsi="宋体" w:eastAsia="宋体"/>
                <w:sz w:val="16"/>
              </w:rPr>
              <w:t>15</w:t>
            </w:r>
          </w:p>
        </w:tc>
      </w:tr>
      <w:tr w14:paraId="6C2A8F0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94A2FA6"/>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35C1AA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8F797F">
            <w:pPr>
              <w:jc w:val="center"/>
            </w:pPr>
            <w:r>
              <w:rPr>
                <w:rFonts w:ascii="宋体" w:hAnsi="宋体" w:eastAsia="宋体"/>
                <w:sz w:val="16"/>
              </w:rPr>
              <w:t>开展就业跟踪服务人次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166A8A">
            <w:pPr>
              <w:jc w:val="center"/>
            </w:pPr>
            <w:r>
              <w:rPr>
                <w:rFonts w:ascii="宋体" w:hAnsi="宋体" w:eastAsia="宋体"/>
                <w:sz w:val="16"/>
              </w:rPr>
              <w:t>&gt;=7000人次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E228C0">
            <w:pPr>
              <w:jc w:val="center"/>
            </w:pPr>
            <w:r>
              <w:rPr>
                <w:rFonts w:ascii="宋体" w:hAnsi="宋体" w:eastAsia="宋体"/>
                <w:sz w:val="16"/>
              </w:rPr>
              <w:t>轮台县技工学校2024年度工作计划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2AB575">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F7484B">
            <w:pPr>
              <w:jc w:val="center"/>
            </w:pPr>
            <w:r>
              <w:rPr>
                <w:rFonts w:ascii="宋体" w:hAnsi="宋体" w:eastAsia="宋体"/>
                <w:sz w:val="16"/>
              </w:rPr>
              <w:t>7000人次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BA2A6C">
            <w:pPr>
              <w:jc w:val="center"/>
            </w:pPr>
            <w:r>
              <w:rPr>
                <w:rFonts w:ascii="宋体" w:hAnsi="宋体" w:eastAsia="宋体"/>
                <w:sz w:val="16"/>
              </w:rPr>
              <w:t>15</w:t>
            </w:r>
          </w:p>
        </w:tc>
      </w:tr>
      <w:tr w14:paraId="616F32A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31B7404"/>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FB6EF7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0F664A">
            <w:pPr>
              <w:jc w:val="center"/>
            </w:pPr>
            <w:r>
              <w:rPr>
                <w:rFonts w:ascii="宋体" w:hAnsi="宋体" w:eastAsia="宋体"/>
                <w:sz w:val="16"/>
              </w:rPr>
              <w:t>举办职业技能大赛次数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EAF792">
            <w:pPr>
              <w:jc w:val="center"/>
            </w:pPr>
            <w:r>
              <w:rPr>
                <w:rFonts w:ascii="宋体" w:hAnsi="宋体" w:eastAsia="宋体"/>
                <w:sz w:val="16"/>
              </w:rPr>
              <w:t>=1次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473625">
            <w:pPr>
              <w:jc w:val="center"/>
            </w:pPr>
            <w:r>
              <w:rPr>
                <w:rFonts w:ascii="宋体" w:hAnsi="宋体" w:eastAsia="宋体"/>
                <w:sz w:val="16"/>
              </w:rPr>
              <w:t>轮台县技工学校2024年度工作计划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2E8062">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F899DE">
            <w:pPr>
              <w:jc w:val="center"/>
            </w:pPr>
            <w:r>
              <w:rPr>
                <w:rFonts w:ascii="宋体" w:hAnsi="宋体" w:eastAsia="宋体"/>
                <w:sz w:val="16"/>
              </w:rPr>
              <w:t>1次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0AE382">
            <w:pPr>
              <w:jc w:val="center"/>
            </w:pPr>
            <w:r>
              <w:rPr>
                <w:rFonts w:ascii="宋体" w:hAnsi="宋体" w:eastAsia="宋体"/>
                <w:sz w:val="16"/>
              </w:rPr>
              <w:t>15</w:t>
            </w:r>
          </w:p>
        </w:tc>
      </w:tr>
      <w:tr w14:paraId="02D5DA1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859C69A"/>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01F925">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0E2626">
            <w:pPr>
              <w:jc w:val="center"/>
            </w:pPr>
            <w:r>
              <w:rPr>
                <w:rFonts w:ascii="宋体" w:hAnsi="宋体" w:eastAsia="宋体"/>
                <w:sz w:val="16"/>
              </w:rPr>
              <w:t>培训群众取得职业技能等级证书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F31860">
            <w:pPr>
              <w:jc w:val="center"/>
            </w:pPr>
            <w:r>
              <w:rPr>
                <w:rFonts w:ascii="宋体" w:hAnsi="宋体" w:eastAsia="宋体"/>
                <w:sz w:val="16"/>
              </w:rPr>
              <w:t>&gt;=730人次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7545B7">
            <w:pPr>
              <w:jc w:val="center"/>
            </w:pPr>
            <w:r>
              <w:rPr>
                <w:rFonts w:ascii="宋体" w:hAnsi="宋体" w:eastAsia="宋体"/>
                <w:sz w:val="16"/>
              </w:rPr>
              <w:t>轮台县技工学校2024年度工作计划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DCB2E0">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CC324C">
            <w:pPr>
              <w:jc w:val="center"/>
            </w:pPr>
            <w:r>
              <w:rPr>
                <w:rFonts w:ascii="宋体" w:hAnsi="宋体" w:eastAsia="宋体"/>
                <w:sz w:val="16"/>
              </w:rPr>
              <w:t>730人次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F68362">
            <w:pPr>
              <w:jc w:val="center"/>
            </w:pPr>
            <w:r>
              <w:rPr>
                <w:rFonts w:ascii="宋体" w:hAnsi="宋体" w:eastAsia="宋体"/>
                <w:sz w:val="16"/>
              </w:rPr>
              <w:t>15</w:t>
            </w:r>
          </w:p>
        </w:tc>
      </w:tr>
      <w:tr w14:paraId="076D0D2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1043663"/>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78BE37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FE71BD">
            <w:pPr>
              <w:jc w:val="center"/>
            </w:pPr>
            <w:r>
              <w:rPr>
                <w:rFonts w:ascii="宋体" w:hAnsi="宋体" w:eastAsia="宋体"/>
                <w:sz w:val="16"/>
              </w:rPr>
              <w:t>师资培训人次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61304A">
            <w:pPr>
              <w:jc w:val="center"/>
            </w:pPr>
            <w:r>
              <w:rPr>
                <w:rFonts w:ascii="宋体" w:hAnsi="宋体" w:eastAsia="宋体"/>
                <w:sz w:val="16"/>
              </w:rPr>
              <w:t>&gt;=10人次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DFD7A0">
            <w:pPr>
              <w:jc w:val="center"/>
            </w:pPr>
            <w:r>
              <w:rPr>
                <w:rFonts w:ascii="宋体" w:hAnsi="宋体" w:eastAsia="宋体"/>
                <w:sz w:val="16"/>
              </w:rPr>
              <w:t>轮台县技工学校2024年度工作计划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3D1EAF">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14E547">
            <w:pPr>
              <w:jc w:val="center"/>
            </w:pPr>
            <w:r>
              <w:rPr>
                <w:rFonts w:ascii="宋体" w:hAnsi="宋体" w:eastAsia="宋体"/>
                <w:sz w:val="16"/>
              </w:rPr>
              <w:t>10人次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C380CE">
            <w:pPr>
              <w:jc w:val="center"/>
            </w:pPr>
            <w:r>
              <w:rPr>
                <w:rFonts w:ascii="宋体" w:hAnsi="宋体" w:eastAsia="宋体"/>
                <w:sz w:val="16"/>
              </w:rPr>
              <w:t>15</w:t>
            </w:r>
          </w:p>
        </w:tc>
      </w:tr>
    </w:tbl>
    <w:p w14:paraId="1E2C36BB">
      <w:r>
        <w:br w:type="page"/>
      </w:r>
    </w:p>
    <w:tbl>
      <w:tblPr>
        <w:tblStyle w:val="9"/>
        <w:tblW w:w="0" w:type="auto"/>
        <w:tblInd w:w="0" w:type="dxa"/>
        <w:tblLayout w:type="autofit"/>
        <w:tblCellMar>
          <w:top w:w="0" w:type="dxa"/>
          <w:left w:w="108" w:type="dxa"/>
          <w:bottom w:w="0" w:type="dxa"/>
          <w:right w:w="108" w:type="dxa"/>
        </w:tblCellMar>
      </w:tblPr>
      <w:tblGrid>
        <w:gridCol w:w="622"/>
        <w:gridCol w:w="606"/>
        <w:gridCol w:w="606"/>
        <w:gridCol w:w="606"/>
        <w:gridCol w:w="856"/>
        <w:gridCol w:w="606"/>
        <w:gridCol w:w="606"/>
        <w:gridCol w:w="614"/>
        <w:gridCol w:w="606"/>
        <w:gridCol w:w="606"/>
        <w:gridCol w:w="776"/>
        <w:gridCol w:w="696"/>
        <w:gridCol w:w="631"/>
        <w:gridCol w:w="623"/>
      </w:tblGrid>
      <w:tr w14:paraId="4859532B">
        <w:tblPrEx>
          <w:tblCellMar>
            <w:top w:w="0" w:type="dxa"/>
            <w:left w:w="108" w:type="dxa"/>
            <w:bottom w:w="0" w:type="dxa"/>
            <w:right w:w="108" w:type="dxa"/>
          </w:tblCellMar>
        </w:tblPrEx>
        <w:tc>
          <w:tcPr>
            <w:tcW w:w="8848" w:type="dxa"/>
            <w:gridSpan w:val="14"/>
            <w:vAlign w:val="center"/>
          </w:tcPr>
          <w:p w14:paraId="08BBA44B">
            <w:pPr>
              <w:jc w:val="center"/>
            </w:pPr>
            <w:r>
              <w:rPr>
                <w:rFonts w:ascii="宋体" w:hAnsi="宋体" w:eastAsia="宋体"/>
                <w:sz w:val="24"/>
              </w:rPr>
              <w:t>项目支出绩效自评表</w:t>
            </w:r>
          </w:p>
        </w:tc>
      </w:tr>
      <w:tr w14:paraId="53DD0A0E">
        <w:tblPrEx>
          <w:tblCellMar>
            <w:top w:w="0" w:type="dxa"/>
            <w:left w:w="108" w:type="dxa"/>
            <w:bottom w:w="0" w:type="dxa"/>
            <w:right w:w="108" w:type="dxa"/>
          </w:tblCellMar>
        </w:tblPrEx>
        <w:tc>
          <w:tcPr>
            <w:tcW w:w="8848" w:type="dxa"/>
            <w:gridSpan w:val="14"/>
            <w:vAlign w:val="center"/>
          </w:tcPr>
          <w:p w14:paraId="389E77B6">
            <w:pPr>
              <w:jc w:val="center"/>
            </w:pPr>
            <w:r>
              <w:rPr>
                <w:rFonts w:ascii="宋体" w:hAnsi="宋体" w:eastAsia="宋体"/>
                <w:sz w:val="24"/>
              </w:rPr>
              <w:t>(2024年度)</w:t>
            </w:r>
          </w:p>
        </w:tc>
      </w:tr>
      <w:tr w14:paraId="3485BEB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1534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80E17CE">
            <w:pPr>
              <w:jc w:val="center"/>
            </w:pPr>
            <w:r>
              <w:rPr>
                <w:rFonts w:ascii="宋体" w:hAnsi="宋体" w:eastAsia="宋体"/>
                <w:sz w:val="16"/>
              </w:rPr>
              <w:t>技工学校：轮台县2018-ZJ工程建设项目房屋测绘费</w:t>
            </w:r>
          </w:p>
        </w:tc>
      </w:tr>
      <w:tr w14:paraId="1105A34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DB67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BFFD387">
            <w:pPr>
              <w:jc w:val="center"/>
            </w:pPr>
            <w:r>
              <w:rPr>
                <w:rFonts w:ascii="宋体" w:hAnsi="宋体" w:eastAsia="宋体"/>
                <w:sz w:val="16"/>
              </w:rPr>
              <w:t>轮台县技工学校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88B4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2169CC2">
            <w:pPr>
              <w:jc w:val="center"/>
            </w:pPr>
            <w:r>
              <w:rPr>
                <w:rFonts w:ascii="宋体" w:hAnsi="宋体" w:eastAsia="宋体"/>
                <w:sz w:val="16"/>
              </w:rPr>
              <w:t>轮台县技工学校</w:t>
            </w:r>
          </w:p>
        </w:tc>
      </w:tr>
      <w:tr w14:paraId="138D4B6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6AA6E9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48B0A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4CA89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0535B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131D4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E02F5C">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A1480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9D424">
            <w:pPr>
              <w:jc w:val="center"/>
            </w:pPr>
            <w:r>
              <w:rPr>
                <w:rFonts w:ascii="宋体" w:hAnsi="宋体" w:eastAsia="宋体"/>
                <w:sz w:val="16"/>
              </w:rPr>
              <w:t>得分</w:t>
            </w:r>
          </w:p>
        </w:tc>
      </w:tr>
      <w:tr w14:paraId="1076148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6E1A4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1A012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FEBA13">
            <w:pPr>
              <w:jc w:val="center"/>
            </w:pPr>
            <w:r>
              <w:rPr>
                <w:rFonts w:ascii="宋体" w:hAnsi="宋体" w:eastAsia="宋体"/>
                <w:sz w:val="16"/>
              </w:rPr>
              <w:t>9.80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4A335B">
            <w:pPr>
              <w:jc w:val="center"/>
            </w:pPr>
            <w:r>
              <w:rPr>
                <w:rFonts w:ascii="宋体" w:hAnsi="宋体" w:eastAsia="宋体"/>
                <w:sz w:val="16"/>
              </w:rPr>
              <w:t>9.80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7DD4DE">
            <w:pPr>
              <w:jc w:val="center"/>
            </w:pPr>
            <w:r>
              <w:rPr>
                <w:rFonts w:ascii="宋体" w:hAnsi="宋体" w:eastAsia="宋体"/>
                <w:sz w:val="16"/>
              </w:rPr>
              <w:t>9.79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24B39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560AC8">
            <w:pPr>
              <w:jc w:val="center"/>
            </w:pPr>
            <w:r>
              <w:rPr>
                <w:rFonts w:ascii="宋体" w:hAnsi="宋体" w:eastAsia="宋体"/>
                <w:sz w:val="16"/>
              </w:rPr>
              <w:t>99.90%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DE0A2">
            <w:pPr>
              <w:jc w:val="center"/>
            </w:pPr>
            <w:r>
              <w:rPr>
                <w:rFonts w:ascii="宋体" w:hAnsi="宋体" w:eastAsia="宋体"/>
                <w:sz w:val="16"/>
              </w:rPr>
              <w:t>9.98</w:t>
            </w:r>
          </w:p>
        </w:tc>
      </w:tr>
      <w:tr w14:paraId="3FA8A8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7F72F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04D91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1F00B3">
            <w:pPr>
              <w:jc w:val="center"/>
            </w:pPr>
            <w:r>
              <w:rPr>
                <w:rFonts w:ascii="宋体" w:hAnsi="宋体" w:eastAsia="宋体"/>
                <w:sz w:val="16"/>
              </w:rPr>
              <w:t>9.80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C9753A">
            <w:pPr>
              <w:jc w:val="center"/>
            </w:pPr>
            <w:r>
              <w:rPr>
                <w:rFonts w:ascii="宋体" w:hAnsi="宋体" w:eastAsia="宋体"/>
                <w:sz w:val="16"/>
              </w:rPr>
              <w:t>9.80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1DF1D5">
            <w:pPr>
              <w:jc w:val="center"/>
            </w:pPr>
            <w:r>
              <w:rPr>
                <w:rFonts w:ascii="宋体" w:hAnsi="宋体" w:eastAsia="宋体"/>
                <w:sz w:val="16"/>
              </w:rPr>
              <w:t>9.79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DE2CF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7A788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1EB2A">
            <w:pPr>
              <w:jc w:val="center"/>
            </w:pPr>
            <w:r>
              <w:rPr>
                <w:rFonts w:ascii="宋体" w:hAnsi="宋体" w:eastAsia="宋体"/>
                <w:sz w:val="16"/>
              </w:rPr>
              <w:t>-</w:t>
            </w:r>
          </w:p>
        </w:tc>
      </w:tr>
      <w:tr w14:paraId="0621A4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A134B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A3E2F9">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24813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2D4E6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139C7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7762C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79D16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B20F9">
            <w:pPr>
              <w:jc w:val="center"/>
            </w:pPr>
            <w:r>
              <w:rPr>
                <w:rFonts w:ascii="宋体" w:hAnsi="宋体" w:eastAsia="宋体"/>
                <w:sz w:val="16"/>
              </w:rPr>
              <w:t>-</w:t>
            </w:r>
          </w:p>
        </w:tc>
      </w:tr>
      <w:tr w14:paraId="649675C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42F95A">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68C956B">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564B837">
            <w:pPr>
              <w:jc w:val="center"/>
            </w:pPr>
            <w:r>
              <w:rPr>
                <w:rFonts w:ascii="宋体" w:hAnsi="宋体" w:eastAsia="宋体"/>
                <w:sz w:val="16"/>
              </w:rPr>
              <w:t>总体目标完成情况</w:t>
            </w:r>
          </w:p>
        </w:tc>
      </w:tr>
      <w:tr w14:paraId="431C74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B4085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A981C15">
            <w:pPr>
              <w:jc w:val="both"/>
            </w:pPr>
            <w:r>
              <w:rPr>
                <w:rFonts w:ascii="宋体" w:hAnsi="宋体" w:eastAsia="宋体"/>
                <w:sz w:val="16"/>
              </w:rPr>
              <w:t>根据县委工作部署，完善轮台县技工学校相关产权证明，推动国有资产管理使用的规范化合理化，为办理轮台县技工学校不动产权证：</w:t>
            </w:r>
            <w:r>
              <w:rPr>
                <w:rFonts w:ascii="宋体" w:hAnsi="宋体" w:eastAsia="宋体"/>
                <w:sz w:val="16"/>
              </w:rPr>
              <w:br w:type="textWrapping"/>
            </w:r>
            <w:r>
              <w:rPr>
                <w:rFonts w:ascii="宋体" w:hAnsi="宋体" w:eastAsia="宋体"/>
                <w:sz w:val="16"/>
              </w:rPr>
              <w:t>目标1：计划聘请专业测绘公司对轮台县技工学校所属的《轮台县2018-ZJ工程》建设项目所涉及的20栋房产面积成果进行专业测绘，有效利用测绘成果，为技工学校房屋产权办理提供支撑基础。</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4E973A6">
            <w:pPr>
              <w:jc w:val="both"/>
            </w:pPr>
            <w:r>
              <w:rPr>
                <w:rFonts w:hint="eastAsia" w:ascii="宋体" w:hAnsi="宋体"/>
                <w:sz w:val="16"/>
                <w:lang w:eastAsia="zh-CN"/>
              </w:rPr>
              <w:t>本单位</w:t>
            </w:r>
            <w:r>
              <w:rPr>
                <w:rFonts w:ascii="宋体" w:hAnsi="宋体" w:eastAsia="宋体"/>
                <w:sz w:val="16"/>
              </w:rPr>
              <w:t>本年度严格执行县委工作部署，推动了国有资产管理使用的规范化合理化，已完成聘请专业测绘公司对轮台县技工学校所属的《轮台县2018-ZJ工程》建设项目所涉及的20栋144000平方米的房产面积进行专业测绘，有效利用了测绘成果，完善了轮台县技工学校相关产权证明</w:t>
            </w:r>
            <w:bookmarkStart w:id="0" w:name="_GoBack"/>
            <w:r>
              <w:rPr>
                <w:rFonts w:hint="eastAsia" w:ascii="宋体" w:hAnsi="宋体"/>
                <w:sz w:val="16"/>
                <w:lang w:eastAsia="zh-CN"/>
              </w:rPr>
              <w:t>，</w:t>
            </w:r>
            <w:bookmarkEnd w:id="0"/>
            <w:r>
              <w:rPr>
                <w:rFonts w:ascii="宋体" w:hAnsi="宋体" w:eastAsia="宋体"/>
                <w:sz w:val="16"/>
              </w:rPr>
              <w:t>为技工学校房屋产权办理提供了支撑基础。</w:t>
            </w:r>
          </w:p>
        </w:tc>
      </w:tr>
      <w:tr w14:paraId="250B2E4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7E4A8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6C79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222D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8A06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959AA">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4F02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93488">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5A81D">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BB849">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3729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7FAFF">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0A315">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49F8C">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089E3">
            <w:pPr>
              <w:jc w:val="center"/>
            </w:pPr>
            <w:r>
              <w:rPr>
                <w:rFonts w:ascii="宋体" w:hAnsi="宋体" w:eastAsia="宋体"/>
                <w:sz w:val="16"/>
              </w:rPr>
              <w:t>偏差原因分析及改进措施</w:t>
            </w:r>
          </w:p>
        </w:tc>
      </w:tr>
      <w:tr w14:paraId="56371D0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22B77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C8153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236CB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23917">
            <w:pPr>
              <w:jc w:val="center"/>
            </w:pPr>
            <w:r>
              <w:rPr>
                <w:rFonts w:ascii="宋体" w:hAnsi="宋体" w:eastAsia="宋体"/>
                <w:sz w:val="16"/>
              </w:rPr>
              <w:t>测绘房屋数量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52104">
            <w:pPr>
              <w:jc w:val="center"/>
            </w:pPr>
            <w:r>
              <w:rPr>
                <w:rFonts w:ascii="宋体" w:hAnsi="宋体" w:eastAsia="宋体"/>
                <w:sz w:val="16"/>
              </w:rPr>
              <w:t>&gt;=20栋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AA05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299D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7362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323E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20AB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95E49">
            <w:pPr>
              <w:jc w:val="center"/>
            </w:pPr>
            <w:r>
              <w:rPr>
                <w:rFonts w:ascii="宋体" w:hAnsi="宋体" w:eastAsia="宋体"/>
                <w:sz w:val="16"/>
              </w:rPr>
              <w:t>=20栋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0983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637C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69907">
            <w:pPr>
              <w:jc w:val="center"/>
            </w:pPr>
          </w:p>
        </w:tc>
      </w:tr>
      <w:tr w14:paraId="683DF3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4126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FA512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047D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2F271">
            <w:pPr>
              <w:jc w:val="center"/>
            </w:pPr>
            <w:r>
              <w:rPr>
                <w:rFonts w:ascii="宋体" w:hAnsi="宋体" w:eastAsia="宋体"/>
                <w:sz w:val="16"/>
              </w:rPr>
              <w:t>测绘房屋面积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A9110">
            <w:pPr>
              <w:jc w:val="center"/>
            </w:pPr>
            <w:r>
              <w:rPr>
                <w:rFonts w:ascii="宋体" w:hAnsi="宋体" w:eastAsia="宋体"/>
                <w:sz w:val="16"/>
              </w:rPr>
              <w:t>&gt;=144000平方米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588E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193B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9B7A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2DB8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D4AF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45AA8">
            <w:pPr>
              <w:jc w:val="center"/>
            </w:pPr>
            <w:r>
              <w:rPr>
                <w:rFonts w:ascii="宋体" w:hAnsi="宋体" w:eastAsia="宋体"/>
                <w:sz w:val="16"/>
              </w:rPr>
              <w:t>=144000平方米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05C4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83F8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43C1D">
            <w:pPr>
              <w:jc w:val="center"/>
            </w:pPr>
          </w:p>
        </w:tc>
      </w:tr>
      <w:tr w14:paraId="0C02C9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AC8CB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64B3E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714F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B0AB1">
            <w:pPr>
              <w:jc w:val="center"/>
            </w:pPr>
            <w:r>
              <w:rPr>
                <w:rFonts w:ascii="宋体" w:hAnsi="宋体" w:eastAsia="宋体"/>
                <w:sz w:val="16"/>
              </w:rPr>
              <w:t>测绘成果准确率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132F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5D33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4E85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04ED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3FD6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2D99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C64D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61BF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DBF9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1CFF6">
            <w:pPr>
              <w:jc w:val="center"/>
            </w:pPr>
          </w:p>
        </w:tc>
      </w:tr>
      <w:tr w14:paraId="1C3FF3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E660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3225C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93387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A04CA">
            <w:pPr>
              <w:jc w:val="center"/>
            </w:pPr>
            <w:r>
              <w:rPr>
                <w:rFonts w:ascii="宋体" w:hAnsi="宋体" w:eastAsia="宋体"/>
                <w:sz w:val="16"/>
              </w:rPr>
              <w:t>测绘完成用时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86FE6">
            <w:pPr>
              <w:jc w:val="center"/>
            </w:pPr>
            <w:r>
              <w:rPr>
                <w:rFonts w:ascii="宋体" w:hAnsi="宋体" w:eastAsia="宋体"/>
                <w:sz w:val="16"/>
              </w:rPr>
              <w:t>&lt;=15天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A050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AAAD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1E25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53DB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1360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D80F8">
            <w:pPr>
              <w:jc w:val="center"/>
            </w:pPr>
            <w:r>
              <w:rPr>
                <w:rFonts w:ascii="宋体" w:hAnsi="宋体" w:eastAsia="宋体"/>
                <w:sz w:val="16"/>
              </w:rPr>
              <w:t>=15天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B798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4654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0C6AF">
            <w:pPr>
              <w:jc w:val="center"/>
            </w:pPr>
          </w:p>
        </w:tc>
      </w:tr>
      <w:tr w14:paraId="56EB31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A475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6272B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D4F8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2900A">
            <w:pPr>
              <w:jc w:val="center"/>
            </w:pPr>
            <w:r>
              <w:rPr>
                <w:rFonts w:ascii="宋体" w:hAnsi="宋体" w:eastAsia="宋体"/>
                <w:sz w:val="16"/>
              </w:rPr>
              <w:t>测绘完成及时率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156C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E9B4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C6CF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B20D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D684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AAC1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A5A2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C23E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44F7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B1AFD">
            <w:pPr>
              <w:jc w:val="center"/>
            </w:pPr>
          </w:p>
        </w:tc>
      </w:tr>
      <w:tr w14:paraId="07C5CE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86F1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0282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51D6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575D8">
            <w:pPr>
              <w:jc w:val="center"/>
            </w:pPr>
            <w:r>
              <w:rPr>
                <w:rFonts w:ascii="宋体" w:hAnsi="宋体" w:eastAsia="宋体"/>
                <w:sz w:val="16"/>
              </w:rPr>
              <w:t>每平方米测绘费用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31115">
            <w:pPr>
              <w:jc w:val="center"/>
            </w:pPr>
            <w:r>
              <w:rPr>
                <w:rFonts w:ascii="宋体" w:hAnsi="宋体" w:eastAsia="宋体"/>
                <w:sz w:val="16"/>
              </w:rPr>
              <w:t>&lt;=0.69元/平方米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A459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465C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8FA8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6A52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BB74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D4EC6">
            <w:pPr>
              <w:jc w:val="center"/>
            </w:pPr>
            <w:r>
              <w:rPr>
                <w:rFonts w:ascii="宋体" w:hAnsi="宋体" w:eastAsia="宋体"/>
                <w:sz w:val="16"/>
              </w:rPr>
              <w:t>=0.68元/平方米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65E4A">
            <w:pPr>
              <w:jc w:val="center"/>
            </w:pPr>
            <w:r>
              <w:rPr>
                <w:rFonts w:ascii="宋体" w:hAnsi="宋体" w:eastAsia="宋体"/>
                <w:sz w:val="16"/>
              </w:rPr>
              <w:t>98.55%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C61BB">
            <w:pPr>
              <w:jc w:val="center"/>
            </w:pPr>
            <w:r>
              <w:rPr>
                <w:rFonts w:ascii="宋体" w:hAnsi="宋体" w:eastAsia="宋体"/>
                <w:sz w:val="16"/>
              </w:rPr>
              <w:t>19.27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3B431">
            <w:pPr>
              <w:jc w:val="center"/>
            </w:pPr>
            <w:r>
              <w:rPr>
                <w:rFonts w:ascii="宋体" w:hAnsi="宋体" w:eastAsia="宋体"/>
                <w:sz w:val="16"/>
              </w:rPr>
              <w:t>在项目实施过程中跟被委托方协商节约成本，确定每平方0.68元的价格进行测绘，导致出现偏差</w:t>
            </w:r>
          </w:p>
        </w:tc>
      </w:tr>
      <w:tr w14:paraId="4312A0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BBC9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5C31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082B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F7DED">
            <w:pPr>
              <w:jc w:val="center"/>
            </w:pPr>
            <w:r>
              <w:rPr>
                <w:rFonts w:ascii="宋体" w:hAnsi="宋体" w:eastAsia="宋体"/>
                <w:sz w:val="16"/>
              </w:rPr>
              <w:t>测绘成果有效利用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81781">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D2FE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706A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253CF">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4A25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E7ACE">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8D804">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02B2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91D82">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E5BBF">
            <w:pPr>
              <w:jc w:val="center"/>
            </w:pPr>
          </w:p>
        </w:tc>
      </w:tr>
      <w:tr w14:paraId="05376A70">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9EEB9C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41F72D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F172AF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8884F8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6C03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4FEBC2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5519CC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896B70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E7ACE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E3C00">
            <w:pPr>
              <w:jc w:val="center"/>
            </w:pPr>
            <w:r>
              <w:rPr>
                <w:rFonts w:ascii="宋体" w:hAnsi="宋体" w:eastAsia="宋体"/>
                <w:sz w:val="16"/>
              </w:rPr>
              <w:t>99.25分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FBED200"/>
        </w:tc>
      </w:tr>
    </w:tbl>
    <w:p w14:paraId="279E5A10">
      <w:r>
        <w:br w:type="page"/>
      </w:r>
    </w:p>
    <w:p w14:paraId="7638858E">
      <w:pPr>
        <w:spacing w:line="640" w:lineRule="exact"/>
        <w:ind w:firstLine="640"/>
        <w:jc w:val="both"/>
        <w:outlineLvl w:val="2"/>
      </w:pPr>
      <w:r>
        <w:rPr>
          <w:rFonts w:ascii="黑体" w:hAnsi="黑体" w:eastAsia="黑体"/>
          <w:sz w:val="32"/>
        </w:rPr>
        <w:t>十二、其他需说明的事项</w:t>
      </w:r>
    </w:p>
    <w:p w14:paraId="37330CA5">
      <w:pPr>
        <w:spacing w:line="580" w:lineRule="exact"/>
        <w:ind w:firstLine="640"/>
        <w:jc w:val="both"/>
      </w:pPr>
      <w:r>
        <w:rPr>
          <w:rFonts w:ascii="仿宋_GB2312" w:hAnsi="仿宋_GB2312" w:eastAsia="仿宋_GB2312"/>
          <w:b w:val="0"/>
          <w:sz w:val="32"/>
        </w:rPr>
        <w:t>本单位无其他需说明的事项。</w:t>
      </w:r>
    </w:p>
    <w:p w14:paraId="0CBEA38A">
      <w:r>
        <w:br w:type="page"/>
      </w:r>
    </w:p>
    <w:p w14:paraId="709A7DED">
      <w:pPr>
        <w:spacing w:line="240" w:lineRule="auto"/>
        <w:jc w:val="center"/>
        <w:outlineLvl w:val="1"/>
      </w:pPr>
      <w:r>
        <w:rPr>
          <w:rFonts w:ascii="黑体" w:hAnsi="黑体" w:eastAsia="黑体"/>
          <w:sz w:val="32"/>
        </w:rPr>
        <w:t>第三部分 专业名词解释</w:t>
      </w:r>
    </w:p>
    <w:p w14:paraId="01099F1E">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1FB13414">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57CD082B">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6C73DCE7">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0BDB92B">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66DE03E">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17AC95B8">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07193941">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96A721F">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1ACC5D2E">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46C9831C">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D017F8A">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1B240F8">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8A50E61">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75228C78">
      <w:r>
        <w:br w:type="page"/>
      </w:r>
    </w:p>
    <w:p w14:paraId="611FE37D">
      <w:pPr>
        <w:spacing w:line="240" w:lineRule="auto"/>
        <w:jc w:val="center"/>
        <w:outlineLvl w:val="1"/>
      </w:pPr>
      <w:r>
        <w:rPr>
          <w:rFonts w:ascii="黑体" w:hAnsi="黑体" w:eastAsia="黑体"/>
          <w:sz w:val="32"/>
        </w:rPr>
        <w:t>第四部分 部门决算报表（见附表）</w:t>
      </w:r>
    </w:p>
    <w:p w14:paraId="689011B2">
      <w:pPr>
        <w:spacing w:line="240" w:lineRule="auto"/>
        <w:ind w:firstLine="640"/>
        <w:jc w:val="both"/>
      </w:pPr>
      <w:r>
        <w:rPr>
          <w:rFonts w:ascii="仿宋_GB2312" w:hAnsi="仿宋_GB2312" w:eastAsia="仿宋_GB2312"/>
          <w:b w:val="0"/>
          <w:sz w:val="32"/>
        </w:rPr>
        <w:t>一、《收入支出决算总表》</w:t>
      </w:r>
    </w:p>
    <w:p w14:paraId="4CAFC017">
      <w:pPr>
        <w:spacing w:line="240" w:lineRule="auto"/>
        <w:ind w:firstLine="640"/>
        <w:jc w:val="both"/>
      </w:pPr>
      <w:r>
        <w:rPr>
          <w:rFonts w:ascii="仿宋_GB2312" w:hAnsi="仿宋_GB2312" w:eastAsia="仿宋_GB2312"/>
          <w:b w:val="0"/>
          <w:sz w:val="32"/>
        </w:rPr>
        <w:t>二、《收入决算表》</w:t>
      </w:r>
    </w:p>
    <w:p w14:paraId="257ED265">
      <w:pPr>
        <w:spacing w:line="240" w:lineRule="auto"/>
        <w:ind w:firstLine="640"/>
        <w:jc w:val="both"/>
      </w:pPr>
      <w:r>
        <w:rPr>
          <w:rFonts w:ascii="仿宋_GB2312" w:hAnsi="仿宋_GB2312" w:eastAsia="仿宋_GB2312"/>
          <w:b w:val="0"/>
          <w:sz w:val="32"/>
        </w:rPr>
        <w:t>三、《支出决算表》</w:t>
      </w:r>
    </w:p>
    <w:p w14:paraId="4A9F1D39">
      <w:pPr>
        <w:spacing w:line="240" w:lineRule="auto"/>
        <w:ind w:firstLine="640"/>
        <w:jc w:val="both"/>
      </w:pPr>
      <w:r>
        <w:rPr>
          <w:rFonts w:ascii="仿宋_GB2312" w:hAnsi="仿宋_GB2312" w:eastAsia="仿宋_GB2312"/>
          <w:b w:val="0"/>
          <w:sz w:val="32"/>
        </w:rPr>
        <w:t>四、《财政拨款收入支出决算总表》</w:t>
      </w:r>
    </w:p>
    <w:p w14:paraId="6C25F038">
      <w:pPr>
        <w:spacing w:line="240" w:lineRule="auto"/>
        <w:ind w:firstLine="640"/>
        <w:jc w:val="both"/>
      </w:pPr>
      <w:r>
        <w:rPr>
          <w:rFonts w:ascii="仿宋_GB2312" w:hAnsi="仿宋_GB2312" w:eastAsia="仿宋_GB2312"/>
          <w:b w:val="0"/>
          <w:sz w:val="32"/>
        </w:rPr>
        <w:t>五、《一般公共预算财政拨款支出决算表》</w:t>
      </w:r>
    </w:p>
    <w:p w14:paraId="3BC4A163">
      <w:pPr>
        <w:spacing w:line="240" w:lineRule="auto"/>
        <w:ind w:firstLine="640"/>
        <w:jc w:val="both"/>
      </w:pPr>
      <w:r>
        <w:rPr>
          <w:rFonts w:ascii="仿宋_GB2312" w:hAnsi="仿宋_GB2312" w:eastAsia="仿宋_GB2312"/>
          <w:b w:val="0"/>
          <w:sz w:val="32"/>
        </w:rPr>
        <w:t>六、《一般公共预算财政拨款基本支出决算表》</w:t>
      </w:r>
    </w:p>
    <w:p w14:paraId="167043AD">
      <w:pPr>
        <w:spacing w:line="240" w:lineRule="auto"/>
        <w:ind w:firstLine="640"/>
        <w:jc w:val="both"/>
      </w:pPr>
      <w:r>
        <w:rPr>
          <w:rFonts w:ascii="仿宋_GB2312" w:hAnsi="仿宋_GB2312" w:eastAsia="仿宋_GB2312"/>
          <w:b w:val="0"/>
          <w:sz w:val="32"/>
        </w:rPr>
        <w:t>七、《政府性基金预算财政拨款收入支出决算表》</w:t>
      </w:r>
    </w:p>
    <w:p w14:paraId="5544FB17">
      <w:pPr>
        <w:spacing w:line="240" w:lineRule="auto"/>
        <w:ind w:firstLine="640"/>
        <w:jc w:val="both"/>
      </w:pPr>
      <w:r>
        <w:rPr>
          <w:rFonts w:ascii="仿宋_GB2312" w:hAnsi="仿宋_GB2312" w:eastAsia="仿宋_GB2312"/>
          <w:b w:val="0"/>
          <w:sz w:val="32"/>
        </w:rPr>
        <w:t>八、《国有资本经营预算财政拨款收入支出决算表》</w:t>
      </w:r>
    </w:p>
    <w:p w14:paraId="60DCC572">
      <w:pPr>
        <w:spacing w:line="240" w:lineRule="auto"/>
        <w:ind w:firstLine="640"/>
        <w:jc w:val="both"/>
      </w:pPr>
      <w:r>
        <w:rPr>
          <w:rFonts w:ascii="仿宋_GB2312" w:hAnsi="仿宋_GB2312" w:eastAsia="仿宋_GB2312"/>
          <w:b w:val="0"/>
          <w:sz w:val="32"/>
        </w:rPr>
        <w:t>九、《财政拨款“三公”经费支出决算表》</w:t>
      </w:r>
    </w:p>
    <w:p w14:paraId="5EB966F4">
      <w:pPr>
        <w:spacing w:line="240" w:lineRule="auto"/>
        <w:ind w:firstLine="640"/>
        <w:jc w:val="both"/>
      </w:pPr>
    </w:p>
    <w:p w14:paraId="5143B6CF">
      <w:pPr>
        <w:spacing w:line="240" w:lineRule="auto"/>
        <w:ind w:firstLine="640"/>
        <w:jc w:val="both"/>
      </w:pPr>
    </w:p>
    <w:p w14:paraId="605CE741">
      <w:pPr>
        <w:spacing w:line="240" w:lineRule="auto"/>
        <w:ind w:firstLine="640"/>
        <w:jc w:val="both"/>
      </w:pPr>
    </w:p>
    <w:p w14:paraId="707EEBF3">
      <w:pPr>
        <w:spacing w:line="240" w:lineRule="auto"/>
        <w:ind w:firstLine="640"/>
        <w:jc w:val="both"/>
      </w:pPr>
    </w:p>
    <w:p w14:paraId="742CFEF5">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F37113C-8A7C-4FE0-9467-366FC6AB817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03BB3EEA-1F1F-4AC3-80B8-8F8C39084B36}"/>
  </w:font>
  <w:font w:name="仿宋_GB2312">
    <w:altName w:val="仿宋"/>
    <w:panose1 w:val="02010609030101010101"/>
    <w:charset w:val="86"/>
    <w:family w:val="modern"/>
    <w:pitch w:val="default"/>
    <w:sig w:usb0="00000000" w:usb1="00000000" w:usb2="00000000" w:usb3="00000000" w:csb0="00040000" w:csb1="00000000"/>
    <w:embedRegular r:id="rId3" w:fontKey="{7AA2F01A-A6E1-4EF0-B884-E58B5EABA23F}"/>
  </w:font>
  <w:font w:name="楷体_GB2312">
    <w:altName w:val="楷体"/>
    <w:panose1 w:val="00000000000000000000"/>
    <w:charset w:val="00"/>
    <w:family w:val="auto"/>
    <w:pitch w:val="default"/>
    <w:sig w:usb0="00000000" w:usb1="00000000" w:usb2="00000000" w:usb3="00000000" w:csb0="00000000" w:csb1="00000000"/>
    <w:embedRegular r:id="rId4" w:fontKey="{1600FA36-7865-4B16-AEBF-7B25D457D43E}"/>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9EA35B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4169</Words>
  <Characters>4714</Characters>
  <Lines>0</Lines>
  <Paragraphs>0</Paragraphs>
  <TotalTime>2</TotalTime>
  <ScaleCrop>false</ScaleCrop>
  <LinksUpToDate>false</LinksUpToDate>
  <CharactersWithSpaces>4722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2025-09-16T03:28:59Z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B858A68E913346F885B5BC17D4DBEB06_13</vt:lpwstr>
  </property>
  <property fmtid="{D5CDD505-2E9C-101B-9397-08002B2CF9AE}" pid="4" name="KSOTemplateDocerSaveRecord">
    <vt:lpwstr>eyJoZGlkIjoiMzEwNjkzMWMxZWMzNzU0NmUyNzQ2NGY3YzlmZjBhZDUiLCJ1c2VySWQiOiI0OTMxMTE3MjUifQ==</vt:lpwstr>
  </property>
</Properties>
</file>