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轮台县疾病预防控制中心2024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2CDC5A9">
      <w:r>
        <w:br w:type="page"/>
      </w:r>
    </w:p>
    <w:p w14:paraId="64AD57CD">
      <w:pPr>
        <w:spacing w:line="640" w:lineRule="exact"/>
        <w:jc w:val="center"/>
        <w:outlineLvl w:val="1"/>
      </w:pPr>
      <w:r>
        <w:rPr>
          <w:rFonts w:ascii="黑体" w:hAnsi="黑体" w:eastAsia="黑体"/>
          <w:sz w:val="32"/>
        </w:rPr>
        <w:t>第一部分 单位概况</w:t>
      </w:r>
    </w:p>
    <w:p w14:paraId="0352E233">
      <w:pPr>
        <w:spacing w:line="640" w:lineRule="exact"/>
        <w:ind w:firstLine="640"/>
        <w:jc w:val="both"/>
        <w:outlineLvl w:val="2"/>
      </w:pPr>
      <w:r>
        <w:rPr>
          <w:rFonts w:ascii="黑体" w:hAnsi="黑体" w:eastAsia="黑体"/>
          <w:sz w:val="32"/>
        </w:rPr>
        <w:t>一、主要职能</w:t>
      </w:r>
    </w:p>
    <w:p w14:paraId="12442C0A">
      <w:pPr>
        <w:spacing w:line="580" w:lineRule="exact"/>
        <w:ind w:firstLine="640"/>
        <w:jc w:val="both"/>
      </w:pPr>
      <w:r>
        <w:rPr>
          <w:rFonts w:ascii="仿宋_GB2312" w:hAnsi="仿宋_GB2312" w:eastAsia="仿宋_GB2312"/>
          <w:sz w:val="32"/>
        </w:rPr>
        <w:t>（一）对影响人群生存环境卫生质量的危险因素进行食品、职业、环境（公共场所）公共场所、放射、学校卫生等卫生学监测，对传染病、地方病、寄生虫病、慢性非传染性疾病、职业病、公害病、学生常见病、妇女儿童常见疾病及意外伤害、中毒等发生、分布发展的规律、进行流行病学监测，并制定预防控制对策。</w:t>
      </w:r>
    </w:p>
    <w:p w14:paraId="66BC2782">
      <w:pPr>
        <w:spacing w:line="580" w:lineRule="exact"/>
        <w:ind w:firstLine="640"/>
        <w:jc w:val="both"/>
      </w:pPr>
      <w:r>
        <w:rPr>
          <w:rFonts w:ascii="仿宋_GB2312" w:hAnsi="仿宋_GB2312" w:eastAsia="仿宋_GB2312"/>
          <w:sz w:val="32"/>
        </w:rPr>
        <w:t>（二</w:t>
      </w:r>
      <w:r>
        <w:rPr>
          <w:rFonts w:hint="eastAsia" w:ascii="仿宋_GB2312" w:hAnsi="仿宋_GB2312" w:eastAsia="仿宋_GB2312"/>
          <w:sz w:val="32"/>
          <w:lang w:eastAsia="zh-CN"/>
        </w:rPr>
        <w:t>）</w:t>
      </w:r>
      <w:r>
        <w:rPr>
          <w:rFonts w:ascii="仿宋_GB2312" w:hAnsi="仿宋_GB2312" w:eastAsia="仿宋_GB2312"/>
          <w:sz w:val="32"/>
        </w:rPr>
        <w:t>拟定疾病预防控制和公共卫生相关的法律、法规</w:t>
      </w:r>
      <w:r>
        <w:rPr>
          <w:rFonts w:hint="eastAsia" w:ascii="仿宋_GB2312" w:hAnsi="仿宋_GB2312" w:eastAsia="仿宋_GB2312"/>
          <w:sz w:val="32"/>
          <w:lang w:eastAsia="zh-CN"/>
        </w:rPr>
        <w:t>、</w:t>
      </w:r>
      <w:r>
        <w:rPr>
          <w:rFonts w:ascii="仿宋_GB2312" w:hAnsi="仿宋_GB2312" w:eastAsia="仿宋_GB2312"/>
          <w:sz w:val="32"/>
        </w:rPr>
        <w:t>规章、政策标准、规划等提供科学依据，为卫生行政部门提供决策咨询。</w:t>
      </w:r>
    </w:p>
    <w:p w14:paraId="39A1A5DC">
      <w:pPr>
        <w:spacing w:line="580" w:lineRule="exact"/>
        <w:ind w:firstLine="640"/>
        <w:jc w:val="both"/>
      </w:pPr>
      <w:r>
        <w:rPr>
          <w:rFonts w:ascii="仿宋_GB2312" w:hAnsi="仿宋_GB2312" w:eastAsia="仿宋_GB2312"/>
          <w:sz w:val="32"/>
        </w:rPr>
        <w:t>（三）拟定并实施疾病预防控制工作方案，对方案实施进行质量和效果评估。</w:t>
      </w:r>
    </w:p>
    <w:p w14:paraId="14CB0C7F">
      <w:pPr>
        <w:spacing w:line="580" w:lineRule="exact"/>
        <w:ind w:firstLine="640"/>
        <w:jc w:val="both"/>
      </w:pPr>
      <w:r>
        <w:rPr>
          <w:rFonts w:ascii="仿宋_GB2312" w:hAnsi="仿宋_GB2312" w:eastAsia="仿宋_GB2312"/>
          <w:sz w:val="32"/>
        </w:rPr>
        <w:t>（四）对</w:t>
      </w:r>
      <w:r>
        <w:rPr>
          <w:rFonts w:hint="eastAsia" w:ascii="仿宋_GB2312" w:hAnsi="仿宋_GB2312" w:eastAsia="仿宋_GB2312"/>
          <w:sz w:val="32"/>
          <w:lang w:eastAsia="zh-CN"/>
        </w:rPr>
        <w:t>传染病</w:t>
      </w:r>
      <w:bookmarkStart w:id="0" w:name="_GoBack"/>
      <w:r>
        <w:rPr>
          <w:rFonts w:hint="eastAsia" w:ascii="仿宋_GB2312" w:hAnsi="仿宋_GB2312" w:eastAsia="仿宋_GB2312"/>
          <w:sz w:val="32"/>
          <w:lang w:eastAsia="zh-CN"/>
        </w:rPr>
        <w:t>暴发</w:t>
      </w:r>
      <w:bookmarkEnd w:id="0"/>
      <w:r>
        <w:rPr>
          <w:rFonts w:ascii="仿宋_GB2312" w:hAnsi="仿宋_GB2312" w:eastAsia="仿宋_GB2312"/>
          <w:sz w:val="32"/>
        </w:rPr>
        <w:t>流行和中毒、污染事件进行调查处理，为救灾防病和解决重大公共卫生总量提供技术支持。</w:t>
      </w:r>
    </w:p>
    <w:p w14:paraId="77116D93">
      <w:pPr>
        <w:spacing w:line="580" w:lineRule="exact"/>
        <w:ind w:firstLine="640"/>
        <w:jc w:val="both"/>
      </w:pPr>
      <w:r>
        <w:rPr>
          <w:rFonts w:ascii="仿宋_GB2312" w:hAnsi="仿宋_GB2312" w:eastAsia="仿宋_GB2312"/>
          <w:sz w:val="32"/>
        </w:rPr>
        <w:t>（五）实施预防接种，负责预防用生物制品的使用与管理。</w:t>
      </w:r>
    </w:p>
    <w:p w14:paraId="7C24DCC7">
      <w:pPr>
        <w:spacing w:line="580" w:lineRule="exact"/>
        <w:ind w:firstLine="640"/>
        <w:jc w:val="both"/>
      </w:pPr>
      <w:r>
        <w:rPr>
          <w:rFonts w:ascii="仿宋_GB2312" w:hAnsi="仿宋_GB2312" w:eastAsia="仿宋_GB2312"/>
          <w:sz w:val="32"/>
        </w:rPr>
        <w:t>（六）负责人员培训，指导有关卫生防病，公共卫生等方面的技术规范和技术措施的实施，承担对爱国卫生运动中与疾病预防控制有关工作的技术指导。</w:t>
      </w:r>
    </w:p>
    <w:p w14:paraId="6DE92179">
      <w:pPr>
        <w:spacing w:line="580" w:lineRule="exact"/>
        <w:ind w:firstLine="640"/>
        <w:jc w:val="both"/>
      </w:pPr>
      <w:r>
        <w:rPr>
          <w:rFonts w:ascii="仿宋_GB2312" w:hAnsi="仿宋_GB2312" w:eastAsia="仿宋_GB2312"/>
          <w:sz w:val="32"/>
        </w:rPr>
        <w:t>（七）开展健康教育与健康促进，参与社区卫生服务工作，促进社会健康环境的建立和人群健康行为的形成。</w:t>
      </w:r>
    </w:p>
    <w:p w14:paraId="10695AFC">
      <w:pPr>
        <w:spacing w:line="580" w:lineRule="exact"/>
        <w:ind w:firstLine="640"/>
        <w:jc w:val="both"/>
      </w:pPr>
      <w:r>
        <w:rPr>
          <w:rFonts w:ascii="仿宋_GB2312" w:hAnsi="仿宋_GB2312" w:eastAsia="仿宋_GB2312"/>
          <w:sz w:val="32"/>
        </w:rPr>
        <w:t>（八）承担疾病预防与控制及有关公共卫生信息的报告、管理和预测、预报、为疾病预防与控制决策提供科学依据。</w:t>
      </w:r>
    </w:p>
    <w:p w14:paraId="4B0060B7">
      <w:pPr>
        <w:spacing w:line="580" w:lineRule="exact"/>
        <w:ind w:firstLine="640"/>
        <w:jc w:val="both"/>
      </w:pPr>
      <w:r>
        <w:rPr>
          <w:rFonts w:ascii="仿宋_GB2312" w:hAnsi="仿宋_GB2312" w:eastAsia="仿宋_GB2312"/>
          <w:sz w:val="32"/>
        </w:rPr>
        <w:t>（九）开展卫生防病检验和实验室质量控制，受卫生局认定，承担卫生监督监测检验、预防性检查、食品及健康相关产品从业人员卫生和知识培训，健康产品的技术审核和卫生质量检验，鉴定，对新建、改建、扩建建设项目的选址、设计和竣工验收进行卫生学评价。</w:t>
      </w:r>
    </w:p>
    <w:p w14:paraId="497DF4D4">
      <w:pPr>
        <w:spacing w:line="580" w:lineRule="exact"/>
        <w:ind w:firstLine="640"/>
        <w:jc w:val="both"/>
      </w:pPr>
      <w:r>
        <w:rPr>
          <w:rFonts w:ascii="仿宋_GB2312" w:hAnsi="仿宋_GB2312" w:eastAsia="仿宋_GB2312"/>
          <w:sz w:val="32"/>
        </w:rPr>
        <w:t>（十）开展全县基层卫生和妇幼保健工作的业务指导、检查和评价。</w:t>
      </w:r>
    </w:p>
    <w:p w14:paraId="16BA11F8">
      <w:pPr>
        <w:spacing w:line="580" w:lineRule="exact"/>
        <w:ind w:firstLine="640"/>
        <w:jc w:val="both"/>
      </w:pPr>
      <w:r>
        <w:rPr>
          <w:rFonts w:ascii="仿宋_GB2312" w:hAnsi="仿宋_GB2312" w:eastAsia="仿宋_GB2312"/>
          <w:sz w:val="32"/>
        </w:rPr>
        <w:t>（十一）进行应用性科学研究，开展和推广技术。</w:t>
      </w:r>
    </w:p>
    <w:p w14:paraId="481A72E7">
      <w:pPr>
        <w:spacing w:line="580" w:lineRule="exact"/>
        <w:ind w:firstLine="640"/>
        <w:jc w:val="both"/>
      </w:pPr>
      <w:r>
        <w:rPr>
          <w:rFonts w:ascii="仿宋_GB2312" w:hAnsi="仿宋_GB2312" w:eastAsia="仿宋_GB2312"/>
          <w:sz w:val="32"/>
        </w:rPr>
        <w:t>（十二）开展对外交流与合作，引进和推广新技术、新方法。</w:t>
      </w:r>
    </w:p>
    <w:p w14:paraId="3841C145">
      <w:pPr>
        <w:spacing w:line="580" w:lineRule="exact"/>
        <w:ind w:firstLine="640"/>
        <w:jc w:val="both"/>
      </w:pPr>
      <w:r>
        <w:rPr>
          <w:rFonts w:ascii="仿宋_GB2312" w:hAnsi="仿宋_GB2312" w:eastAsia="仿宋_GB2312"/>
          <w:sz w:val="32"/>
        </w:rPr>
        <w:t>（十三）向社会提供相关预防保健信息，健康咨询和预防医学诊疗等专业技术服务。</w:t>
      </w:r>
    </w:p>
    <w:p w14:paraId="0373F593">
      <w:pPr>
        <w:spacing w:line="580" w:lineRule="exact"/>
        <w:ind w:firstLine="640"/>
        <w:jc w:val="both"/>
      </w:pPr>
      <w:r>
        <w:rPr>
          <w:rFonts w:ascii="仿宋_GB2312" w:hAnsi="仿宋_GB2312" w:eastAsia="仿宋_GB2312"/>
          <w:sz w:val="32"/>
        </w:rPr>
        <w:t>（十四）完成卫健委交办的其他任务。</w:t>
      </w:r>
    </w:p>
    <w:p w14:paraId="0977EE05">
      <w:pPr>
        <w:spacing w:line="640" w:lineRule="exact"/>
        <w:ind w:firstLine="640"/>
        <w:jc w:val="both"/>
        <w:outlineLvl w:val="2"/>
      </w:pPr>
      <w:r>
        <w:rPr>
          <w:rFonts w:ascii="黑体" w:hAnsi="黑体" w:eastAsia="黑体"/>
          <w:sz w:val="32"/>
        </w:rPr>
        <w:t>二、机构设置及人员情况</w:t>
      </w:r>
    </w:p>
    <w:p w14:paraId="175E3DF3">
      <w:pPr>
        <w:spacing w:line="580" w:lineRule="exact"/>
        <w:ind w:firstLine="640"/>
        <w:jc w:val="both"/>
      </w:pPr>
      <w:r>
        <w:rPr>
          <w:rFonts w:ascii="仿宋_GB2312" w:hAnsi="仿宋_GB2312" w:eastAsia="仿宋_GB2312"/>
          <w:sz w:val="32"/>
        </w:rPr>
        <w:t>轮台县疾病预防控制中心2024年度，实有人数55人，其中：在职人员27人，增加0人；离休人员0人，增加0人；退休人员28人,增加3人。</w:t>
      </w:r>
    </w:p>
    <w:p w14:paraId="39A42CC8">
      <w:pPr>
        <w:spacing w:line="580" w:lineRule="exact"/>
        <w:ind w:firstLine="640"/>
        <w:jc w:val="both"/>
      </w:pPr>
      <w:r>
        <w:rPr>
          <w:rFonts w:ascii="仿宋_GB2312" w:hAnsi="仿宋_GB2312" w:eastAsia="仿宋_GB2312"/>
          <w:sz w:val="32"/>
        </w:rPr>
        <w:t>轮台县疾病预防控制中心无下属预算单位，下设6个科室，分别是：综合办公室、疾病预防控制科、卫生科、结核防治科、检验科、信息服务与健康教育科。</w:t>
      </w:r>
    </w:p>
    <w:p w14:paraId="117AD9A0">
      <w:r>
        <w:br w:type="page"/>
      </w:r>
    </w:p>
    <w:p w14:paraId="5D52D1D9">
      <w:pPr>
        <w:spacing w:line="240" w:lineRule="auto"/>
        <w:jc w:val="center"/>
        <w:outlineLvl w:val="1"/>
      </w:pPr>
      <w:r>
        <w:rPr>
          <w:rFonts w:ascii="黑体" w:hAnsi="黑体" w:eastAsia="黑体"/>
          <w:sz w:val="32"/>
        </w:rPr>
        <w:t>第二部分 部门决算情况说明</w:t>
      </w:r>
    </w:p>
    <w:p w14:paraId="333A5E9F">
      <w:pPr>
        <w:spacing w:line="640" w:lineRule="exact"/>
        <w:ind w:firstLine="640"/>
        <w:jc w:val="both"/>
        <w:outlineLvl w:val="2"/>
      </w:pPr>
      <w:r>
        <w:rPr>
          <w:rFonts w:ascii="黑体" w:hAnsi="黑体" w:eastAsia="黑体"/>
          <w:sz w:val="32"/>
        </w:rPr>
        <w:t>一、收入支出决算总体情况说明</w:t>
      </w:r>
    </w:p>
    <w:p w14:paraId="4B20A5FC">
      <w:pPr>
        <w:spacing w:line="580" w:lineRule="exact"/>
        <w:ind w:firstLine="640"/>
        <w:jc w:val="both"/>
      </w:pPr>
      <w:r>
        <w:rPr>
          <w:rFonts w:ascii="仿宋_GB2312" w:hAnsi="仿宋_GB2312" w:eastAsia="仿宋_GB2312"/>
          <w:b/>
          <w:sz w:val="32"/>
        </w:rPr>
        <w:t>2024年度收入总计835.17万元，</w:t>
      </w:r>
      <w:r>
        <w:rPr>
          <w:rFonts w:ascii="仿宋_GB2312" w:hAnsi="仿宋_GB2312" w:eastAsia="仿宋_GB2312"/>
          <w:b w:val="0"/>
          <w:sz w:val="32"/>
        </w:rPr>
        <w:t>其中：本年收入合计834.60万元，使用非财政拨款结余（含专用结余）0.00万元，年初结转和结余0.57万元。</w:t>
      </w:r>
    </w:p>
    <w:p w14:paraId="7615DE96">
      <w:pPr>
        <w:spacing w:line="580" w:lineRule="exact"/>
        <w:ind w:firstLine="640"/>
        <w:jc w:val="both"/>
      </w:pPr>
      <w:r>
        <w:rPr>
          <w:rFonts w:ascii="仿宋_GB2312" w:hAnsi="仿宋_GB2312" w:eastAsia="仿宋_GB2312"/>
          <w:b/>
          <w:sz w:val="32"/>
        </w:rPr>
        <w:t>2024年度支出总计835.17万元，</w:t>
      </w:r>
      <w:r>
        <w:rPr>
          <w:rFonts w:ascii="仿宋_GB2312" w:hAnsi="仿宋_GB2312" w:eastAsia="仿宋_GB2312"/>
          <w:b w:val="0"/>
          <w:sz w:val="32"/>
        </w:rPr>
        <w:t>其中：本年支出合计834.40万元，结余分配0.00万元，年末结转和结余0.77万元。</w:t>
      </w:r>
    </w:p>
    <w:p w14:paraId="77A8EFFB">
      <w:pPr>
        <w:spacing w:line="580" w:lineRule="exact"/>
        <w:ind w:firstLine="640"/>
        <w:jc w:val="both"/>
      </w:pPr>
      <w:r>
        <w:rPr>
          <w:rFonts w:ascii="仿宋_GB2312" w:hAnsi="仿宋_GB2312" w:eastAsia="仿宋_GB2312"/>
          <w:b w:val="0"/>
          <w:sz w:val="32"/>
        </w:rPr>
        <w:t>收入支出总体与上年相比，减少229.86万元，下降21.58%，主要原因是：本年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较上年减少PCR实验室设备款以及医疗消耗用品款，导致经费较上年减少。</w:t>
      </w:r>
    </w:p>
    <w:p w14:paraId="186C1BF7">
      <w:pPr>
        <w:spacing w:line="640" w:lineRule="exact"/>
        <w:ind w:firstLine="640"/>
        <w:jc w:val="both"/>
        <w:outlineLvl w:val="2"/>
      </w:pPr>
      <w:r>
        <w:rPr>
          <w:rFonts w:ascii="黑体" w:hAnsi="黑体" w:eastAsia="黑体"/>
          <w:sz w:val="32"/>
        </w:rPr>
        <w:t>二、收入决算情况说明</w:t>
      </w:r>
    </w:p>
    <w:p w14:paraId="458E665F">
      <w:pPr>
        <w:spacing w:line="580" w:lineRule="exact"/>
        <w:ind w:firstLine="640"/>
        <w:jc w:val="both"/>
      </w:pPr>
      <w:r>
        <w:rPr>
          <w:rFonts w:ascii="仿宋_GB2312" w:hAnsi="仿宋_GB2312" w:eastAsia="仿宋_GB2312"/>
          <w:b/>
          <w:sz w:val="32"/>
        </w:rPr>
        <w:t>本年收入834.60万元，</w:t>
      </w:r>
      <w:r>
        <w:rPr>
          <w:rFonts w:ascii="仿宋_GB2312" w:hAnsi="仿宋_GB2312" w:eastAsia="仿宋_GB2312"/>
          <w:b w:val="0"/>
          <w:sz w:val="32"/>
        </w:rPr>
        <w:t>其中：财政拨款收入834.40万元，占99.98%；上级补助收入0.00万元，占0.00%；事业收入0.00万元，占0.00%；经营收入0.00万元，占0.00%；附属单位上缴收入0.00万元，占0.00%；其他收入0.20万元，占0.02%。</w:t>
      </w:r>
    </w:p>
    <w:p w14:paraId="6FB9E5FD">
      <w:pPr>
        <w:spacing w:line="640" w:lineRule="exact"/>
        <w:ind w:firstLine="640"/>
        <w:jc w:val="both"/>
        <w:outlineLvl w:val="2"/>
      </w:pPr>
      <w:r>
        <w:rPr>
          <w:rFonts w:ascii="黑体" w:hAnsi="黑体" w:eastAsia="黑体"/>
          <w:sz w:val="32"/>
        </w:rPr>
        <w:t>三、支出决算情况说明</w:t>
      </w:r>
    </w:p>
    <w:p w14:paraId="7706CAD7">
      <w:pPr>
        <w:spacing w:line="580" w:lineRule="exact"/>
        <w:ind w:firstLine="640"/>
        <w:jc w:val="both"/>
      </w:pPr>
      <w:r>
        <w:rPr>
          <w:rFonts w:ascii="仿宋_GB2312" w:hAnsi="仿宋_GB2312" w:eastAsia="仿宋_GB2312"/>
          <w:b/>
          <w:sz w:val="32"/>
        </w:rPr>
        <w:t>本年支出834.40万元，</w:t>
      </w:r>
      <w:r>
        <w:rPr>
          <w:rFonts w:ascii="仿宋_GB2312" w:hAnsi="仿宋_GB2312" w:eastAsia="仿宋_GB2312"/>
          <w:b w:val="0"/>
          <w:sz w:val="32"/>
        </w:rPr>
        <w:t>其中：基本支出816.40万元，占97.84%；项目支出18.00万元，占2.16%；上缴上级支出0.00万元，占0.00%；经营支出0.00万元，占0.00%；对附属单位补助支出0.00万元，占0.00%。</w:t>
      </w:r>
    </w:p>
    <w:p w14:paraId="07D3BE18">
      <w:pPr>
        <w:spacing w:line="640" w:lineRule="exact"/>
        <w:ind w:firstLine="640"/>
        <w:jc w:val="both"/>
        <w:outlineLvl w:val="2"/>
      </w:pPr>
      <w:r>
        <w:rPr>
          <w:rFonts w:ascii="黑体" w:hAnsi="黑体" w:eastAsia="黑体"/>
          <w:sz w:val="32"/>
        </w:rPr>
        <w:t>四、财政拨款收入支出决算总体情况说明</w:t>
      </w:r>
    </w:p>
    <w:p w14:paraId="3014769D">
      <w:pPr>
        <w:spacing w:line="580" w:lineRule="exact"/>
        <w:ind w:firstLine="640"/>
        <w:jc w:val="both"/>
      </w:pPr>
      <w:r>
        <w:rPr>
          <w:rFonts w:ascii="仿宋_GB2312" w:hAnsi="仿宋_GB2312" w:eastAsia="仿宋_GB2312"/>
          <w:b/>
          <w:sz w:val="32"/>
        </w:rPr>
        <w:t>2024年度财政拨款收入总计834.40万元，</w:t>
      </w:r>
      <w:r>
        <w:rPr>
          <w:rFonts w:ascii="仿宋_GB2312" w:hAnsi="仿宋_GB2312" w:eastAsia="仿宋_GB2312"/>
          <w:b w:val="0"/>
          <w:sz w:val="32"/>
        </w:rPr>
        <w:t>其中：年初财政拨款结转和结余0.00万元，本年财政拨款收入834.40万元。</w:t>
      </w:r>
      <w:r>
        <w:rPr>
          <w:rFonts w:ascii="仿宋_GB2312" w:hAnsi="仿宋_GB2312" w:eastAsia="仿宋_GB2312"/>
          <w:b/>
          <w:sz w:val="32"/>
        </w:rPr>
        <w:t>财政拨款支出总计834.40万元，</w:t>
      </w:r>
      <w:r>
        <w:rPr>
          <w:rFonts w:ascii="仿宋_GB2312" w:hAnsi="仿宋_GB2312" w:eastAsia="仿宋_GB2312"/>
          <w:b w:val="0"/>
          <w:sz w:val="32"/>
        </w:rPr>
        <w:t>其中：年末财政拨款结转和结余0.00万元，本年财政拨款支出834.40万元。</w:t>
      </w:r>
    </w:p>
    <w:p w14:paraId="5A4E5B6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减少230.03万元，下降21.61%，主要原因是：本年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较上年减少PCR实验室设备款以及医疗消耗用品款，导致经费较上年减少。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年初预算数606.04万元，决算数834.40万元，预决算差异率37.68%，主要原因是：本年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年中追加疾病宣传服务费以及医疗设备检测校准服务费预算，导致预决算存在差异。</w:t>
      </w:r>
    </w:p>
    <w:p w14:paraId="08374E6B">
      <w:pPr>
        <w:spacing w:line="640" w:lineRule="exact"/>
        <w:ind w:firstLine="640"/>
        <w:jc w:val="both"/>
        <w:outlineLvl w:val="2"/>
      </w:pPr>
      <w:r>
        <w:rPr>
          <w:rFonts w:ascii="黑体" w:hAnsi="黑体" w:eastAsia="黑体"/>
          <w:sz w:val="32"/>
        </w:rPr>
        <w:t>五、一般公共预算财政拨款支出决算情况说明</w:t>
      </w:r>
    </w:p>
    <w:p w14:paraId="02A29C46">
      <w:pPr>
        <w:spacing w:line="640" w:lineRule="exact"/>
        <w:ind w:firstLine="640"/>
        <w:jc w:val="both"/>
        <w:outlineLvl w:val="3"/>
      </w:pPr>
      <w:r>
        <w:rPr>
          <w:rFonts w:ascii="楷体_GB2312" w:hAnsi="楷体_GB2312" w:eastAsia="楷体_GB2312"/>
          <w:b/>
          <w:sz w:val="32"/>
        </w:rPr>
        <w:t>（一）一般公共预算财政拨款支出决算总体情况</w:t>
      </w:r>
    </w:p>
    <w:p w14:paraId="4A3ECA22">
      <w:pPr>
        <w:spacing w:line="580" w:lineRule="exact"/>
        <w:ind w:firstLine="640"/>
        <w:jc w:val="both"/>
      </w:pPr>
      <w:r>
        <w:rPr>
          <w:rFonts w:ascii="仿宋_GB2312" w:hAnsi="仿宋_GB2312" w:eastAsia="仿宋_GB2312"/>
          <w:b/>
          <w:sz w:val="32"/>
        </w:rPr>
        <w:t>2024年度一般公共预算财政拨款支出831.40万元，</w:t>
      </w:r>
      <w:r>
        <w:rPr>
          <w:rFonts w:ascii="仿宋_GB2312" w:hAnsi="仿宋_GB2312" w:eastAsia="仿宋_GB2312"/>
          <w:b w:val="0"/>
          <w:sz w:val="32"/>
        </w:rPr>
        <w:t>占本年支出合计的99.64%。</w:t>
      </w:r>
      <w:r>
        <w:rPr>
          <w:rFonts w:ascii="仿宋_GB2312" w:hAnsi="仿宋_GB2312" w:eastAsia="仿宋_GB2312"/>
          <w:b/>
          <w:sz w:val="32"/>
        </w:rPr>
        <w:t>与上年相比，</w:t>
      </w:r>
      <w:r>
        <w:rPr>
          <w:rFonts w:ascii="仿宋_GB2312" w:hAnsi="仿宋_GB2312" w:eastAsia="仿宋_GB2312"/>
          <w:b w:val="0"/>
          <w:sz w:val="32"/>
        </w:rPr>
        <w:t>减少233.03万元，下降21.89%，主要原因是：本年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较上年减少PCR实验室设备款以及医疗消耗用品款，导致经费较上年减少。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年初预算数606.04万元，决算数831.40万元，预决算差异率37.19%，主要原因是：本年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年中追加疾病宣传服务费以及医疗设备检测校准服务费预算，导致预决算存在差异。</w:t>
      </w:r>
    </w:p>
    <w:p w14:paraId="2BC05412">
      <w:pPr>
        <w:spacing w:line="640" w:lineRule="exact"/>
        <w:ind w:firstLine="640"/>
        <w:jc w:val="both"/>
        <w:outlineLvl w:val="3"/>
      </w:pPr>
      <w:r>
        <w:rPr>
          <w:rFonts w:ascii="楷体_GB2312" w:hAnsi="楷体_GB2312" w:eastAsia="楷体_GB2312"/>
          <w:b/>
          <w:sz w:val="32"/>
        </w:rPr>
        <w:t>（二）一般公共预算财政拨款支出决算结构情况</w:t>
      </w:r>
    </w:p>
    <w:p w14:paraId="55EB93AD">
      <w:pPr>
        <w:spacing w:line="580" w:lineRule="exact"/>
        <w:ind w:firstLine="640"/>
        <w:jc w:val="both"/>
      </w:pPr>
      <w:r>
        <w:rPr>
          <w:rFonts w:ascii="仿宋_GB2312" w:hAnsi="仿宋_GB2312" w:eastAsia="仿宋_GB2312"/>
          <w:b w:val="0"/>
          <w:sz w:val="32"/>
        </w:rPr>
        <w:t>1.社会保障和就业支出(类)90.01万元,占10.83%。</w:t>
      </w:r>
    </w:p>
    <w:p w14:paraId="326651F4">
      <w:pPr>
        <w:spacing w:line="580" w:lineRule="exact"/>
        <w:ind w:firstLine="640"/>
        <w:jc w:val="both"/>
      </w:pPr>
      <w:r>
        <w:rPr>
          <w:rFonts w:ascii="仿宋_GB2312" w:hAnsi="仿宋_GB2312" w:eastAsia="仿宋_GB2312"/>
          <w:b w:val="0"/>
          <w:sz w:val="32"/>
        </w:rPr>
        <w:t>2.卫生健康支出(类)704.40万元,占84.72%。</w:t>
      </w:r>
    </w:p>
    <w:p w14:paraId="53B9D764">
      <w:pPr>
        <w:spacing w:line="580" w:lineRule="exact"/>
        <w:ind w:firstLine="640"/>
        <w:jc w:val="both"/>
      </w:pPr>
      <w:r>
        <w:rPr>
          <w:rFonts w:ascii="仿宋_GB2312" w:hAnsi="仿宋_GB2312" w:eastAsia="仿宋_GB2312"/>
          <w:b w:val="0"/>
          <w:sz w:val="32"/>
        </w:rPr>
        <w:t>3.住房保障支出(类)36.99万元,占4.45%。</w:t>
      </w:r>
    </w:p>
    <w:p w14:paraId="05C95396">
      <w:pPr>
        <w:spacing w:line="640" w:lineRule="exact"/>
        <w:ind w:firstLine="640"/>
        <w:jc w:val="both"/>
        <w:outlineLvl w:val="3"/>
      </w:pPr>
      <w:r>
        <w:rPr>
          <w:rFonts w:ascii="楷体_GB2312" w:hAnsi="楷体_GB2312" w:eastAsia="楷体_GB2312"/>
          <w:b/>
          <w:sz w:val="32"/>
        </w:rPr>
        <w:t>（三）一般公共预算财政拨款支出决算具体情况</w:t>
      </w:r>
    </w:p>
    <w:p w14:paraId="3FDE43B9">
      <w:pPr>
        <w:spacing w:line="580" w:lineRule="exact"/>
        <w:ind w:firstLine="640"/>
        <w:jc w:val="both"/>
      </w:pPr>
      <w:r>
        <w:rPr>
          <w:rFonts w:ascii="仿宋_GB2312" w:hAnsi="仿宋_GB2312" w:eastAsia="仿宋_GB2312"/>
          <w:b w:val="0"/>
          <w:sz w:val="32"/>
        </w:rPr>
        <w:t>1.科学技术支出(类)技术研究与开发(款)科技成果转化与扩散(项):支出决算数为0.00万元，比上年决算减少13.85万元，下降100.00%,主要原因是：本年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较上年减少智慧卫监安装费，导致决算减少。</w:t>
      </w:r>
    </w:p>
    <w:p w14:paraId="5057862F">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2.社会保障和就业支出(类)行政事业单位养老支出(款)事业单位离退休(项):支出决算数为18.07万元，比上年决算增加6.09万元，增长50.83%,主要原因是：本年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新增事业退休人员，导致事业单位离退休增加，决算增加。</w:t>
      </w:r>
    </w:p>
    <w:p w14:paraId="00DB1D69">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3.社会保障和就业支出(类)行政事业单位养老支出(款)机关事业单位基本养老保险缴费支出(项):支出决算数为42.77万元，比上年决算减少7.91万元，下降15.61%,主要原因是：本年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事业人员以及事业岗人员减少，导致养老保险缴费减少，决算减少。</w:t>
      </w:r>
    </w:p>
    <w:p w14:paraId="3721FD91">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4.社会保障和就业支出(类)行政事业单位养老支出(款)机关事业单位职业年金缴费支出(项):支出决算数为29.17万元，比上年决算增加22.05万元，增长309.69%,主要原因是：本年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新增退休人员较上年增加，职业年金增加，导致决算增加。</w:t>
      </w:r>
    </w:p>
    <w:p w14:paraId="0BD0EC42">
      <w:pPr>
        <w:spacing w:line="580" w:lineRule="exact"/>
        <w:ind w:firstLine="640"/>
        <w:jc w:val="both"/>
      </w:pPr>
      <w:r>
        <w:rPr>
          <w:rFonts w:ascii="仿宋_GB2312" w:hAnsi="仿宋_GB2312" w:eastAsia="仿宋_GB2312"/>
          <w:b w:val="0"/>
          <w:sz w:val="32"/>
        </w:rPr>
        <w:t>5.卫生健康支出(类)公共卫生(款)疾病预防控制机构(项):支出决算数为394.93万元，比上年决算增加7.69万元，增长1.99%,主要原因是：本年我单较上年增加暖气改造费，导致决算增加。</w:t>
      </w:r>
    </w:p>
    <w:p w14:paraId="0E270B9F">
      <w:pPr>
        <w:spacing w:line="580" w:lineRule="exact"/>
        <w:ind w:firstLine="640"/>
        <w:jc w:val="both"/>
      </w:pPr>
      <w:r>
        <w:rPr>
          <w:rFonts w:ascii="仿宋_GB2312" w:hAnsi="仿宋_GB2312" w:eastAsia="仿宋_GB2312"/>
          <w:b w:val="0"/>
          <w:sz w:val="32"/>
        </w:rPr>
        <w:t>6.卫生健康支出(类)公共卫生(款)基本公共卫生服务(项):支出决算数为20.04万元，比上年决算增加1.94万元，增长10.72%,主要原因是：本年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较上年增加办公室设备保养费，导致决算增加。</w:t>
      </w:r>
    </w:p>
    <w:p w14:paraId="420BF24A">
      <w:pPr>
        <w:spacing w:line="580" w:lineRule="exact"/>
        <w:ind w:firstLine="640"/>
        <w:jc w:val="both"/>
      </w:pPr>
      <w:r>
        <w:rPr>
          <w:rFonts w:ascii="仿宋_GB2312" w:hAnsi="仿宋_GB2312" w:eastAsia="仿宋_GB2312"/>
          <w:b w:val="0"/>
          <w:sz w:val="32"/>
        </w:rPr>
        <w:t>7.卫生健康支出(类)公共卫生(款)重大公共卫生服务(项):支出决算数为268.20万元，比上年决算减少235.69万元，下降46.77%,主要原因是：本年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较上年减少核酸试剂防疫物资款，导致决算减少。</w:t>
      </w:r>
    </w:p>
    <w:p w14:paraId="6618826E">
      <w:pPr>
        <w:spacing w:line="580" w:lineRule="exact"/>
        <w:ind w:firstLine="640"/>
        <w:jc w:val="both"/>
      </w:pPr>
      <w:r>
        <w:rPr>
          <w:rFonts w:ascii="仿宋_GB2312" w:hAnsi="仿宋_GB2312" w:eastAsia="仿宋_GB2312"/>
          <w:b w:val="0"/>
          <w:sz w:val="32"/>
        </w:rPr>
        <w:t>8.卫生健康支出(类)公共卫生(款)其他公共卫生支出(项):支出决算数为1.00万元，比上年决算减少6.62万元，下降86.88%,主要原因是：本年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较上年减少工作队采购路灯以及维护停车场资金，导致决算减少。</w:t>
      </w:r>
    </w:p>
    <w:p w14:paraId="4FBF0188">
      <w:pPr>
        <w:spacing w:line="580" w:lineRule="exact"/>
        <w:ind w:firstLine="640"/>
        <w:jc w:val="both"/>
      </w:pPr>
      <w:r>
        <w:rPr>
          <w:rFonts w:ascii="仿宋_GB2312" w:hAnsi="仿宋_GB2312" w:eastAsia="仿宋_GB2312"/>
          <w:b w:val="0"/>
          <w:sz w:val="32"/>
        </w:rPr>
        <w:t>9.卫生健康支出(类)行政事业单位医疗(款)行政单位医疗(项):支出决算数为0.69万元，比上年决算增加0.69万元，增长100.00%,主要原因是：本年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新增行政人员，导致行政医疗增加，决算增加。</w:t>
      </w:r>
    </w:p>
    <w:p w14:paraId="12236813">
      <w:pPr>
        <w:spacing w:line="580" w:lineRule="exact"/>
        <w:ind w:firstLine="640"/>
        <w:jc w:val="both"/>
      </w:pPr>
      <w:r>
        <w:rPr>
          <w:rFonts w:ascii="仿宋_GB2312" w:hAnsi="仿宋_GB2312" w:eastAsia="仿宋_GB2312"/>
          <w:b w:val="0"/>
          <w:sz w:val="32"/>
        </w:rPr>
        <w:t>10.卫生健康支出(类)行政事业单位医疗(款)事业单位医疗(项):支出决算数为19.25万元，比上年决算减少4.44万元，下降18.74%,主要原因是：本年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新增事业退休人员，导致事业单位医疗减少，决算减少。</w:t>
      </w:r>
    </w:p>
    <w:p w14:paraId="57C3F15F">
      <w:pPr>
        <w:spacing w:line="580" w:lineRule="exact"/>
        <w:ind w:firstLine="640"/>
        <w:jc w:val="both"/>
      </w:pPr>
      <w:r>
        <w:rPr>
          <w:rFonts w:ascii="仿宋_GB2312" w:hAnsi="仿宋_GB2312" w:eastAsia="仿宋_GB2312"/>
          <w:b w:val="0"/>
          <w:sz w:val="32"/>
        </w:rPr>
        <w:t>11.卫生健康支出(类)行政事业单位医疗(款)公务员医疗补助(项):支出决算数为0.28万元，比上年决算增加0.28万元，增长100.00%,主要原因是：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新增行政人员，导致公务员医疗增加，决算增加。</w:t>
      </w:r>
    </w:p>
    <w:p w14:paraId="145A7F84">
      <w:pPr>
        <w:spacing w:line="580" w:lineRule="exact"/>
        <w:ind w:firstLine="640"/>
        <w:jc w:val="both"/>
      </w:pPr>
      <w:r>
        <w:rPr>
          <w:rFonts w:ascii="仿宋_GB2312" w:hAnsi="仿宋_GB2312" w:eastAsia="仿宋_GB2312"/>
          <w:b w:val="0"/>
          <w:sz w:val="32"/>
        </w:rPr>
        <w:t>12.住房保障支出(类)住房改革支出(款)住房公积金(项):支出决算数为36.99万元，比上年决算减少3.26万元，下降8.10%,主要原因是：本年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事业人员及事业岗人员减少，住房公积金缴费减少，导致决算减少。</w:t>
      </w:r>
    </w:p>
    <w:p w14:paraId="5BC9B809">
      <w:pPr>
        <w:spacing w:line="640" w:lineRule="exact"/>
        <w:ind w:firstLine="640"/>
        <w:jc w:val="both"/>
        <w:outlineLvl w:val="2"/>
      </w:pPr>
      <w:r>
        <w:rPr>
          <w:rFonts w:ascii="黑体" w:hAnsi="黑体" w:eastAsia="黑体"/>
          <w:sz w:val="32"/>
        </w:rPr>
        <w:t>六、一般公共预算财政拨款基本支出决算情况说明</w:t>
      </w:r>
    </w:p>
    <w:p w14:paraId="647229F1">
      <w:pPr>
        <w:spacing w:line="580" w:lineRule="exact"/>
        <w:ind w:firstLine="640"/>
        <w:jc w:val="both"/>
      </w:pPr>
      <w:r>
        <w:rPr>
          <w:rFonts w:ascii="仿宋_GB2312" w:hAnsi="仿宋_GB2312" w:eastAsia="仿宋_GB2312"/>
          <w:b w:val="0"/>
          <w:sz w:val="32"/>
        </w:rPr>
        <w:t>2024年度一般公共预算财政拨款基本支出813.40万元，其中：</w:t>
      </w:r>
      <w:r>
        <w:rPr>
          <w:rFonts w:ascii="仿宋_GB2312" w:hAnsi="仿宋_GB2312" w:eastAsia="仿宋_GB2312"/>
          <w:b/>
          <w:sz w:val="32"/>
        </w:rPr>
        <w:t>人员经费524.64万元，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5C731034">
      <w:pPr>
        <w:spacing w:line="580" w:lineRule="exact"/>
        <w:ind w:firstLine="640"/>
        <w:jc w:val="both"/>
      </w:pPr>
      <w:r>
        <w:rPr>
          <w:rFonts w:ascii="仿宋_GB2312" w:hAnsi="仿宋_GB2312" w:eastAsia="仿宋_GB2312"/>
          <w:b/>
          <w:sz w:val="32"/>
        </w:rPr>
        <w:t>公用经费288.76万元，</w:t>
      </w:r>
      <w:r>
        <w:rPr>
          <w:rFonts w:ascii="仿宋_GB2312" w:hAnsi="仿宋_GB2312" w:eastAsia="仿宋_GB2312"/>
          <w:b w:val="0"/>
          <w:sz w:val="32"/>
        </w:rPr>
        <w:t>包括：办公费、印刷费、手续费、水费、电费、邮电费、取暖费、物业管理费、差旅费、维修（护）费、培训费、专用材料费、劳务费、委托业务费、其他交通费用、办公设备购置、专用设备购置。</w:t>
      </w:r>
    </w:p>
    <w:p w14:paraId="6C5C8271">
      <w:pPr>
        <w:spacing w:line="640" w:lineRule="exact"/>
        <w:ind w:firstLine="640"/>
        <w:jc w:val="both"/>
        <w:outlineLvl w:val="2"/>
      </w:pPr>
      <w:r>
        <w:rPr>
          <w:rFonts w:ascii="黑体" w:hAnsi="黑体" w:eastAsia="黑体"/>
          <w:sz w:val="32"/>
        </w:rPr>
        <w:t>七、政府性基金预算财政拨款收入支出决算情况说明</w:t>
      </w:r>
    </w:p>
    <w:p w14:paraId="4679DD83">
      <w:pPr>
        <w:spacing w:line="580" w:lineRule="exact"/>
        <w:ind w:firstLine="640"/>
        <w:jc w:val="both"/>
      </w:pPr>
      <w:r>
        <w:rPr>
          <w:rFonts w:ascii="仿宋_GB2312" w:hAnsi="仿宋_GB2312" w:eastAsia="仿宋_GB2312"/>
          <w:b/>
          <w:sz w:val="32"/>
        </w:rPr>
        <w:t>2024年度政府性基金预算财政拨款收入总计3.00万元，</w:t>
      </w:r>
      <w:r>
        <w:rPr>
          <w:rFonts w:ascii="仿宋_GB2312" w:hAnsi="仿宋_GB2312" w:eastAsia="仿宋_GB2312"/>
          <w:b w:val="0"/>
          <w:sz w:val="32"/>
        </w:rPr>
        <w:t>其中：年初结转和结余0.00万元，本年收入3.00万元。</w:t>
      </w:r>
      <w:r>
        <w:rPr>
          <w:rFonts w:ascii="仿宋_GB2312" w:hAnsi="仿宋_GB2312" w:eastAsia="仿宋_GB2312"/>
          <w:b/>
          <w:sz w:val="32"/>
        </w:rPr>
        <w:t>政府性基金预算财政拨款支出总计3.00万元，</w:t>
      </w:r>
      <w:r>
        <w:rPr>
          <w:rFonts w:ascii="仿宋_GB2312" w:hAnsi="仿宋_GB2312" w:eastAsia="仿宋_GB2312"/>
          <w:b w:val="0"/>
          <w:sz w:val="32"/>
        </w:rPr>
        <w:t>其中：年末结转和结余0.00万元，本年支出3.00万元。</w:t>
      </w:r>
    </w:p>
    <w:p w14:paraId="63D35C3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增加3.00万元，增长100.00%，主要原因是：本年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医疗试剂款增加，导致决算增加。</w:t>
      </w:r>
      <w:r>
        <w:rPr>
          <w:rFonts w:ascii="仿宋_GB2312" w:hAnsi="仿宋_GB2312" w:eastAsia="仿宋_GB2312"/>
          <w:b/>
          <w:sz w:val="32"/>
        </w:rPr>
        <w:t>与年初预算相比，</w:t>
      </w:r>
      <w:r>
        <w:rPr>
          <w:rFonts w:ascii="仿宋_GB2312" w:hAnsi="仿宋_GB2312" w:eastAsia="仿宋_GB2312"/>
          <w:b w:val="0"/>
          <w:sz w:val="32"/>
        </w:rPr>
        <w:t>年初预算数0.00万元，决算数3.00万元，预决算差异率100.00%，主要原因是：年中追加医疗试剂款预算，导致预决算存在差异。</w:t>
      </w:r>
    </w:p>
    <w:p w14:paraId="58BF8A3E">
      <w:pPr>
        <w:spacing w:line="580" w:lineRule="exact"/>
        <w:ind w:firstLine="640"/>
        <w:jc w:val="both"/>
      </w:pPr>
      <w:r>
        <w:rPr>
          <w:rFonts w:ascii="仿宋_GB2312" w:hAnsi="仿宋_GB2312" w:eastAsia="仿宋_GB2312"/>
          <w:b w:val="0"/>
          <w:sz w:val="32"/>
        </w:rPr>
        <w:t>政府性基金预算财政拨款支出3.00万元。</w:t>
      </w:r>
    </w:p>
    <w:p w14:paraId="63ED14BB">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1.其他支出(类)彩票公益金安排的支出(款)用于城乡医疗救助的彩票公益金支出(项):支出决算数为3.00万元，比上年决算增加3.00万元，增长100.00%,主要原因是：本年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医疗试剂款增加，导致决算增加。</w:t>
      </w:r>
    </w:p>
    <w:p w14:paraId="1F81B367">
      <w:pPr>
        <w:spacing w:line="640" w:lineRule="exact"/>
        <w:ind w:firstLine="640"/>
        <w:jc w:val="both"/>
        <w:outlineLvl w:val="2"/>
      </w:pPr>
      <w:r>
        <w:rPr>
          <w:rFonts w:ascii="黑体" w:hAnsi="黑体" w:eastAsia="黑体"/>
          <w:sz w:val="32"/>
        </w:rPr>
        <w:t>八、国有资本经营预算财政拨款收入支出决算情况说明</w:t>
      </w:r>
    </w:p>
    <w:p w14:paraId="1933D6A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558A064">
      <w:pPr>
        <w:spacing w:line="640" w:lineRule="exact"/>
        <w:ind w:firstLine="640"/>
        <w:jc w:val="both"/>
        <w:outlineLvl w:val="2"/>
      </w:pPr>
      <w:r>
        <w:rPr>
          <w:rFonts w:ascii="黑体" w:hAnsi="黑体" w:eastAsia="黑体"/>
          <w:sz w:val="32"/>
        </w:rPr>
        <w:t>九、财政拨款“三公”经费支出决算情况说明</w:t>
      </w:r>
    </w:p>
    <w:p w14:paraId="7D8CF67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比上年减少13.21万元，下降100.00%，主要原因是：本年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因人员出差改为乘坐线路专车，导致公务用车减少，且因严格落实中央八项规定精神，厉行节约，减少“三公”经费支出。其中：因公出国（境）费支出0.00万元，占0.00%，比上年增加0.00万元，增长0.00%，主要原因是：2023年与2024年均未安排因公出国（境）费支出。公务用车购置及运行维护费支出0.00万元，占0.00%，比上年减少13.21万元，下降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因人员出差改为乘坐线路专车，导致公务用车减少，且因严格落实中央八项规定精神，厉行节约，减少公务用车运行维护费。公务接待费支出0.00万元，占0.00%，比上年增加0.00万元，增长0.00%，主要原因是：2023年与2024年均未安排公务接待费支出。</w:t>
      </w:r>
    </w:p>
    <w:p w14:paraId="25BA235C">
      <w:pPr>
        <w:spacing w:line="580" w:lineRule="exact"/>
        <w:ind w:firstLine="640"/>
        <w:jc w:val="both"/>
      </w:pPr>
      <w:r>
        <w:rPr>
          <w:rFonts w:ascii="仿宋_GB2312" w:hAnsi="仿宋_GB2312" w:eastAsia="仿宋_GB2312"/>
          <w:b/>
          <w:sz w:val="32"/>
        </w:rPr>
        <w:t>具体情况如下：</w:t>
      </w:r>
    </w:p>
    <w:p w14:paraId="1B512A4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4C85E4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7辆，与公务用车保有量差异原因是：差异车辆为一般业务用车，预算未安排公务用车运行维护费。</w:t>
      </w:r>
    </w:p>
    <w:p w14:paraId="1519E2F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6D6745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8804289">
      <w:pPr>
        <w:spacing w:line="640" w:lineRule="exact"/>
        <w:ind w:firstLine="640"/>
        <w:jc w:val="both"/>
        <w:outlineLvl w:val="2"/>
      </w:pPr>
      <w:r>
        <w:rPr>
          <w:rFonts w:ascii="黑体" w:hAnsi="黑体" w:eastAsia="黑体"/>
          <w:sz w:val="32"/>
        </w:rPr>
        <w:t>十、其他重要事项的情况说明</w:t>
      </w:r>
    </w:p>
    <w:p w14:paraId="694E322E">
      <w:pPr>
        <w:spacing w:line="640" w:lineRule="exact"/>
        <w:ind w:firstLine="640"/>
        <w:jc w:val="both"/>
        <w:outlineLvl w:val="3"/>
      </w:pPr>
      <w:r>
        <w:rPr>
          <w:rFonts w:ascii="楷体_GB2312" w:hAnsi="楷体_GB2312" w:eastAsia="楷体_GB2312"/>
          <w:b/>
          <w:sz w:val="32"/>
        </w:rPr>
        <w:t>（一）机关运行经费及公用经费支出情况</w:t>
      </w:r>
    </w:p>
    <w:p w14:paraId="5DD69234">
      <w:pPr>
        <w:spacing w:line="580" w:lineRule="exact"/>
        <w:ind w:firstLine="640"/>
        <w:jc w:val="both"/>
      </w:pPr>
      <w:r>
        <w:rPr>
          <w:rFonts w:ascii="仿宋_GB2312" w:hAnsi="仿宋_GB2312" w:eastAsia="仿宋_GB2312"/>
          <w:b w:val="0"/>
          <w:sz w:val="32"/>
        </w:rPr>
        <w:t>2024年度轮台县疾病预防控制中心（事业单位）公用经费支出291.76万元，比上年减少53.58万元，下降15.52%，主要原因是：本年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实验室医疗消耗品减少，专用材料费支出减少。</w:t>
      </w:r>
    </w:p>
    <w:p w14:paraId="725C656E">
      <w:pPr>
        <w:spacing w:line="640" w:lineRule="exact"/>
        <w:ind w:firstLine="640"/>
        <w:jc w:val="both"/>
        <w:outlineLvl w:val="3"/>
      </w:pPr>
      <w:r>
        <w:rPr>
          <w:rFonts w:ascii="楷体_GB2312" w:hAnsi="楷体_GB2312" w:eastAsia="楷体_GB2312"/>
          <w:b/>
          <w:sz w:val="32"/>
        </w:rPr>
        <w:t>（二）政府采购情况</w:t>
      </w:r>
    </w:p>
    <w:p w14:paraId="357D5854">
      <w:pPr>
        <w:spacing w:line="580" w:lineRule="exact"/>
        <w:ind w:firstLine="640"/>
        <w:jc w:val="both"/>
      </w:pPr>
      <w:r>
        <w:rPr>
          <w:rFonts w:ascii="仿宋_GB2312" w:hAnsi="仿宋_GB2312" w:eastAsia="仿宋_GB2312"/>
          <w:b w:val="0"/>
          <w:sz w:val="32"/>
        </w:rPr>
        <w:t>2024年度政府采购支出总额93.96万元，其中：政府采购货物支出33.07万元、政府采购工程支出0.00万元、政府采购服务支出60.89万元。</w:t>
      </w:r>
    </w:p>
    <w:p w14:paraId="7A775B58">
      <w:pPr>
        <w:spacing w:line="580" w:lineRule="exact"/>
        <w:ind w:firstLine="640"/>
        <w:jc w:val="both"/>
      </w:pPr>
      <w:r>
        <w:rPr>
          <w:rFonts w:ascii="仿宋_GB2312" w:hAnsi="仿宋_GB2312" w:eastAsia="仿宋_GB2312"/>
          <w:b w:val="0"/>
          <w:sz w:val="32"/>
        </w:rPr>
        <w:t>授予中小企业合同金额93.96万元，占政府采购支出总额的100.00%，其中：授予小微企业合同金额91.69万元，占政府采购支出总额的97.58%。</w:t>
      </w:r>
    </w:p>
    <w:p w14:paraId="42663B73">
      <w:pPr>
        <w:spacing w:line="640" w:lineRule="exact"/>
        <w:ind w:firstLine="640"/>
        <w:jc w:val="both"/>
        <w:outlineLvl w:val="3"/>
      </w:pPr>
      <w:r>
        <w:rPr>
          <w:rFonts w:ascii="楷体_GB2312" w:hAnsi="楷体_GB2312" w:eastAsia="楷体_GB2312"/>
          <w:b/>
          <w:sz w:val="32"/>
        </w:rPr>
        <w:t>（三）国有资产占用情况说明</w:t>
      </w:r>
    </w:p>
    <w:p w14:paraId="384C141C">
      <w:pPr>
        <w:spacing w:line="580" w:lineRule="exact"/>
        <w:ind w:firstLine="640"/>
        <w:jc w:val="both"/>
      </w:pPr>
      <w:r>
        <w:rPr>
          <w:rFonts w:ascii="仿宋_GB2312" w:hAnsi="仿宋_GB2312" w:eastAsia="仿宋_GB2312"/>
          <w:b w:val="0"/>
          <w:sz w:val="32"/>
        </w:rPr>
        <w:t>截至2024年12月31日，房屋2,766.00平方米，价值197.22万元。车辆7辆，价值107.55万元，其中：副部（省）级及以上领导用车0辆、主要负责人用车0辆、机要通信用车0辆、应急保障用车0辆、执法执勤用车0辆、特种专业技术用车0辆、离退休干部服务用车0辆、其他用车7辆，其他用车主要是：单位业务用车。单价100万元（含）以上设备（不含车辆）0台（套）。</w:t>
      </w:r>
    </w:p>
    <w:p w14:paraId="365A32ED">
      <w:pPr>
        <w:spacing w:line="640" w:lineRule="exact"/>
        <w:ind w:firstLine="640"/>
        <w:jc w:val="both"/>
        <w:outlineLvl w:val="2"/>
      </w:pPr>
      <w:r>
        <w:rPr>
          <w:rFonts w:ascii="黑体" w:hAnsi="黑体" w:eastAsia="黑体"/>
          <w:sz w:val="32"/>
        </w:rPr>
        <w:t>十一、预算绩效的情况说明</w:t>
      </w:r>
    </w:p>
    <w:p w14:paraId="31F6E42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835.17万元，实际执行总额834.40万元；预算绩效评价项目2个，全年预算数5.00万元，全年执行数5.00万元。预算绩效管理取得的成效：1、传染病和突发公共卫生事件报告及时率达到100%，持续强化传染病防控指挥体系的建设和运行，确保处置迅速、有效。2、适龄儿童国家免疫规划疫苗接种率达到99%以上，符合治疗条件的病例接受抗病毒治疗比例达到98%以上，确保疫苗接种率达到目标水平，并提高公众的疫苗接种意识</w:t>
      </w:r>
      <w:r>
        <w:rPr>
          <w:rFonts w:hint="eastAsia" w:ascii="仿宋_GB2312" w:hAnsi="仿宋_GB2312" w:eastAsia="仿宋_GB2312"/>
          <w:b w:val="0"/>
          <w:sz w:val="32"/>
          <w:lang w:eastAsia="zh-CN"/>
        </w:rPr>
        <w:t>。</w:t>
      </w:r>
      <w:r>
        <w:rPr>
          <w:rFonts w:ascii="仿宋_GB2312" w:hAnsi="仿宋_GB2312" w:eastAsia="仿宋_GB2312"/>
          <w:b w:val="0"/>
          <w:sz w:val="32"/>
        </w:rPr>
        <w:t>3、高危人群布病筛查1000人次，监管场所监测检测人数857人，包虫病人群B超筛查人次6900人次、城乡饮用水监测水样份数64份，提升基层工作人员防控水平和救治能力，使重大传染病得到有效防治，提升公共卫生服务水平。4、对现有艾滋病病例进行规范随访管理CD4检测比例达到99%以上，糖尿病患者血糖控制率达到89%，提升对特殊</w:t>
      </w:r>
      <w:r>
        <w:rPr>
          <w:rFonts w:hint="eastAsia" w:ascii="仿宋_GB2312" w:hAnsi="仿宋_GB2312" w:eastAsia="仿宋_GB2312"/>
          <w:b w:val="0"/>
          <w:sz w:val="32"/>
          <w:lang w:eastAsia="zh-CN"/>
        </w:rPr>
        <w:t>群体</w:t>
      </w:r>
      <w:r>
        <w:rPr>
          <w:rFonts w:ascii="仿宋_GB2312" w:hAnsi="仿宋_GB2312" w:eastAsia="仿宋_GB2312"/>
          <w:b w:val="0"/>
          <w:sz w:val="32"/>
        </w:rPr>
        <w:t>健康管理水平。发现的问题及原因：一是相关绩效管理方面专业知识的系统性学习有待加强。各项指标的设置要进一步优化、完善，主要在细化、量化上改进。在绩效自评过程中，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w:t>
      </w:r>
      <w:r>
        <w:rPr>
          <w:rFonts w:hint="eastAsia" w:ascii="仿宋_GB2312" w:hAnsi="仿宋_GB2312" w:eastAsia="仿宋_GB2312"/>
          <w:b w:val="0"/>
          <w:sz w:val="32"/>
          <w:lang w:eastAsia="zh-CN"/>
        </w:rPr>
        <w:t>造成</w:t>
      </w:r>
      <w:r>
        <w:rPr>
          <w:rFonts w:ascii="仿宋_GB2312" w:hAnsi="仿宋_GB2312" w:eastAsia="仿宋_GB2312"/>
          <w:b w:val="0"/>
          <w:sz w:val="32"/>
        </w:rPr>
        <w:t>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w:t>
      </w:r>
    </w:p>
    <w:p w14:paraId="19E25C6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2A922B1">
        <w:tc>
          <w:tcPr>
            <w:tcW w:w="8840" w:type="dxa"/>
            <w:gridSpan w:val="8"/>
            <w:vAlign w:val="center"/>
          </w:tcPr>
          <w:p w14:paraId="5113CF59">
            <w:pPr>
              <w:jc w:val="center"/>
            </w:pPr>
            <w:r>
              <w:rPr>
                <w:rFonts w:ascii="宋体" w:hAnsi="宋体" w:eastAsia="宋体"/>
                <w:sz w:val="24"/>
              </w:rPr>
              <w:t>单位整体支出绩效自评表</w:t>
            </w:r>
          </w:p>
        </w:tc>
      </w:tr>
      <w:tr w14:paraId="1B4F8F70">
        <w:tblPrEx>
          <w:tblCellMar>
            <w:top w:w="0" w:type="dxa"/>
            <w:left w:w="108" w:type="dxa"/>
            <w:bottom w:w="0" w:type="dxa"/>
            <w:right w:w="108" w:type="dxa"/>
          </w:tblCellMar>
        </w:tblPrEx>
        <w:tc>
          <w:tcPr>
            <w:tcW w:w="8840" w:type="dxa"/>
            <w:gridSpan w:val="8"/>
            <w:vAlign w:val="center"/>
          </w:tcPr>
          <w:p w14:paraId="72A09A8B">
            <w:pPr>
              <w:jc w:val="center"/>
            </w:pPr>
            <w:r>
              <w:rPr>
                <w:rFonts w:ascii="宋体" w:hAnsi="宋体" w:eastAsia="宋体"/>
                <w:sz w:val="24"/>
              </w:rPr>
              <w:t>（2024年度）</w:t>
            </w:r>
          </w:p>
        </w:tc>
      </w:tr>
      <w:tr w14:paraId="4D3162D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2468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176072">
            <w:pPr>
              <w:jc w:val="center"/>
            </w:pPr>
            <w:r>
              <w:rPr>
                <w:rFonts w:ascii="宋体" w:hAnsi="宋体" w:eastAsia="宋体"/>
                <w:sz w:val="16"/>
              </w:rPr>
              <w:t>轮台县疾病预防控制中心</w:t>
            </w:r>
          </w:p>
        </w:tc>
      </w:tr>
      <w:tr w14:paraId="1D5F1B2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9191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ED3F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643B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5571B">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64E36">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E805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46D6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0E01E">
            <w:pPr>
              <w:jc w:val="center"/>
            </w:pPr>
            <w:r>
              <w:rPr>
                <w:rFonts w:ascii="宋体" w:hAnsi="宋体" w:eastAsia="宋体"/>
                <w:sz w:val="16"/>
              </w:rPr>
              <w:t>得分</w:t>
            </w:r>
          </w:p>
        </w:tc>
      </w:tr>
      <w:tr w14:paraId="5344B7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6D8A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B917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4033C">
            <w:pPr>
              <w:jc w:val="center"/>
            </w:pPr>
            <w:r>
              <w:rPr>
                <w:rFonts w:ascii="宋体" w:hAnsi="宋体" w:eastAsia="宋体"/>
                <w:sz w:val="16"/>
              </w:rPr>
              <w:t>606.04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06C415">
            <w:pPr>
              <w:jc w:val="center"/>
            </w:pPr>
            <w:r>
              <w:rPr>
                <w:rFonts w:ascii="宋体" w:hAnsi="宋体" w:eastAsia="宋体"/>
                <w:sz w:val="16"/>
              </w:rPr>
              <w:t>835.17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80C75">
            <w:pPr>
              <w:jc w:val="center"/>
            </w:pPr>
            <w:r>
              <w:rPr>
                <w:rFonts w:ascii="宋体" w:hAnsi="宋体" w:eastAsia="宋体"/>
                <w:sz w:val="16"/>
              </w:rPr>
              <w:t>834.40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ACB4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E9BF3">
            <w:pPr>
              <w:jc w:val="center"/>
            </w:pPr>
            <w:r>
              <w:rPr>
                <w:rFonts w:ascii="宋体" w:hAnsi="宋体" w:eastAsia="宋体"/>
                <w:sz w:val="16"/>
              </w:rPr>
              <w:t>99.91%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2F77A">
            <w:pPr>
              <w:jc w:val="center"/>
            </w:pPr>
            <w:r>
              <w:rPr>
                <w:rFonts w:ascii="宋体" w:hAnsi="宋体" w:eastAsia="宋体"/>
                <w:sz w:val="16"/>
              </w:rPr>
              <w:t>9.99</w:t>
            </w:r>
          </w:p>
        </w:tc>
      </w:tr>
      <w:tr w14:paraId="32A56A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5E12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D4ED2">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272F2">
            <w:pPr>
              <w:jc w:val="center"/>
            </w:pPr>
            <w:r>
              <w:rPr>
                <w:rFonts w:ascii="宋体" w:hAnsi="宋体" w:eastAsia="宋体"/>
                <w:sz w:val="16"/>
              </w:rPr>
              <w:t>5.24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1C347">
            <w:pPr>
              <w:jc w:val="center"/>
            </w:pPr>
            <w:r>
              <w:rPr>
                <w:rFonts w:ascii="宋体" w:hAnsi="宋体" w:eastAsia="宋体"/>
                <w:sz w:val="16"/>
              </w:rPr>
              <w:t>264.02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54A1F">
            <w:pPr>
              <w:jc w:val="center"/>
            </w:pPr>
            <w:r>
              <w:rPr>
                <w:rFonts w:ascii="宋体" w:hAnsi="宋体" w:eastAsia="宋体"/>
                <w:sz w:val="16"/>
              </w:rPr>
              <w:t>264.02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F18B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D5F8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CC7C0">
            <w:pPr>
              <w:jc w:val="center"/>
            </w:pPr>
            <w:r>
              <w:rPr>
                <w:rFonts w:ascii="宋体" w:hAnsi="宋体" w:eastAsia="宋体"/>
                <w:sz w:val="16"/>
              </w:rPr>
              <w:t>-</w:t>
            </w:r>
          </w:p>
        </w:tc>
      </w:tr>
      <w:tr w14:paraId="6772F9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9439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8CBDD">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DDAC7">
            <w:pPr>
              <w:jc w:val="center"/>
            </w:pPr>
            <w:r>
              <w:rPr>
                <w:rFonts w:ascii="宋体" w:hAnsi="宋体" w:eastAsia="宋体"/>
                <w:sz w:val="16"/>
              </w:rPr>
              <w:t>600.80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F6AB5">
            <w:pPr>
              <w:jc w:val="center"/>
            </w:pPr>
            <w:r>
              <w:rPr>
                <w:rFonts w:ascii="宋体" w:hAnsi="宋体" w:eastAsia="宋体"/>
                <w:sz w:val="16"/>
              </w:rPr>
              <w:t>570.38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983FF">
            <w:pPr>
              <w:jc w:val="center"/>
            </w:pPr>
            <w:r>
              <w:rPr>
                <w:rFonts w:ascii="宋体" w:hAnsi="宋体" w:eastAsia="宋体"/>
                <w:sz w:val="16"/>
              </w:rPr>
              <w:t>570.38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BD3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FCE7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EF3F9">
            <w:pPr>
              <w:jc w:val="center"/>
            </w:pPr>
            <w:r>
              <w:rPr>
                <w:rFonts w:ascii="宋体" w:hAnsi="宋体" w:eastAsia="宋体"/>
                <w:sz w:val="16"/>
              </w:rPr>
              <w:t>-</w:t>
            </w:r>
          </w:p>
        </w:tc>
      </w:tr>
      <w:tr w14:paraId="0A5B4D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FD90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4DB5A">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EB46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4BA8BC">
            <w:pPr>
              <w:jc w:val="center"/>
            </w:pPr>
            <w:r>
              <w:rPr>
                <w:rFonts w:ascii="宋体" w:hAnsi="宋体" w:eastAsia="宋体"/>
                <w:sz w:val="16"/>
              </w:rPr>
              <w:t>0.77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B1A9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82C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CA81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9F359">
            <w:pPr>
              <w:jc w:val="center"/>
            </w:pPr>
            <w:r>
              <w:rPr>
                <w:rFonts w:ascii="宋体" w:hAnsi="宋体" w:eastAsia="宋体"/>
                <w:sz w:val="16"/>
              </w:rPr>
              <w:t>-</w:t>
            </w:r>
          </w:p>
        </w:tc>
      </w:tr>
      <w:tr w14:paraId="3CDF633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E03E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4C43B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59364C">
            <w:pPr>
              <w:jc w:val="center"/>
            </w:pPr>
            <w:r>
              <w:rPr>
                <w:rFonts w:ascii="宋体" w:hAnsi="宋体" w:eastAsia="宋体"/>
                <w:sz w:val="16"/>
              </w:rPr>
              <w:t>实际完成情况</w:t>
            </w:r>
          </w:p>
        </w:tc>
      </w:tr>
      <w:tr w14:paraId="47E668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EC8BD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6AEE9C">
            <w:pPr>
              <w:jc w:val="both"/>
            </w:pPr>
            <w:r>
              <w:rPr>
                <w:rFonts w:hint="eastAsia" w:ascii="宋体" w:hAnsi="宋体"/>
                <w:sz w:val="16"/>
                <w:lang w:eastAsia="zh-CN"/>
              </w:rPr>
              <w:t>1.</w:t>
            </w:r>
            <w:r>
              <w:rPr>
                <w:rFonts w:ascii="宋体" w:hAnsi="宋体" w:eastAsia="宋体"/>
                <w:sz w:val="16"/>
              </w:rPr>
              <w:t>传染病和突发公共卫生事件报告及时率达到100%，持续强化传染病防控指挥体系的建设和运行，确保处置迅速、有效。</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2、适龄儿童国家免疫规划疫苗接种率达到99%以上， 符合治疗条件的病例接受抗病毒治疗比例达到98%以上，确保疫苗接种率达到目标水平，并提高公众的疫苗接种意识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高危人群布病筛查1000人次，监管场所监测检测人数857人，包虫病人群B超筛查人次6900人次、城乡饮用水监测水样份数64份，提升基层工作人员防控水平和救治能力，使重大传染病得到有效防治，提升公共卫生服务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4、对现有艾滋病病例进行规范随访管理CD4检测比例达到99%以上，糖尿病患者血糖控制率达到89%，提升对特殊</w:t>
            </w:r>
            <w:r>
              <w:rPr>
                <w:rFonts w:hint="eastAsia" w:ascii="宋体" w:hAnsi="宋体"/>
                <w:sz w:val="16"/>
                <w:lang w:eastAsia="zh-CN"/>
              </w:rPr>
              <w:t>群体</w:t>
            </w:r>
            <w:r>
              <w:rPr>
                <w:rFonts w:ascii="宋体" w:hAnsi="宋体" w:eastAsia="宋体"/>
                <w:sz w:val="16"/>
              </w:rPr>
              <w:t>健康管理水平。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1BFCC7">
            <w:pPr>
              <w:jc w:val="both"/>
            </w:pPr>
            <w:r>
              <w:rPr>
                <w:rFonts w:ascii="宋体" w:hAnsi="宋体" w:eastAsia="宋体"/>
                <w:sz w:val="16"/>
              </w:rPr>
              <w:t>为贯彻落实扩大国家免疫规划、艾滋病防治、结核病防治、包虫病防治、精神卫生与慢性非传染性疾病防治、重点传染病及健康危害因素监测等单位职能，2024年已完成：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1、传染病和突发公共卫生事件报告及时率100%，持续强化传染病防控指挥体系的建设和运行，确保处置迅速、有效。</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2、适龄儿童国家免疫规划疫苗接种率99.25%， 符合治疗条件的病例接受抗病毒治疗比例达到98.33%以上，确保疫苗接种率达到目标水平，并提高公众的疫苗接种意识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高危人群布病筛查1001人次，监管场所监测检测人数857人，包虫病人群B超筛查人次6900人次、城乡饮用水监测水样份数64份，提升基层工作人员防控水平和救治能力，使重大传染病得到有效防治，提升公共卫生服务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4、对现有艾滋病病例进行规范随访管理CD4检测比例100%，糖尿病患者血糖控制率达到89.44%，提升对特殊</w:t>
            </w:r>
            <w:r>
              <w:rPr>
                <w:rFonts w:hint="eastAsia" w:ascii="宋体" w:hAnsi="宋体"/>
                <w:sz w:val="16"/>
                <w:lang w:eastAsia="zh-CN"/>
              </w:rPr>
              <w:t>群体</w:t>
            </w:r>
            <w:r>
              <w:rPr>
                <w:rFonts w:ascii="宋体" w:hAnsi="宋体" w:eastAsia="宋体"/>
                <w:sz w:val="16"/>
              </w:rPr>
              <w:t>健康管理水平。</w:t>
            </w:r>
          </w:p>
        </w:tc>
      </w:tr>
      <w:tr w14:paraId="280F00D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F00E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C4DF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4ECF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AFD756">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A443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3B23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AF8B2">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E2AAF">
            <w:pPr>
              <w:jc w:val="center"/>
            </w:pPr>
            <w:r>
              <w:rPr>
                <w:rFonts w:ascii="宋体" w:hAnsi="宋体" w:eastAsia="宋体"/>
                <w:sz w:val="16"/>
              </w:rPr>
              <w:t>得分</w:t>
            </w:r>
          </w:p>
        </w:tc>
      </w:tr>
      <w:tr w14:paraId="51D92D9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DDC0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7AF9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3982A">
            <w:pPr>
              <w:jc w:val="center"/>
            </w:pPr>
            <w:r>
              <w:rPr>
                <w:rFonts w:ascii="宋体" w:hAnsi="宋体" w:eastAsia="宋体"/>
                <w:sz w:val="16"/>
              </w:rPr>
              <w:t>传染病和突发公共卫生事件报告及时率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2D5C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861E7">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DCC8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B87B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5031A">
            <w:pPr>
              <w:jc w:val="center"/>
            </w:pPr>
            <w:r>
              <w:rPr>
                <w:rFonts w:ascii="宋体" w:hAnsi="宋体" w:eastAsia="宋体"/>
                <w:sz w:val="16"/>
              </w:rPr>
              <w:t>10</w:t>
            </w:r>
          </w:p>
        </w:tc>
      </w:tr>
      <w:tr w14:paraId="5A4C96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40618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2BBF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9F4C9">
            <w:pPr>
              <w:jc w:val="center"/>
            </w:pPr>
            <w:r>
              <w:rPr>
                <w:rFonts w:ascii="宋体" w:hAnsi="宋体" w:eastAsia="宋体"/>
                <w:sz w:val="16"/>
              </w:rPr>
              <w:t>适龄儿童国家免疫规划疫苗接种率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A0C5B">
            <w:pPr>
              <w:jc w:val="center"/>
            </w:pPr>
            <w:r>
              <w:rPr>
                <w:rFonts w:ascii="宋体" w:hAnsi="宋体" w:eastAsia="宋体"/>
                <w:sz w:val="16"/>
              </w:rPr>
              <w:t>&gt;=99%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A9F7C">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662F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AF516">
            <w:pPr>
              <w:jc w:val="center"/>
            </w:pPr>
            <w:r>
              <w:rPr>
                <w:rFonts w:ascii="宋体" w:hAnsi="宋体" w:eastAsia="宋体"/>
                <w:sz w:val="16"/>
              </w:rPr>
              <w:t>99.25%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9EF27">
            <w:pPr>
              <w:jc w:val="center"/>
            </w:pPr>
            <w:r>
              <w:rPr>
                <w:rFonts w:ascii="宋体" w:hAnsi="宋体" w:eastAsia="宋体"/>
                <w:sz w:val="16"/>
              </w:rPr>
              <w:t>10</w:t>
            </w:r>
          </w:p>
        </w:tc>
      </w:tr>
      <w:tr w14:paraId="7799FE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98C4E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E7EA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0E47D">
            <w:pPr>
              <w:jc w:val="center"/>
            </w:pPr>
            <w:r>
              <w:rPr>
                <w:rFonts w:ascii="宋体" w:hAnsi="宋体" w:eastAsia="宋体"/>
                <w:sz w:val="16"/>
              </w:rPr>
              <w:t>高危人群布病筛查人次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EF787">
            <w:pPr>
              <w:jc w:val="center"/>
            </w:pPr>
            <w:r>
              <w:rPr>
                <w:rFonts w:ascii="宋体" w:hAnsi="宋体" w:eastAsia="宋体"/>
                <w:sz w:val="16"/>
              </w:rPr>
              <w:t>&gt;=1000人次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8A8E8">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0F41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663DD">
            <w:pPr>
              <w:jc w:val="center"/>
            </w:pPr>
            <w:r>
              <w:rPr>
                <w:rFonts w:ascii="宋体" w:hAnsi="宋体" w:eastAsia="宋体"/>
                <w:sz w:val="16"/>
              </w:rPr>
              <w:t>1001人次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AF881">
            <w:pPr>
              <w:jc w:val="center"/>
            </w:pPr>
            <w:r>
              <w:rPr>
                <w:rFonts w:ascii="宋体" w:hAnsi="宋体" w:eastAsia="宋体"/>
                <w:sz w:val="16"/>
              </w:rPr>
              <w:t>10</w:t>
            </w:r>
          </w:p>
        </w:tc>
      </w:tr>
      <w:tr w14:paraId="6334D5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5CF6A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A468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13D0D">
            <w:pPr>
              <w:jc w:val="center"/>
            </w:pPr>
            <w:r>
              <w:rPr>
                <w:rFonts w:ascii="宋体" w:hAnsi="宋体" w:eastAsia="宋体"/>
                <w:sz w:val="16"/>
              </w:rPr>
              <w:t>城乡饮用水监测水样份数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04DC9">
            <w:pPr>
              <w:jc w:val="center"/>
            </w:pPr>
            <w:r>
              <w:rPr>
                <w:rFonts w:ascii="宋体" w:hAnsi="宋体" w:eastAsia="宋体"/>
                <w:sz w:val="16"/>
              </w:rPr>
              <w:t>&gt;=64份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4E014">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C718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7DE49">
            <w:pPr>
              <w:jc w:val="center"/>
            </w:pPr>
            <w:r>
              <w:rPr>
                <w:rFonts w:ascii="宋体" w:hAnsi="宋体" w:eastAsia="宋体"/>
                <w:sz w:val="16"/>
              </w:rPr>
              <w:t>64份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D219D">
            <w:pPr>
              <w:jc w:val="center"/>
            </w:pPr>
            <w:r>
              <w:rPr>
                <w:rFonts w:ascii="宋体" w:hAnsi="宋体" w:eastAsia="宋体"/>
                <w:sz w:val="16"/>
              </w:rPr>
              <w:t>10</w:t>
            </w:r>
          </w:p>
        </w:tc>
      </w:tr>
      <w:tr w14:paraId="45BEE0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DFA95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3164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7DCC0">
            <w:pPr>
              <w:jc w:val="center"/>
            </w:pPr>
            <w:r>
              <w:rPr>
                <w:rFonts w:ascii="宋体" w:hAnsi="宋体" w:eastAsia="宋体"/>
                <w:sz w:val="16"/>
              </w:rPr>
              <w:t>包虫病人群B超筛查人次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798022">
            <w:pPr>
              <w:jc w:val="center"/>
            </w:pPr>
            <w:r>
              <w:rPr>
                <w:rFonts w:ascii="宋体" w:hAnsi="宋体" w:eastAsia="宋体"/>
                <w:sz w:val="16"/>
              </w:rPr>
              <w:t>&gt;=6900人次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C3F97">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5DEC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5B558">
            <w:pPr>
              <w:jc w:val="center"/>
            </w:pPr>
            <w:r>
              <w:rPr>
                <w:rFonts w:ascii="宋体" w:hAnsi="宋体" w:eastAsia="宋体"/>
                <w:sz w:val="16"/>
              </w:rPr>
              <w:t>6900人次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0751C">
            <w:pPr>
              <w:jc w:val="center"/>
            </w:pPr>
            <w:r>
              <w:rPr>
                <w:rFonts w:ascii="宋体" w:hAnsi="宋体" w:eastAsia="宋体"/>
                <w:sz w:val="16"/>
              </w:rPr>
              <w:t>10</w:t>
            </w:r>
          </w:p>
        </w:tc>
      </w:tr>
      <w:tr w14:paraId="4A4F42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9E406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C240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C2259C">
            <w:pPr>
              <w:jc w:val="center"/>
            </w:pPr>
            <w:r>
              <w:rPr>
                <w:rFonts w:ascii="宋体" w:hAnsi="宋体" w:eastAsia="宋体"/>
                <w:sz w:val="16"/>
              </w:rPr>
              <w:t>监管场所监测检测人数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BE901">
            <w:pPr>
              <w:jc w:val="center"/>
            </w:pPr>
            <w:r>
              <w:rPr>
                <w:rFonts w:ascii="宋体" w:hAnsi="宋体" w:eastAsia="宋体"/>
                <w:sz w:val="16"/>
              </w:rPr>
              <w:t>&gt;=857人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7F67D">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B345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AB12A">
            <w:pPr>
              <w:jc w:val="center"/>
            </w:pPr>
            <w:r>
              <w:rPr>
                <w:rFonts w:ascii="宋体" w:hAnsi="宋体" w:eastAsia="宋体"/>
                <w:sz w:val="16"/>
              </w:rPr>
              <w:t>857人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7EACB">
            <w:pPr>
              <w:jc w:val="center"/>
            </w:pPr>
            <w:r>
              <w:rPr>
                <w:rFonts w:ascii="宋体" w:hAnsi="宋体" w:eastAsia="宋体"/>
                <w:sz w:val="16"/>
              </w:rPr>
              <w:t>10</w:t>
            </w:r>
          </w:p>
        </w:tc>
      </w:tr>
      <w:tr w14:paraId="04DB44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3B605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6B71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A75D6">
            <w:pPr>
              <w:jc w:val="center"/>
            </w:pPr>
            <w:r>
              <w:rPr>
                <w:rFonts w:ascii="宋体" w:hAnsi="宋体" w:eastAsia="宋体"/>
                <w:sz w:val="16"/>
              </w:rPr>
              <w:t>符合治疗条件的病例接受抗病毒治疗比例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17859">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AC532">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9DD1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4E8F9">
            <w:pPr>
              <w:jc w:val="center"/>
            </w:pPr>
            <w:r>
              <w:rPr>
                <w:rFonts w:ascii="宋体" w:hAnsi="宋体" w:eastAsia="宋体"/>
                <w:sz w:val="16"/>
              </w:rPr>
              <w:t>98.33%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80676">
            <w:pPr>
              <w:jc w:val="center"/>
            </w:pPr>
            <w:r>
              <w:rPr>
                <w:rFonts w:ascii="宋体" w:hAnsi="宋体" w:eastAsia="宋体"/>
                <w:sz w:val="16"/>
              </w:rPr>
              <w:t>10</w:t>
            </w:r>
          </w:p>
        </w:tc>
      </w:tr>
      <w:tr w14:paraId="69204C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66F63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69E50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14062E">
            <w:pPr>
              <w:jc w:val="center"/>
            </w:pPr>
            <w:r>
              <w:rPr>
                <w:rFonts w:ascii="宋体" w:hAnsi="宋体" w:eastAsia="宋体"/>
                <w:sz w:val="16"/>
              </w:rPr>
              <w:t>对现有艾滋病病例进行规范随访管理CD4检测比例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656D5">
            <w:pPr>
              <w:jc w:val="center"/>
            </w:pPr>
            <w:r>
              <w:rPr>
                <w:rFonts w:ascii="宋体" w:hAnsi="宋体" w:eastAsia="宋体"/>
                <w:sz w:val="16"/>
              </w:rPr>
              <w:t>&gt;=99%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13E24">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2584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83D2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8A29DF">
            <w:pPr>
              <w:jc w:val="center"/>
            </w:pPr>
            <w:r>
              <w:rPr>
                <w:rFonts w:ascii="宋体" w:hAnsi="宋体" w:eastAsia="宋体"/>
                <w:sz w:val="16"/>
              </w:rPr>
              <w:t>10</w:t>
            </w:r>
          </w:p>
        </w:tc>
      </w:tr>
      <w:tr w14:paraId="74A19A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F60D5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5A70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CFE15">
            <w:pPr>
              <w:jc w:val="center"/>
            </w:pPr>
            <w:r>
              <w:rPr>
                <w:rFonts w:ascii="宋体" w:hAnsi="宋体" w:eastAsia="宋体"/>
                <w:sz w:val="16"/>
              </w:rPr>
              <w:t>糖尿病患者血糖控制率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7BD78">
            <w:pPr>
              <w:jc w:val="center"/>
            </w:pPr>
            <w:r>
              <w:rPr>
                <w:rFonts w:ascii="宋体" w:hAnsi="宋体" w:eastAsia="宋体"/>
                <w:sz w:val="16"/>
              </w:rPr>
              <w:t>&gt;89%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94107">
            <w:pPr>
              <w:jc w:val="center"/>
            </w:pPr>
            <w:r>
              <w:rPr>
                <w:rFonts w:ascii="宋体" w:hAnsi="宋体" w:eastAsia="宋体"/>
                <w:sz w:val="16"/>
              </w:rPr>
              <w:t>政府工作计划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ADBC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E2128">
            <w:pPr>
              <w:jc w:val="center"/>
            </w:pPr>
            <w:r>
              <w:rPr>
                <w:rFonts w:ascii="宋体" w:hAnsi="宋体" w:eastAsia="宋体"/>
                <w:sz w:val="16"/>
              </w:rPr>
              <w:t>89.44%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AC5EF">
            <w:pPr>
              <w:jc w:val="center"/>
            </w:pPr>
            <w:r>
              <w:rPr>
                <w:rFonts w:ascii="宋体" w:hAnsi="宋体" w:eastAsia="宋体"/>
                <w:sz w:val="16"/>
              </w:rPr>
              <w:t>10</w:t>
            </w:r>
          </w:p>
        </w:tc>
      </w:tr>
    </w:tbl>
    <w:p w14:paraId="4CB53C4F">
      <w:r>
        <w:br w:type="page"/>
      </w:r>
    </w:p>
    <w:tbl>
      <w:tblPr>
        <w:tblStyle w:val="9"/>
        <w:tblW w:w="0" w:type="auto"/>
        <w:tblInd w:w="0" w:type="dxa"/>
        <w:tblLayout w:type="autofit"/>
        <w:tblCellMar>
          <w:top w:w="0" w:type="dxa"/>
          <w:left w:w="108" w:type="dxa"/>
          <w:bottom w:w="0" w:type="dxa"/>
          <w:right w:w="108" w:type="dxa"/>
        </w:tblCellMar>
      </w:tblPr>
      <w:tblGrid>
        <w:gridCol w:w="615"/>
        <w:gridCol w:w="587"/>
        <w:gridCol w:w="587"/>
        <w:gridCol w:w="587"/>
        <w:gridCol w:w="936"/>
        <w:gridCol w:w="587"/>
        <w:gridCol w:w="587"/>
        <w:gridCol w:w="601"/>
        <w:gridCol w:w="587"/>
        <w:gridCol w:w="587"/>
        <w:gridCol w:w="856"/>
        <w:gridCol w:w="616"/>
        <w:gridCol w:w="697"/>
        <w:gridCol w:w="630"/>
      </w:tblGrid>
      <w:tr w14:paraId="52E061A1">
        <w:tc>
          <w:tcPr>
            <w:tcW w:w="8848" w:type="dxa"/>
            <w:gridSpan w:val="14"/>
            <w:vAlign w:val="center"/>
          </w:tcPr>
          <w:p w14:paraId="0390E8D1">
            <w:pPr>
              <w:jc w:val="center"/>
            </w:pPr>
            <w:r>
              <w:rPr>
                <w:rFonts w:ascii="宋体" w:hAnsi="宋体" w:eastAsia="宋体"/>
                <w:sz w:val="24"/>
              </w:rPr>
              <w:t>项目支出绩效自评表</w:t>
            </w:r>
          </w:p>
        </w:tc>
      </w:tr>
      <w:tr w14:paraId="36BD7D60">
        <w:tblPrEx>
          <w:tblCellMar>
            <w:top w:w="0" w:type="dxa"/>
            <w:left w:w="108" w:type="dxa"/>
            <w:bottom w:w="0" w:type="dxa"/>
            <w:right w:w="108" w:type="dxa"/>
          </w:tblCellMar>
        </w:tblPrEx>
        <w:tc>
          <w:tcPr>
            <w:tcW w:w="8848" w:type="dxa"/>
            <w:gridSpan w:val="14"/>
            <w:vAlign w:val="center"/>
          </w:tcPr>
          <w:p w14:paraId="19A59DEA">
            <w:pPr>
              <w:jc w:val="center"/>
            </w:pPr>
            <w:r>
              <w:rPr>
                <w:rFonts w:ascii="宋体" w:hAnsi="宋体" w:eastAsia="宋体"/>
                <w:sz w:val="24"/>
              </w:rPr>
              <w:t>(2024年度)</w:t>
            </w:r>
          </w:p>
        </w:tc>
      </w:tr>
      <w:tr w14:paraId="37472B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BB5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D7815E">
            <w:pPr>
              <w:jc w:val="center"/>
            </w:pPr>
            <w:r>
              <w:rPr>
                <w:rFonts w:ascii="宋体" w:hAnsi="宋体" w:eastAsia="宋体"/>
                <w:sz w:val="16"/>
              </w:rPr>
              <w:t>疾控中心：巴财社</w:t>
            </w:r>
            <w:r>
              <w:rPr>
                <w:rFonts w:hint="eastAsia" w:ascii="宋体" w:hAnsi="宋体"/>
                <w:sz w:val="16"/>
                <w:lang w:eastAsia="zh-CN"/>
              </w:rPr>
              <w:t>〔2023〕54号</w:t>
            </w:r>
            <w:r>
              <w:rPr>
                <w:rFonts w:ascii="宋体" w:hAnsi="宋体" w:eastAsia="宋体"/>
                <w:sz w:val="16"/>
              </w:rPr>
              <w:t>关于拨付2023年中央医疗服务与保障能力提升[医疗卫生机构能力建设、卫生健康人才培养]补助资金</w:t>
            </w:r>
          </w:p>
        </w:tc>
      </w:tr>
      <w:tr w14:paraId="164A26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D5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7817EC">
            <w:pPr>
              <w:jc w:val="center"/>
            </w:pPr>
            <w:r>
              <w:rPr>
                <w:rFonts w:ascii="宋体" w:hAnsi="宋体" w:eastAsia="宋体"/>
                <w:sz w:val="16"/>
              </w:rPr>
              <w:t>轮台县疾病预防控制中心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C14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0B9777">
            <w:pPr>
              <w:jc w:val="center"/>
            </w:pPr>
            <w:r>
              <w:rPr>
                <w:rFonts w:ascii="宋体" w:hAnsi="宋体" w:eastAsia="宋体"/>
                <w:sz w:val="16"/>
              </w:rPr>
              <w:t>轮台县疾病预防控制中心</w:t>
            </w:r>
          </w:p>
        </w:tc>
      </w:tr>
      <w:tr w14:paraId="14114A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3F65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23D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136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9D9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FCC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60E7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A009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7E20">
            <w:pPr>
              <w:jc w:val="center"/>
            </w:pPr>
            <w:r>
              <w:rPr>
                <w:rFonts w:ascii="宋体" w:hAnsi="宋体" w:eastAsia="宋体"/>
                <w:sz w:val="16"/>
              </w:rPr>
              <w:t>得分</w:t>
            </w:r>
          </w:p>
        </w:tc>
      </w:tr>
      <w:tr w14:paraId="01EB56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17142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674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83F8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4F55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33D3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BED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D8A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D893A">
            <w:pPr>
              <w:jc w:val="center"/>
            </w:pPr>
            <w:r>
              <w:rPr>
                <w:rFonts w:ascii="宋体" w:hAnsi="宋体" w:eastAsia="宋体"/>
                <w:sz w:val="16"/>
              </w:rPr>
              <w:t>10.00</w:t>
            </w:r>
          </w:p>
        </w:tc>
      </w:tr>
      <w:tr w14:paraId="3FF3E7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ECD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D7B4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6110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828D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986C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CBA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422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38C4">
            <w:pPr>
              <w:jc w:val="center"/>
            </w:pPr>
            <w:r>
              <w:rPr>
                <w:rFonts w:ascii="宋体" w:hAnsi="宋体" w:eastAsia="宋体"/>
                <w:sz w:val="16"/>
              </w:rPr>
              <w:t>-</w:t>
            </w:r>
          </w:p>
        </w:tc>
      </w:tr>
      <w:tr w14:paraId="22963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DE1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B404B">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BD7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016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B70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D4C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E28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E21B">
            <w:pPr>
              <w:jc w:val="center"/>
            </w:pPr>
            <w:r>
              <w:rPr>
                <w:rFonts w:ascii="宋体" w:hAnsi="宋体" w:eastAsia="宋体"/>
                <w:sz w:val="16"/>
              </w:rPr>
              <w:t>-</w:t>
            </w:r>
          </w:p>
        </w:tc>
      </w:tr>
      <w:tr w14:paraId="4FDBFC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8AAA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31463">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81772A">
            <w:pPr>
              <w:jc w:val="center"/>
            </w:pPr>
            <w:r>
              <w:rPr>
                <w:rFonts w:ascii="宋体" w:hAnsi="宋体" w:eastAsia="宋体"/>
                <w:sz w:val="16"/>
              </w:rPr>
              <w:t>总体目标完成情况</w:t>
            </w:r>
          </w:p>
        </w:tc>
      </w:tr>
      <w:tr w14:paraId="45C9F0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F44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D9A741">
            <w:pPr>
              <w:jc w:val="both"/>
            </w:pPr>
            <w:r>
              <w:rPr>
                <w:rFonts w:ascii="宋体" w:hAnsi="宋体" w:eastAsia="宋体"/>
                <w:sz w:val="16"/>
              </w:rPr>
              <w:t>根据《巴财社</w:t>
            </w:r>
            <w:r>
              <w:rPr>
                <w:rFonts w:hint="eastAsia" w:ascii="宋体" w:hAnsi="宋体"/>
                <w:sz w:val="16"/>
                <w:lang w:eastAsia="zh-CN"/>
              </w:rPr>
              <w:t>〔2023〕54号</w:t>
            </w:r>
            <w:r>
              <w:rPr>
                <w:rFonts w:ascii="宋体" w:hAnsi="宋体" w:eastAsia="宋体"/>
                <w:sz w:val="16"/>
              </w:rPr>
              <w:t>关于拨付2023年中央医疗服务与保障能力提升[医疗卫生机构能力建设、卫生健康人才培养]补助资金的通知》，《医疗卫生机构能力建设、卫生健康人才培养“十四五”规划》文件要求，落实本单位“加强卫生健康人才培养”的单位职能：</w:t>
            </w:r>
            <w:r>
              <w:rPr>
                <w:rFonts w:ascii="宋体" w:hAnsi="宋体" w:eastAsia="宋体"/>
                <w:sz w:val="16"/>
              </w:rPr>
              <w:br w:type="textWrapping"/>
            </w:r>
            <w:r>
              <w:rPr>
                <w:rFonts w:ascii="宋体" w:hAnsi="宋体" w:eastAsia="宋体"/>
                <w:sz w:val="16"/>
              </w:rPr>
              <w:t>目标1：保障17人出差需求，有效提升干部综合素养和能力。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75C8CE">
            <w:pPr>
              <w:jc w:val="both"/>
            </w:pPr>
            <w:r>
              <w:rPr>
                <w:rFonts w:hint="eastAsia" w:ascii="宋体" w:hAnsi="宋体"/>
                <w:sz w:val="16"/>
                <w:lang w:eastAsia="zh-CN"/>
              </w:rPr>
              <w:t>本单位</w:t>
            </w:r>
            <w:r>
              <w:rPr>
                <w:rFonts w:ascii="宋体" w:hAnsi="宋体" w:eastAsia="宋体"/>
                <w:sz w:val="16"/>
              </w:rPr>
              <w:t>本年度严格执行《医疗卫生机构能力建设、卫生健康人才培养“十四五”规划》文件要求，已完成保障17人出差需求，有效提升了干部综合素养和能力。</w:t>
            </w:r>
          </w:p>
        </w:tc>
      </w:tr>
      <w:tr w14:paraId="696B8C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D21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CE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6D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8A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588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F4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54EA">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0778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56F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3198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B0A0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3BFD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D0C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FAE8">
            <w:pPr>
              <w:jc w:val="center"/>
            </w:pPr>
            <w:r>
              <w:rPr>
                <w:rFonts w:ascii="宋体" w:hAnsi="宋体" w:eastAsia="宋体"/>
                <w:sz w:val="16"/>
              </w:rPr>
              <w:t>偏差原因分析及改进措施</w:t>
            </w:r>
          </w:p>
        </w:tc>
      </w:tr>
      <w:tr w14:paraId="6CA9E6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BE8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30C8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E3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A9F9">
            <w:pPr>
              <w:jc w:val="center"/>
            </w:pPr>
            <w:r>
              <w:rPr>
                <w:rFonts w:ascii="宋体" w:hAnsi="宋体" w:eastAsia="宋体"/>
                <w:sz w:val="16"/>
              </w:rPr>
              <w:t>保障出差办公人员人数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2B63">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E61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C5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77B9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81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9F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9427B">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6D7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51B8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5110">
            <w:pPr>
              <w:jc w:val="center"/>
            </w:pPr>
          </w:p>
        </w:tc>
      </w:tr>
      <w:tr w14:paraId="2ECB38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AC2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907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23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2AE3">
            <w:pPr>
              <w:jc w:val="center"/>
            </w:pPr>
            <w:r>
              <w:rPr>
                <w:rFonts w:ascii="宋体" w:hAnsi="宋体" w:eastAsia="宋体"/>
                <w:sz w:val="16"/>
              </w:rPr>
              <w:t>差旅费经费报销准确率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C4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FE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C32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825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99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AFF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B25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19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17A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6D82">
            <w:pPr>
              <w:jc w:val="center"/>
            </w:pPr>
          </w:p>
        </w:tc>
      </w:tr>
      <w:tr w14:paraId="07497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38D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72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7CC4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6706">
            <w:pPr>
              <w:jc w:val="center"/>
            </w:pPr>
            <w:r>
              <w:rPr>
                <w:rFonts w:ascii="宋体" w:hAnsi="宋体" w:eastAsia="宋体"/>
                <w:sz w:val="16"/>
              </w:rPr>
              <w:t>差旅费经费报销及时率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2E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3D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CC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20C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83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BB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84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F9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FE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9118">
            <w:pPr>
              <w:jc w:val="center"/>
            </w:pPr>
          </w:p>
        </w:tc>
      </w:tr>
      <w:tr w14:paraId="118A0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09D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BCA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50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40B1">
            <w:pPr>
              <w:jc w:val="center"/>
            </w:pPr>
            <w:r>
              <w:rPr>
                <w:rFonts w:ascii="宋体" w:hAnsi="宋体" w:eastAsia="宋体"/>
                <w:sz w:val="16"/>
              </w:rPr>
              <w:t>出差人均支出标准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5A3D">
            <w:pPr>
              <w:jc w:val="center"/>
            </w:pPr>
            <w:r>
              <w:rPr>
                <w:rFonts w:ascii="宋体" w:hAnsi="宋体" w:eastAsia="宋体"/>
                <w:sz w:val="16"/>
              </w:rPr>
              <w:t>&lt;=1176.47元/人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C3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F52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5A4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E6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40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E0E4">
            <w:pPr>
              <w:jc w:val="center"/>
            </w:pPr>
            <w:r>
              <w:rPr>
                <w:rFonts w:ascii="宋体" w:hAnsi="宋体" w:eastAsia="宋体"/>
                <w:sz w:val="16"/>
              </w:rPr>
              <w:t>=1176.47元/人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2E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75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CD20">
            <w:pPr>
              <w:jc w:val="center"/>
            </w:pPr>
          </w:p>
        </w:tc>
      </w:tr>
      <w:tr w14:paraId="13BD4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2EF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7C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CF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4DDB">
            <w:pPr>
              <w:jc w:val="center"/>
            </w:pPr>
            <w:r>
              <w:rPr>
                <w:rFonts w:ascii="宋体" w:hAnsi="宋体" w:eastAsia="宋体"/>
                <w:sz w:val="16"/>
              </w:rPr>
              <w:t>提升干部综合素养和能力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F982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539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8A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BC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0E9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7FF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9D77">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242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716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CF3D">
            <w:pPr>
              <w:jc w:val="center"/>
            </w:pPr>
          </w:p>
        </w:tc>
      </w:tr>
      <w:tr w14:paraId="7A4AF7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F77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04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A4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980C">
            <w:pPr>
              <w:jc w:val="center"/>
            </w:pPr>
            <w:r>
              <w:rPr>
                <w:rFonts w:ascii="宋体" w:hAnsi="宋体" w:eastAsia="宋体"/>
                <w:sz w:val="16"/>
              </w:rPr>
              <w:t>出差人员满意度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CBA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16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51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2C7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FFF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7A9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CBFA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43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860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6BA6">
            <w:pPr>
              <w:jc w:val="center"/>
            </w:pPr>
          </w:p>
        </w:tc>
      </w:tr>
      <w:tr w14:paraId="7768851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9740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5DB6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C610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B32C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2E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7A47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ED6F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37C0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C6AB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800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8843EB"/>
        </w:tc>
      </w:tr>
    </w:tbl>
    <w:p w14:paraId="47D323A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D3B1B1F">
        <w:tblPrEx>
          <w:tblCellMar>
            <w:top w:w="0" w:type="dxa"/>
            <w:left w:w="108" w:type="dxa"/>
            <w:bottom w:w="0" w:type="dxa"/>
            <w:right w:w="108" w:type="dxa"/>
          </w:tblCellMar>
        </w:tblPrEx>
        <w:tc>
          <w:tcPr>
            <w:tcW w:w="8848" w:type="dxa"/>
            <w:gridSpan w:val="14"/>
            <w:vAlign w:val="center"/>
          </w:tcPr>
          <w:p w14:paraId="3FC5CBA8">
            <w:pPr>
              <w:jc w:val="center"/>
            </w:pPr>
            <w:r>
              <w:rPr>
                <w:rFonts w:ascii="宋体" w:hAnsi="宋体" w:eastAsia="宋体"/>
                <w:sz w:val="24"/>
              </w:rPr>
              <w:t>项目支出绩效自评表</w:t>
            </w:r>
          </w:p>
        </w:tc>
      </w:tr>
      <w:tr w14:paraId="5DF8D81A">
        <w:tblPrEx>
          <w:tblCellMar>
            <w:top w:w="0" w:type="dxa"/>
            <w:left w:w="108" w:type="dxa"/>
            <w:bottom w:w="0" w:type="dxa"/>
            <w:right w:w="108" w:type="dxa"/>
          </w:tblCellMar>
        </w:tblPrEx>
        <w:tc>
          <w:tcPr>
            <w:tcW w:w="8848" w:type="dxa"/>
            <w:gridSpan w:val="14"/>
            <w:vAlign w:val="center"/>
          </w:tcPr>
          <w:p w14:paraId="7825ECD8">
            <w:pPr>
              <w:jc w:val="center"/>
            </w:pPr>
            <w:r>
              <w:rPr>
                <w:rFonts w:ascii="宋体" w:hAnsi="宋体" w:eastAsia="宋体"/>
                <w:sz w:val="24"/>
              </w:rPr>
              <w:t>(2024年度)</w:t>
            </w:r>
          </w:p>
        </w:tc>
      </w:tr>
      <w:tr w14:paraId="78CB5C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DA3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696952">
            <w:pPr>
              <w:jc w:val="center"/>
            </w:pPr>
            <w:r>
              <w:rPr>
                <w:rFonts w:ascii="宋体" w:hAnsi="宋体" w:eastAsia="宋体"/>
                <w:sz w:val="16"/>
              </w:rPr>
              <w:t>疾控中心：巴财综</w:t>
            </w:r>
            <w:r>
              <w:rPr>
                <w:rFonts w:hint="eastAsia" w:ascii="宋体" w:hAnsi="宋体"/>
                <w:sz w:val="16"/>
                <w:lang w:eastAsia="zh-CN"/>
              </w:rPr>
              <w:t>〔2024〕10号</w:t>
            </w:r>
            <w:r>
              <w:rPr>
                <w:rFonts w:ascii="宋体" w:hAnsi="宋体" w:eastAsia="宋体"/>
                <w:sz w:val="16"/>
              </w:rPr>
              <w:t>关于下达2024年中央专项彩票公益金支持 地方社会公益事业发展[医疗救助]资金项目</w:t>
            </w:r>
          </w:p>
        </w:tc>
      </w:tr>
      <w:tr w14:paraId="3E39B5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B4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D3787">
            <w:pPr>
              <w:jc w:val="center"/>
            </w:pPr>
            <w:r>
              <w:rPr>
                <w:rFonts w:ascii="宋体" w:hAnsi="宋体" w:eastAsia="宋体"/>
                <w:sz w:val="16"/>
              </w:rPr>
              <w:t>轮台县疾病预防控制中心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4D8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C3A8E1">
            <w:pPr>
              <w:jc w:val="center"/>
            </w:pPr>
            <w:r>
              <w:rPr>
                <w:rFonts w:ascii="宋体" w:hAnsi="宋体" w:eastAsia="宋体"/>
                <w:sz w:val="16"/>
              </w:rPr>
              <w:t>轮台县疾病预防控制中心</w:t>
            </w:r>
          </w:p>
        </w:tc>
      </w:tr>
      <w:tr w14:paraId="244E6F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BFA9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A960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ACB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563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518F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EDCE3">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7BB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B2E2">
            <w:pPr>
              <w:jc w:val="center"/>
            </w:pPr>
            <w:r>
              <w:rPr>
                <w:rFonts w:ascii="宋体" w:hAnsi="宋体" w:eastAsia="宋体"/>
                <w:sz w:val="16"/>
              </w:rPr>
              <w:t>得分</w:t>
            </w:r>
          </w:p>
        </w:tc>
      </w:tr>
      <w:tr w14:paraId="3F7E89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8C0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EBF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D1F8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6385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7E9E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A66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757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F3A01">
            <w:pPr>
              <w:jc w:val="center"/>
            </w:pPr>
            <w:r>
              <w:rPr>
                <w:rFonts w:ascii="宋体" w:hAnsi="宋体" w:eastAsia="宋体"/>
                <w:sz w:val="16"/>
              </w:rPr>
              <w:t>10.00</w:t>
            </w:r>
          </w:p>
        </w:tc>
      </w:tr>
      <w:tr w14:paraId="1F712E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6D0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B05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F9ED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CE2B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52DBF">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780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ECF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7B74">
            <w:pPr>
              <w:jc w:val="center"/>
            </w:pPr>
            <w:r>
              <w:rPr>
                <w:rFonts w:ascii="宋体" w:hAnsi="宋体" w:eastAsia="宋体"/>
                <w:sz w:val="16"/>
              </w:rPr>
              <w:t>-</w:t>
            </w:r>
          </w:p>
        </w:tc>
      </w:tr>
      <w:tr w14:paraId="68221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FF8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744D6">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89C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827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615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E2B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AF1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F080A">
            <w:pPr>
              <w:jc w:val="center"/>
            </w:pPr>
            <w:r>
              <w:rPr>
                <w:rFonts w:ascii="宋体" w:hAnsi="宋体" w:eastAsia="宋体"/>
                <w:sz w:val="16"/>
              </w:rPr>
              <w:t>-</w:t>
            </w:r>
          </w:p>
        </w:tc>
      </w:tr>
      <w:tr w14:paraId="54216C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7D9A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99633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774348">
            <w:pPr>
              <w:jc w:val="center"/>
            </w:pPr>
            <w:r>
              <w:rPr>
                <w:rFonts w:ascii="宋体" w:hAnsi="宋体" w:eastAsia="宋体"/>
                <w:sz w:val="16"/>
              </w:rPr>
              <w:t>总体目标完成情况</w:t>
            </w:r>
          </w:p>
        </w:tc>
      </w:tr>
      <w:tr w14:paraId="3745C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903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244C0E">
            <w:pPr>
              <w:jc w:val="both"/>
            </w:pPr>
            <w:r>
              <w:rPr>
                <w:rFonts w:ascii="宋体" w:hAnsi="宋体" w:eastAsia="宋体"/>
                <w:sz w:val="16"/>
              </w:rPr>
              <w:t>为统筹推进2024年自治区“十大民生实事”之护齿行动项目，根据自治区《关于印发自治区推进2024年民生实事（护齿行动）工作方案的通知》（新卫办发</w:t>
            </w:r>
            <w:r>
              <w:rPr>
                <w:rFonts w:hint="eastAsia" w:ascii="宋体" w:hAnsi="宋体"/>
                <w:sz w:val="16"/>
                <w:lang w:eastAsia="zh-CN"/>
              </w:rPr>
              <w:t>〔</w:t>
            </w:r>
            <w:r>
              <w:rPr>
                <w:rFonts w:ascii="宋体" w:hAnsi="宋体" w:eastAsia="宋体"/>
                <w:sz w:val="16"/>
              </w:rPr>
              <w:t>1024</w:t>
            </w:r>
            <w:r>
              <w:rPr>
                <w:rFonts w:hint="eastAsia" w:ascii="宋体" w:hAnsi="宋体"/>
                <w:sz w:val="16"/>
                <w:lang w:eastAsia="zh-CN"/>
              </w:rPr>
              <w:t>〕</w:t>
            </w:r>
            <w:r>
              <w:rPr>
                <w:rFonts w:ascii="宋体" w:hAnsi="宋体" w:eastAsia="宋体"/>
                <w:sz w:val="16"/>
              </w:rPr>
              <w:t>3号），降低我县儿童龋齿患病率，改善儿童口腔健康状况的单位职能：</w:t>
            </w:r>
            <w:r>
              <w:rPr>
                <w:rFonts w:ascii="宋体" w:hAnsi="宋体" w:eastAsia="宋体"/>
                <w:sz w:val="16"/>
              </w:rPr>
              <w:br w:type="textWrapping"/>
            </w:r>
            <w:r>
              <w:rPr>
                <w:rFonts w:ascii="宋体" w:hAnsi="宋体" w:eastAsia="宋体"/>
                <w:sz w:val="16"/>
              </w:rPr>
              <w:t>目标1：计划开展对儿童口腔局部用氟工作2次，开展口腔局部用氟覆盖学校18家，有效提升儿童口腔健康知识知晓率。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E98B04">
            <w:pPr>
              <w:jc w:val="both"/>
            </w:pPr>
            <w:r>
              <w:rPr>
                <w:rFonts w:hint="eastAsia" w:ascii="宋体" w:hAnsi="宋体"/>
                <w:sz w:val="16"/>
                <w:lang w:eastAsia="zh-CN"/>
              </w:rPr>
              <w:t>本单位</w:t>
            </w:r>
            <w:r>
              <w:rPr>
                <w:rFonts w:ascii="宋体" w:hAnsi="宋体" w:eastAsia="宋体"/>
                <w:sz w:val="16"/>
              </w:rPr>
              <w:t>本年度严格执行《关于印发自治区推进2024年民生实事（护齿行动）工作方案的通知》（新卫办发</w:t>
            </w:r>
            <w:r>
              <w:rPr>
                <w:rFonts w:hint="eastAsia" w:ascii="宋体" w:hAnsi="宋体"/>
                <w:sz w:val="16"/>
                <w:lang w:eastAsia="zh-CN"/>
              </w:rPr>
              <w:t>〔</w:t>
            </w:r>
            <w:r>
              <w:rPr>
                <w:rFonts w:ascii="宋体" w:hAnsi="宋体" w:eastAsia="宋体"/>
                <w:sz w:val="16"/>
              </w:rPr>
              <w:t>1024</w:t>
            </w:r>
            <w:r>
              <w:rPr>
                <w:rFonts w:hint="eastAsia" w:ascii="宋体" w:hAnsi="宋体"/>
                <w:sz w:val="16"/>
                <w:lang w:eastAsia="zh-CN"/>
              </w:rPr>
              <w:t>〕</w:t>
            </w:r>
            <w:r>
              <w:rPr>
                <w:rFonts w:ascii="宋体" w:hAnsi="宋体" w:eastAsia="宋体"/>
                <w:sz w:val="16"/>
              </w:rPr>
              <w:t>3号）文件要求，已完成开展对儿童口腔局部用氟工作2次，开展口腔局部用氟覆盖学校18家，有效提升了儿童口腔健康知识知晓率。</w:t>
            </w:r>
          </w:p>
        </w:tc>
      </w:tr>
      <w:tr w14:paraId="0DA410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3C69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F44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74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6F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3DD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0B6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140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43E6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9DC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023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FC8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311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122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274D">
            <w:pPr>
              <w:jc w:val="center"/>
            </w:pPr>
            <w:r>
              <w:rPr>
                <w:rFonts w:ascii="宋体" w:hAnsi="宋体" w:eastAsia="宋体"/>
                <w:sz w:val="16"/>
              </w:rPr>
              <w:t>偏差原因分析及改进措施</w:t>
            </w:r>
          </w:p>
        </w:tc>
      </w:tr>
      <w:tr w14:paraId="76E31B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B02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B98A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4F6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03EB">
            <w:pPr>
              <w:jc w:val="center"/>
            </w:pPr>
            <w:r>
              <w:rPr>
                <w:rFonts w:ascii="宋体" w:hAnsi="宋体" w:eastAsia="宋体"/>
                <w:sz w:val="16"/>
              </w:rPr>
              <w:t>开展对儿童口腔局部用氟工作次数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1DE7">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6E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D84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63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8F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73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8424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215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37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E7CF">
            <w:pPr>
              <w:jc w:val="center"/>
            </w:pPr>
          </w:p>
        </w:tc>
      </w:tr>
      <w:tr w14:paraId="45916E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5E9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BAD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0DF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3E1B7">
            <w:pPr>
              <w:jc w:val="center"/>
            </w:pPr>
            <w:r>
              <w:rPr>
                <w:rFonts w:ascii="宋体" w:hAnsi="宋体" w:eastAsia="宋体"/>
                <w:sz w:val="16"/>
              </w:rPr>
              <w:t>开展口腔局部用氟覆盖学校数量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5129D">
            <w:pPr>
              <w:jc w:val="center"/>
            </w:pPr>
            <w:r>
              <w:rPr>
                <w:rFonts w:ascii="宋体" w:hAnsi="宋体" w:eastAsia="宋体"/>
                <w:sz w:val="16"/>
              </w:rPr>
              <w:t>&gt;=18家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31F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07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72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E0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9E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4AD06">
            <w:pPr>
              <w:jc w:val="center"/>
            </w:pPr>
            <w:r>
              <w:rPr>
                <w:rFonts w:ascii="宋体" w:hAnsi="宋体" w:eastAsia="宋体"/>
                <w:sz w:val="16"/>
              </w:rPr>
              <w:t>=18家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A43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E9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547A">
            <w:pPr>
              <w:jc w:val="center"/>
            </w:pPr>
          </w:p>
        </w:tc>
      </w:tr>
      <w:tr w14:paraId="1E9DE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37E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528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6C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1EA85">
            <w:pPr>
              <w:jc w:val="center"/>
            </w:pPr>
            <w:r>
              <w:rPr>
                <w:rFonts w:ascii="宋体" w:hAnsi="宋体" w:eastAsia="宋体"/>
                <w:sz w:val="16"/>
              </w:rPr>
              <w:t>开展口腔局部用氟工作合格率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54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07E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4DF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B3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48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1B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4E8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E5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35A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7D01">
            <w:pPr>
              <w:jc w:val="center"/>
            </w:pPr>
          </w:p>
        </w:tc>
      </w:tr>
      <w:tr w14:paraId="726E66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BF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47D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64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E4C1">
            <w:pPr>
              <w:jc w:val="center"/>
            </w:pPr>
            <w:r>
              <w:rPr>
                <w:rFonts w:ascii="宋体" w:hAnsi="宋体" w:eastAsia="宋体"/>
                <w:sz w:val="16"/>
              </w:rPr>
              <w:t>开展口腔局部用氟工作及时率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EF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C1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54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6A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EE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FC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C76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3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F57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C232">
            <w:pPr>
              <w:jc w:val="center"/>
            </w:pPr>
          </w:p>
        </w:tc>
      </w:tr>
      <w:tr w14:paraId="0DC73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144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F91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42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7E94">
            <w:pPr>
              <w:jc w:val="center"/>
            </w:pPr>
            <w:r>
              <w:rPr>
                <w:rFonts w:ascii="宋体" w:hAnsi="宋体" w:eastAsia="宋体"/>
                <w:sz w:val="16"/>
              </w:rPr>
              <w:t>口腔局部用氟工作经费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CA93">
            <w:pPr>
              <w:jc w:val="center"/>
            </w:pPr>
            <w:r>
              <w:rPr>
                <w:rFonts w:ascii="宋体" w:hAnsi="宋体" w:eastAsia="宋体"/>
                <w:sz w:val="16"/>
              </w:rPr>
              <w:t>&lt;=1.50万元/次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71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20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B2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1B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79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80A1">
            <w:pPr>
              <w:jc w:val="center"/>
            </w:pPr>
            <w:r>
              <w:rPr>
                <w:rFonts w:ascii="宋体" w:hAnsi="宋体" w:eastAsia="宋体"/>
                <w:sz w:val="16"/>
              </w:rPr>
              <w:t>=1.5万元/次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50C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D3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A5360">
            <w:pPr>
              <w:jc w:val="center"/>
            </w:pPr>
          </w:p>
        </w:tc>
      </w:tr>
      <w:tr w14:paraId="01D15D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389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133C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070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3E07">
            <w:pPr>
              <w:jc w:val="center"/>
            </w:pPr>
            <w:r>
              <w:rPr>
                <w:rFonts w:ascii="宋体" w:hAnsi="宋体" w:eastAsia="宋体"/>
                <w:sz w:val="16"/>
              </w:rPr>
              <w:t>儿童口腔健康知识知晓率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7A30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2B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9E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56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D94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92B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44A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004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583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2540">
            <w:pPr>
              <w:jc w:val="center"/>
            </w:pPr>
          </w:p>
        </w:tc>
      </w:tr>
      <w:tr w14:paraId="3FBE1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396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8B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16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1FF6">
            <w:pPr>
              <w:jc w:val="center"/>
            </w:pPr>
            <w:r>
              <w:rPr>
                <w:rFonts w:ascii="宋体" w:hAnsi="宋体" w:eastAsia="宋体"/>
                <w:sz w:val="16"/>
              </w:rPr>
              <w:t>受益儿童满意度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130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2F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03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E3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D4E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BBC0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B9A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0C0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95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E057">
            <w:pPr>
              <w:jc w:val="center"/>
            </w:pPr>
          </w:p>
        </w:tc>
      </w:tr>
      <w:tr w14:paraId="5864368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8EE0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ABE7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ECD8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57F9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35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0F8E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DA9F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2B33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088B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B64B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BE484E"/>
        </w:tc>
      </w:tr>
    </w:tbl>
    <w:p w14:paraId="271F1865">
      <w:r>
        <w:br w:type="page"/>
      </w:r>
    </w:p>
    <w:p w14:paraId="0E133DA9">
      <w:pPr>
        <w:spacing w:line="640" w:lineRule="exact"/>
        <w:ind w:firstLine="640"/>
        <w:jc w:val="both"/>
        <w:outlineLvl w:val="2"/>
      </w:pPr>
      <w:r>
        <w:rPr>
          <w:rFonts w:ascii="黑体" w:hAnsi="黑体" w:eastAsia="黑体"/>
          <w:sz w:val="32"/>
        </w:rPr>
        <w:t>十二、其他需说明的事项</w:t>
      </w:r>
    </w:p>
    <w:p w14:paraId="0FED9EC8">
      <w:pPr>
        <w:spacing w:line="580" w:lineRule="exact"/>
        <w:ind w:firstLine="640"/>
        <w:jc w:val="both"/>
      </w:pPr>
      <w:r>
        <w:rPr>
          <w:rFonts w:ascii="仿宋_GB2312" w:hAnsi="仿宋_GB2312" w:eastAsia="仿宋_GB2312"/>
          <w:b w:val="0"/>
          <w:sz w:val="32"/>
        </w:rPr>
        <w:t>本单位无其他需说明的事项。</w:t>
      </w:r>
    </w:p>
    <w:p w14:paraId="5A1E51A5">
      <w:r>
        <w:br w:type="page"/>
      </w:r>
    </w:p>
    <w:p w14:paraId="5BF1988C">
      <w:pPr>
        <w:spacing w:line="240" w:lineRule="auto"/>
        <w:jc w:val="center"/>
        <w:outlineLvl w:val="1"/>
      </w:pPr>
      <w:r>
        <w:rPr>
          <w:rFonts w:ascii="黑体" w:hAnsi="黑体" w:eastAsia="黑体"/>
          <w:sz w:val="32"/>
        </w:rPr>
        <w:t>第三部分 专业名词解释</w:t>
      </w:r>
    </w:p>
    <w:p w14:paraId="74EC799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124EF5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8BF14A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217E94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701EE7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8FAB94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C7FD1A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57FF9D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4296C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3E944B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52FC80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70E3FE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851D37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E3E01D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251DED0">
      <w:r>
        <w:br w:type="page"/>
      </w:r>
    </w:p>
    <w:p w14:paraId="6A2F1478">
      <w:pPr>
        <w:spacing w:line="240" w:lineRule="auto"/>
        <w:jc w:val="center"/>
        <w:outlineLvl w:val="1"/>
      </w:pPr>
      <w:r>
        <w:rPr>
          <w:rFonts w:ascii="黑体" w:hAnsi="黑体" w:eastAsia="黑体"/>
          <w:sz w:val="32"/>
        </w:rPr>
        <w:t>第四部分 部门决算报表（见附表）</w:t>
      </w:r>
    </w:p>
    <w:p w14:paraId="1FDEFCDF">
      <w:pPr>
        <w:spacing w:line="240" w:lineRule="auto"/>
        <w:ind w:firstLine="640"/>
        <w:jc w:val="both"/>
      </w:pPr>
      <w:r>
        <w:rPr>
          <w:rFonts w:ascii="仿宋_GB2312" w:hAnsi="仿宋_GB2312" w:eastAsia="仿宋_GB2312"/>
          <w:b w:val="0"/>
          <w:sz w:val="32"/>
        </w:rPr>
        <w:t>一、《收入支出决算总表》</w:t>
      </w:r>
    </w:p>
    <w:p w14:paraId="5BFFC233">
      <w:pPr>
        <w:spacing w:line="240" w:lineRule="auto"/>
        <w:ind w:firstLine="640"/>
        <w:jc w:val="both"/>
      </w:pPr>
      <w:r>
        <w:rPr>
          <w:rFonts w:ascii="仿宋_GB2312" w:hAnsi="仿宋_GB2312" w:eastAsia="仿宋_GB2312"/>
          <w:b w:val="0"/>
          <w:sz w:val="32"/>
        </w:rPr>
        <w:t>二、《收入决算表》</w:t>
      </w:r>
    </w:p>
    <w:p w14:paraId="730EB912">
      <w:pPr>
        <w:spacing w:line="240" w:lineRule="auto"/>
        <w:ind w:firstLine="640"/>
        <w:jc w:val="both"/>
      </w:pPr>
      <w:r>
        <w:rPr>
          <w:rFonts w:ascii="仿宋_GB2312" w:hAnsi="仿宋_GB2312" w:eastAsia="仿宋_GB2312"/>
          <w:b w:val="0"/>
          <w:sz w:val="32"/>
        </w:rPr>
        <w:t>三、《支出决算表》</w:t>
      </w:r>
    </w:p>
    <w:p w14:paraId="2CF188CC">
      <w:pPr>
        <w:spacing w:line="240" w:lineRule="auto"/>
        <w:ind w:firstLine="640"/>
        <w:jc w:val="both"/>
      </w:pPr>
      <w:r>
        <w:rPr>
          <w:rFonts w:ascii="仿宋_GB2312" w:hAnsi="仿宋_GB2312" w:eastAsia="仿宋_GB2312"/>
          <w:b w:val="0"/>
          <w:sz w:val="32"/>
        </w:rPr>
        <w:t>四、《财政拨款收入支出决算总表》</w:t>
      </w:r>
    </w:p>
    <w:p w14:paraId="4A660ADD">
      <w:pPr>
        <w:spacing w:line="240" w:lineRule="auto"/>
        <w:ind w:firstLine="640"/>
        <w:jc w:val="both"/>
      </w:pPr>
      <w:r>
        <w:rPr>
          <w:rFonts w:ascii="仿宋_GB2312" w:hAnsi="仿宋_GB2312" w:eastAsia="仿宋_GB2312"/>
          <w:b w:val="0"/>
          <w:sz w:val="32"/>
        </w:rPr>
        <w:t>五、《一般公共预算财政拨款支出决算表》</w:t>
      </w:r>
    </w:p>
    <w:p w14:paraId="15580F47">
      <w:pPr>
        <w:spacing w:line="240" w:lineRule="auto"/>
        <w:ind w:firstLine="640"/>
        <w:jc w:val="both"/>
      </w:pPr>
      <w:r>
        <w:rPr>
          <w:rFonts w:ascii="仿宋_GB2312" w:hAnsi="仿宋_GB2312" w:eastAsia="仿宋_GB2312"/>
          <w:b w:val="0"/>
          <w:sz w:val="32"/>
        </w:rPr>
        <w:t>六、《一般公共预算财政拨款基本支出决算表》</w:t>
      </w:r>
    </w:p>
    <w:p w14:paraId="42EF8CF6">
      <w:pPr>
        <w:spacing w:line="240" w:lineRule="auto"/>
        <w:ind w:firstLine="640"/>
        <w:jc w:val="both"/>
      </w:pPr>
      <w:r>
        <w:rPr>
          <w:rFonts w:ascii="仿宋_GB2312" w:hAnsi="仿宋_GB2312" w:eastAsia="仿宋_GB2312"/>
          <w:b w:val="0"/>
          <w:sz w:val="32"/>
        </w:rPr>
        <w:t>七、《政府性基金预算财政拨款收入支出决算表》</w:t>
      </w:r>
    </w:p>
    <w:p w14:paraId="25118261">
      <w:pPr>
        <w:spacing w:line="240" w:lineRule="auto"/>
        <w:ind w:firstLine="640"/>
        <w:jc w:val="both"/>
      </w:pPr>
      <w:r>
        <w:rPr>
          <w:rFonts w:ascii="仿宋_GB2312" w:hAnsi="仿宋_GB2312" w:eastAsia="仿宋_GB2312"/>
          <w:b w:val="0"/>
          <w:sz w:val="32"/>
        </w:rPr>
        <w:t>八、《国有资本经营预算财政拨款收入支出决算表》</w:t>
      </w:r>
    </w:p>
    <w:p w14:paraId="3F8A2914">
      <w:pPr>
        <w:spacing w:line="240" w:lineRule="auto"/>
        <w:ind w:firstLine="640"/>
        <w:jc w:val="both"/>
      </w:pPr>
      <w:r>
        <w:rPr>
          <w:rFonts w:ascii="仿宋_GB2312" w:hAnsi="仿宋_GB2312" w:eastAsia="仿宋_GB2312"/>
          <w:b w:val="0"/>
          <w:sz w:val="32"/>
        </w:rPr>
        <w:t>九、《财政拨款“三公”经费支出决算表》</w:t>
      </w:r>
    </w:p>
    <w:p w14:paraId="17B72918">
      <w:pPr>
        <w:spacing w:line="240" w:lineRule="auto"/>
        <w:ind w:firstLine="640"/>
        <w:jc w:val="both"/>
      </w:pPr>
    </w:p>
    <w:p w14:paraId="2B4A386F">
      <w:pPr>
        <w:spacing w:line="240" w:lineRule="auto"/>
        <w:ind w:firstLine="640"/>
        <w:jc w:val="both"/>
      </w:pPr>
    </w:p>
    <w:p w14:paraId="416F7FAB">
      <w:pPr>
        <w:spacing w:line="240" w:lineRule="auto"/>
        <w:ind w:firstLine="640"/>
        <w:jc w:val="both"/>
      </w:pPr>
    </w:p>
    <w:p w14:paraId="255DCA7F">
      <w:pPr>
        <w:spacing w:line="240" w:lineRule="auto"/>
        <w:ind w:firstLine="640"/>
        <w:jc w:val="both"/>
      </w:pPr>
    </w:p>
    <w:p w14:paraId="609D7AC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5222D6-C1AF-4377-A18F-B9B0C3E586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E1827CC-3DA4-42FC-AEE0-BAC81C7CBC79}"/>
  </w:font>
  <w:font w:name="仿宋_GB2312">
    <w:panose1 w:val="02010609030101010101"/>
    <w:charset w:val="86"/>
    <w:family w:val="auto"/>
    <w:pitch w:val="default"/>
    <w:sig w:usb0="00000001" w:usb1="080E0000" w:usb2="00000000" w:usb3="00000000" w:csb0="00040000" w:csb1="00000000"/>
    <w:embedRegular r:id="rId3" w:fontKey="{462E50C2-9527-49DD-A23A-970EDD29C76D}"/>
  </w:font>
  <w:font w:name="楷体_GB2312">
    <w:panose1 w:val="02010609030101010101"/>
    <w:charset w:val="86"/>
    <w:family w:val="auto"/>
    <w:pitch w:val="default"/>
    <w:sig w:usb0="00000001" w:usb1="080E0000" w:usb2="00000000" w:usb3="00000000" w:csb0="00040000" w:csb1="00000000"/>
    <w:embedRegular r:id="rId4" w:fontKey="{7F6C3075-2648-468B-9D3F-165D31D9D6B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2D01EC"/>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C64874"/>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5F5242"/>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7091</Words>
  <Characters>8107</Characters>
  <Lines>0</Lines>
  <Paragraphs>0</Paragraphs>
  <TotalTime>6</TotalTime>
  <ScaleCrop>false</ScaleCrop>
  <LinksUpToDate>false</LinksUpToDate>
  <CharactersWithSpaces>8117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2025-09-16T05:32:55Z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