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轮台县第五幼儿园2024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AB97BF">
      <w:r>
        <w:br w:type="page"/>
      </w:r>
    </w:p>
    <w:p w14:paraId="4E2D3C09">
      <w:pPr>
        <w:spacing w:line="640" w:lineRule="exact"/>
        <w:jc w:val="center"/>
        <w:outlineLvl w:val="1"/>
      </w:pPr>
      <w:r>
        <w:rPr>
          <w:rFonts w:ascii="黑体" w:hAnsi="黑体" w:eastAsia="黑体"/>
          <w:sz w:val="32"/>
        </w:rPr>
        <w:t>第一部分 单位概况</w:t>
      </w:r>
    </w:p>
    <w:p w14:paraId="0BA16BF8">
      <w:pPr>
        <w:spacing w:line="640" w:lineRule="exact"/>
        <w:ind w:firstLine="640"/>
        <w:jc w:val="both"/>
        <w:outlineLvl w:val="2"/>
      </w:pPr>
      <w:r>
        <w:rPr>
          <w:rFonts w:ascii="黑体" w:hAnsi="黑体" w:eastAsia="黑体"/>
          <w:sz w:val="32"/>
        </w:rPr>
        <w:t>一、主要职能</w:t>
      </w:r>
    </w:p>
    <w:p w14:paraId="1BA8E7A3">
      <w:pPr>
        <w:spacing w:line="580" w:lineRule="exact"/>
        <w:ind w:firstLine="640"/>
        <w:jc w:val="both"/>
      </w:pPr>
      <w:r>
        <w:rPr>
          <w:rFonts w:ascii="仿宋_GB2312" w:hAnsi="仿宋_GB2312" w:eastAsia="仿宋_GB2312"/>
          <w:sz w:val="32"/>
        </w:rPr>
        <w:t>始终坚持依法办园、依法治教，认真贯彻落实《幼儿园工作规程》《幼儿园指导纲要》和《3-6岁幼儿学习与发展指南》精神，秉承现代教育理念，实行保育与教育相结合的原则，对幼儿实施体、智、德、美、劳诸方面全面发展，促进其身心和谐发展，并向家长及社会宣传幼儿教育知识，创造良好的教育环境，形成共育。</w:t>
      </w:r>
    </w:p>
    <w:p w14:paraId="3564A9C1">
      <w:pPr>
        <w:spacing w:line="580" w:lineRule="exact"/>
        <w:ind w:firstLine="640"/>
        <w:jc w:val="both"/>
      </w:pPr>
      <w:r>
        <w:rPr>
          <w:rFonts w:ascii="仿宋_GB2312" w:hAnsi="仿宋_GB2312" w:eastAsia="仿宋_GB2312"/>
          <w:sz w:val="32"/>
        </w:rPr>
        <w:t>1.认真贯彻执行《幼儿园工作规程》，结合本班幼儿的特点和个体差异及时制定好各类教育工作计划，并认真实施，有计划有步骤地开展班级保教工作。</w:t>
      </w:r>
    </w:p>
    <w:p w14:paraId="629041F3">
      <w:pPr>
        <w:spacing w:line="580" w:lineRule="exact"/>
        <w:ind w:firstLine="640"/>
        <w:jc w:val="both"/>
      </w:pPr>
      <w:r>
        <w:rPr>
          <w:rFonts w:ascii="仿宋_GB2312" w:hAnsi="仿宋_GB2312" w:eastAsia="仿宋_GB2312"/>
          <w:sz w:val="32"/>
        </w:rPr>
        <w:t>2.树立正确的儿童观、教育观，热爱幼儿、尊重幼儿，对幼儿做到关心、细心、耐心，不偏爱，坚持正面教育，严禁体罚和变相体罚。</w:t>
      </w:r>
    </w:p>
    <w:p w14:paraId="1464A3C2">
      <w:pPr>
        <w:spacing w:line="580" w:lineRule="exact"/>
        <w:ind w:firstLine="640"/>
        <w:jc w:val="both"/>
      </w:pPr>
      <w:r>
        <w:rPr>
          <w:rFonts w:ascii="仿宋_GB2312" w:hAnsi="仿宋_GB2312" w:eastAsia="仿宋_GB2312"/>
          <w:sz w:val="32"/>
        </w:rPr>
        <w:t>3.认真及时制定教育活动计划，钻研教材，研究教法，引导幼儿主动学习。观察、分析并记录幼儿发展情况，因材施教。</w:t>
      </w:r>
    </w:p>
    <w:p w14:paraId="0642AA31">
      <w:pPr>
        <w:spacing w:line="580" w:lineRule="exact"/>
        <w:ind w:firstLine="640"/>
        <w:jc w:val="both"/>
      </w:pPr>
      <w:r>
        <w:rPr>
          <w:rFonts w:ascii="仿宋_GB2312" w:hAnsi="仿宋_GB2312" w:eastAsia="仿宋_GB2312"/>
          <w:sz w:val="32"/>
        </w:rPr>
        <w:t>4.科学、合理地安排幼儿一日活动，认真执行幼儿园各项教育常规及幼儿园安全、卫生保健制度。定期进行总结，不断提高工作质量。</w:t>
      </w:r>
    </w:p>
    <w:p w14:paraId="4677950B">
      <w:pPr>
        <w:spacing w:line="580" w:lineRule="exact"/>
        <w:ind w:firstLine="640"/>
        <w:jc w:val="both"/>
      </w:pPr>
      <w:r>
        <w:rPr>
          <w:rFonts w:ascii="仿宋_GB2312" w:hAnsi="仿宋_GB2312" w:eastAsia="仿宋_GB2312"/>
          <w:sz w:val="32"/>
        </w:rPr>
        <w:t>5.进班前，必须做好一切准备工作，带班时精力集中，尽心尽责，不随便离开班级，密切关注幼儿的</w:t>
      </w:r>
      <w:r>
        <w:rPr>
          <w:rFonts w:hint="eastAsia" w:ascii="仿宋_GB2312" w:hAnsi="仿宋_GB2312" w:eastAsia="仿宋_GB2312"/>
          <w:sz w:val="32"/>
          <w:lang w:eastAsia="zh-CN"/>
        </w:rPr>
        <w:t>活动</w:t>
      </w:r>
      <w:r>
        <w:rPr>
          <w:rFonts w:ascii="仿宋_GB2312" w:hAnsi="仿宋_GB2312" w:eastAsia="仿宋_GB2312"/>
          <w:sz w:val="32"/>
        </w:rPr>
        <w:t>需求，及时提供适当的指导。注意幼儿安全，预防事故发生。</w:t>
      </w:r>
    </w:p>
    <w:p w14:paraId="769801DF">
      <w:pPr>
        <w:spacing w:line="580" w:lineRule="exact"/>
        <w:ind w:firstLine="640"/>
        <w:jc w:val="both"/>
      </w:pPr>
      <w:r>
        <w:rPr>
          <w:rFonts w:ascii="仿宋_GB2312" w:hAnsi="仿宋_GB2312" w:eastAsia="仿宋_GB2312"/>
          <w:sz w:val="32"/>
        </w:rPr>
        <w:t>6.努力学习幼教专业理论，积极参加教育研究和各种业务进修学习，勇于改革、创新，不断提高自身的业务素质。</w:t>
      </w:r>
    </w:p>
    <w:p w14:paraId="47657B89">
      <w:pPr>
        <w:spacing w:line="580" w:lineRule="exact"/>
        <w:ind w:firstLine="640"/>
        <w:jc w:val="both"/>
      </w:pPr>
      <w:r>
        <w:rPr>
          <w:rFonts w:ascii="仿宋_GB2312" w:hAnsi="仿宋_GB2312" w:eastAsia="仿宋_GB2312"/>
          <w:sz w:val="32"/>
        </w:rPr>
        <w:t>7.根据教育内容，定期更换、精心布置体现幼儿主体地位的活动室环境，为区域活动提供符合本班幼儿发展水平、操作性强、卫生、丰富的玩具和材料。管理好班内一切物品不受损失，保持班内环境、物品的整洁，做好保管区内的清洁工作。</w:t>
      </w:r>
    </w:p>
    <w:p w14:paraId="08FBFF0D">
      <w:pPr>
        <w:spacing w:line="580" w:lineRule="exact"/>
        <w:ind w:firstLine="640"/>
        <w:jc w:val="both"/>
      </w:pPr>
      <w:r>
        <w:rPr>
          <w:rFonts w:ascii="仿宋_GB2312" w:hAnsi="仿宋_GB2312" w:eastAsia="仿宋_GB2312"/>
          <w:sz w:val="32"/>
        </w:rPr>
        <w:t>8.认真做好家长工作，定时和每个幼儿家长保持联系，了解幼儿家庭教育情况，和家长商议符合幼儿特点的教育措施，共同配合完成教育工作。</w:t>
      </w:r>
    </w:p>
    <w:p w14:paraId="2C0BF4F0">
      <w:pPr>
        <w:spacing w:line="640" w:lineRule="exact"/>
        <w:ind w:firstLine="640"/>
        <w:jc w:val="both"/>
        <w:outlineLvl w:val="2"/>
      </w:pPr>
      <w:r>
        <w:rPr>
          <w:rFonts w:ascii="黑体" w:hAnsi="黑体" w:eastAsia="黑体"/>
          <w:sz w:val="32"/>
        </w:rPr>
        <w:t>二、机构设置及人员情况</w:t>
      </w:r>
    </w:p>
    <w:p w14:paraId="2B0C9760">
      <w:pPr>
        <w:spacing w:line="580" w:lineRule="exact"/>
        <w:ind w:firstLine="640"/>
        <w:jc w:val="both"/>
      </w:pPr>
      <w:r>
        <w:rPr>
          <w:rFonts w:ascii="仿宋_GB2312" w:hAnsi="仿宋_GB2312" w:eastAsia="仿宋_GB2312"/>
          <w:sz w:val="32"/>
        </w:rPr>
        <w:t>轮台县第五幼儿园2024年度，实有人数28人，其中：在职人员26人，增加3人；离休人员0人，增加0人；退休人员2人,增加1人。</w:t>
      </w:r>
    </w:p>
    <w:p w14:paraId="17CCEA0C">
      <w:pPr>
        <w:spacing w:line="580" w:lineRule="exact"/>
        <w:ind w:firstLine="640"/>
        <w:jc w:val="both"/>
      </w:pPr>
      <w:r>
        <w:rPr>
          <w:rFonts w:ascii="仿宋_GB2312" w:hAnsi="仿宋_GB2312" w:eastAsia="仿宋_GB2312"/>
          <w:sz w:val="32"/>
        </w:rPr>
        <w:t>轮台县第五幼儿园无下属预算单位，下设5个科室，分别是：党建办公室、行政办公室、财务室、总务处、保教处。</w:t>
      </w:r>
    </w:p>
    <w:p w14:paraId="6269A119">
      <w:r>
        <w:br w:type="page"/>
      </w:r>
    </w:p>
    <w:p w14:paraId="470F9062">
      <w:pPr>
        <w:spacing w:line="240" w:lineRule="auto"/>
        <w:jc w:val="center"/>
        <w:outlineLvl w:val="1"/>
      </w:pPr>
      <w:r>
        <w:rPr>
          <w:rFonts w:ascii="黑体" w:hAnsi="黑体" w:eastAsia="黑体"/>
          <w:sz w:val="32"/>
        </w:rPr>
        <w:t>第二部分 部门决算情况说明</w:t>
      </w:r>
    </w:p>
    <w:p w14:paraId="682002BD">
      <w:pPr>
        <w:spacing w:line="640" w:lineRule="exact"/>
        <w:ind w:firstLine="640"/>
        <w:jc w:val="both"/>
        <w:outlineLvl w:val="2"/>
      </w:pPr>
      <w:r>
        <w:rPr>
          <w:rFonts w:ascii="黑体" w:hAnsi="黑体" w:eastAsia="黑体"/>
          <w:sz w:val="32"/>
        </w:rPr>
        <w:t>一、收入支出决算总体情况说明</w:t>
      </w:r>
    </w:p>
    <w:p w14:paraId="20785BA7">
      <w:pPr>
        <w:spacing w:line="580" w:lineRule="exact"/>
        <w:ind w:firstLine="640"/>
        <w:jc w:val="both"/>
      </w:pPr>
      <w:r>
        <w:rPr>
          <w:rFonts w:ascii="仿宋_GB2312" w:hAnsi="仿宋_GB2312" w:eastAsia="仿宋_GB2312"/>
          <w:b/>
          <w:sz w:val="32"/>
        </w:rPr>
        <w:t>2024年度收入总计418.44万元，</w:t>
      </w:r>
      <w:r>
        <w:rPr>
          <w:rFonts w:ascii="仿宋_GB2312" w:hAnsi="仿宋_GB2312" w:eastAsia="仿宋_GB2312"/>
          <w:b w:val="0"/>
          <w:sz w:val="32"/>
        </w:rPr>
        <w:t>其中：本年收入合计418.44万元，使用非财政拨款结余（含专用结余）0.00万元，年初结转和结余0.00万元。</w:t>
      </w:r>
    </w:p>
    <w:p w14:paraId="52E7D072">
      <w:pPr>
        <w:spacing w:line="580" w:lineRule="exact"/>
        <w:ind w:firstLine="640"/>
        <w:jc w:val="both"/>
      </w:pPr>
      <w:r>
        <w:rPr>
          <w:rFonts w:ascii="仿宋_GB2312" w:hAnsi="仿宋_GB2312" w:eastAsia="仿宋_GB2312"/>
          <w:b/>
          <w:sz w:val="32"/>
        </w:rPr>
        <w:t>2024年度支出总计418.44万元，</w:t>
      </w:r>
      <w:r>
        <w:rPr>
          <w:rFonts w:ascii="仿宋_GB2312" w:hAnsi="仿宋_GB2312" w:eastAsia="仿宋_GB2312"/>
          <w:b w:val="0"/>
          <w:sz w:val="32"/>
        </w:rPr>
        <w:t>其中：本年支出合计418.13万元，结余分配0.00万元，年末结转和结余0.30万元。</w:t>
      </w:r>
    </w:p>
    <w:p w14:paraId="2AD170E8">
      <w:pPr>
        <w:spacing w:line="580" w:lineRule="exact"/>
        <w:ind w:firstLine="640"/>
        <w:jc w:val="both"/>
      </w:pPr>
      <w:r>
        <w:rPr>
          <w:rFonts w:ascii="仿宋_GB2312" w:hAnsi="仿宋_GB2312" w:eastAsia="仿宋_GB2312"/>
          <w:b w:val="0"/>
          <w:sz w:val="32"/>
        </w:rPr>
        <w:t>收入支出总体与上年相比，增加47.40万元，增长12.77%，主要原因是：本年在职人员增加，在职人员工资调增、社保、公积金基数调增，人员经费增加。</w:t>
      </w:r>
    </w:p>
    <w:p w14:paraId="25750AE1">
      <w:pPr>
        <w:spacing w:line="640" w:lineRule="exact"/>
        <w:ind w:firstLine="640"/>
        <w:jc w:val="both"/>
        <w:outlineLvl w:val="2"/>
      </w:pPr>
      <w:r>
        <w:rPr>
          <w:rFonts w:ascii="黑体" w:hAnsi="黑体" w:eastAsia="黑体"/>
          <w:sz w:val="32"/>
        </w:rPr>
        <w:t>二、收入决算情况说明</w:t>
      </w:r>
    </w:p>
    <w:p w14:paraId="245A0193">
      <w:pPr>
        <w:spacing w:line="580" w:lineRule="exact"/>
        <w:ind w:firstLine="640"/>
        <w:jc w:val="both"/>
      </w:pPr>
      <w:r>
        <w:rPr>
          <w:rFonts w:ascii="仿宋_GB2312" w:hAnsi="仿宋_GB2312" w:eastAsia="仿宋_GB2312"/>
          <w:b/>
          <w:sz w:val="32"/>
        </w:rPr>
        <w:t>本年收入418.44万元，</w:t>
      </w:r>
      <w:r>
        <w:rPr>
          <w:rFonts w:ascii="仿宋_GB2312" w:hAnsi="仿宋_GB2312" w:eastAsia="仿宋_GB2312"/>
          <w:b w:val="0"/>
          <w:sz w:val="32"/>
        </w:rPr>
        <w:t>其中：财政拨款收入417.55万元，占99.79%；上级补助收入0.00万元，占0.00%；事业收入0.00万元，占0.00%；经营收入0.00万元，占0.00%；附属单位上缴收入0.00万元，占0.00%；其他收入0.89万元，占0.21%。</w:t>
      </w:r>
    </w:p>
    <w:p w14:paraId="62361D73">
      <w:pPr>
        <w:spacing w:line="640" w:lineRule="exact"/>
        <w:ind w:firstLine="640"/>
        <w:jc w:val="both"/>
        <w:outlineLvl w:val="2"/>
      </w:pPr>
      <w:r>
        <w:rPr>
          <w:rFonts w:ascii="黑体" w:hAnsi="黑体" w:eastAsia="黑体"/>
          <w:sz w:val="32"/>
        </w:rPr>
        <w:t>三、支出决算情况说明</w:t>
      </w:r>
    </w:p>
    <w:p w14:paraId="3A9F940E">
      <w:pPr>
        <w:spacing w:line="580" w:lineRule="exact"/>
        <w:ind w:firstLine="640"/>
        <w:jc w:val="both"/>
      </w:pPr>
      <w:r>
        <w:rPr>
          <w:rFonts w:ascii="仿宋_GB2312" w:hAnsi="仿宋_GB2312" w:eastAsia="仿宋_GB2312"/>
          <w:b/>
          <w:sz w:val="32"/>
        </w:rPr>
        <w:t>本年支出418.13万元，</w:t>
      </w:r>
      <w:r>
        <w:rPr>
          <w:rFonts w:ascii="仿宋_GB2312" w:hAnsi="仿宋_GB2312" w:eastAsia="仿宋_GB2312"/>
          <w:b w:val="0"/>
          <w:sz w:val="32"/>
        </w:rPr>
        <w:t>其中：基本支出408.36万元，占97.66%；项目支出9.77万元，占2.34%；上缴上级支出0.00万元，占0.00%；经营支出0.00万元，占0.00%；对附属单位补助支出0.00万元，占0.00%。</w:t>
      </w:r>
    </w:p>
    <w:p w14:paraId="6528D383">
      <w:pPr>
        <w:spacing w:line="640" w:lineRule="exact"/>
        <w:ind w:firstLine="640"/>
        <w:jc w:val="both"/>
        <w:outlineLvl w:val="2"/>
      </w:pPr>
      <w:r>
        <w:rPr>
          <w:rFonts w:ascii="黑体" w:hAnsi="黑体" w:eastAsia="黑体"/>
          <w:sz w:val="32"/>
        </w:rPr>
        <w:t>四、财政拨款收入支出决算总体情况说明</w:t>
      </w:r>
    </w:p>
    <w:p w14:paraId="3C246926">
      <w:pPr>
        <w:spacing w:line="580" w:lineRule="exact"/>
        <w:ind w:firstLine="640"/>
        <w:jc w:val="both"/>
      </w:pPr>
      <w:r>
        <w:rPr>
          <w:rFonts w:ascii="仿宋_GB2312" w:hAnsi="仿宋_GB2312" w:eastAsia="仿宋_GB2312"/>
          <w:b/>
          <w:sz w:val="32"/>
        </w:rPr>
        <w:t>2024年度财政拨款收入总计417.55万元，</w:t>
      </w:r>
      <w:r>
        <w:rPr>
          <w:rFonts w:ascii="仿宋_GB2312" w:hAnsi="仿宋_GB2312" w:eastAsia="仿宋_GB2312"/>
          <w:b w:val="0"/>
          <w:sz w:val="32"/>
        </w:rPr>
        <w:t>其中：年初财政拨款结转和结余0.00万元，本年财政拨款收入417.55万元。</w:t>
      </w:r>
      <w:r>
        <w:rPr>
          <w:rFonts w:ascii="仿宋_GB2312" w:hAnsi="仿宋_GB2312" w:eastAsia="仿宋_GB2312"/>
          <w:b/>
          <w:sz w:val="32"/>
        </w:rPr>
        <w:t>财政拨款支出总计417.55万元，</w:t>
      </w:r>
      <w:r>
        <w:rPr>
          <w:rFonts w:ascii="仿宋_GB2312" w:hAnsi="仿宋_GB2312" w:eastAsia="仿宋_GB2312"/>
          <w:b w:val="0"/>
          <w:sz w:val="32"/>
        </w:rPr>
        <w:t>其中：年末财政拨款结转和结余0.00万元，本年财政拨款支出417.55万元。</w:t>
      </w:r>
    </w:p>
    <w:p w14:paraId="03523C6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增加46.52万元，增长12.54%，主要原因是：本年在职人员增加，在职人员工资调增、社保、公积金基数调增，人员经费增加。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年初预算数367.47万元，决算数417.55万元，预决算差异率13.63%，主要原因是：本年在职人员增加，年中追加人员经费及人员工资、社保、公积金基数调增部分资金，导致预决算存在差异。</w:t>
      </w:r>
    </w:p>
    <w:p w14:paraId="37216E24">
      <w:pPr>
        <w:spacing w:line="640" w:lineRule="exact"/>
        <w:ind w:firstLine="640"/>
        <w:jc w:val="both"/>
        <w:outlineLvl w:val="2"/>
      </w:pPr>
      <w:r>
        <w:rPr>
          <w:rFonts w:ascii="黑体" w:hAnsi="黑体" w:eastAsia="黑体"/>
          <w:sz w:val="32"/>
        </w:rPr>
        <w:t>五、一般公共预算财政拨款支出决算情况说明</w:t>
      </w:r>
    </w:p>
    <w:p w14:paraId="28E614AF">
      <w:pPr>
        <w:spacing w:line="640" w:lineRule="exact"/>
        <w:ind w:firstLine="640"/>
        <w:jc w:val="both"/>
        <w:outlineLvl w:val="3"/>
      </w:pPr>
      <w:r>
        <w:rPr>
          <w:rFonts w:ascii="楷体_GB2312" w:hAnsi="楷体_GB2312" w:eastAsia="楷体_GB2312"/>
          <w:b/>
          <w:sz w:val="32"/>
        </w:rPr>
        <w:t>（一）一般公共预算财政拨款支出决算总体情况</w:t>
      </w:r>
    </w:p>
    <w:p w14:paraId="07D98807">
      <w:pPr>
        <w:spacing w:line="580" w:lineRule="exact"/>
        <w:ind w:firstLine="640"/>
        <w:jc w:val="both"/>
      </w:pPr>
      <w:r>
        <w:rPr>
          <w:rFonts w:ascii="仿宋_GB2312" w:hAnsi="仿宋_GB2312" w:eastAsia="仿宋_GB2312"/>
          <w:b/>
          <w:sz w:val="32"/>
        </w:rPr>
        <w:t>2024年度一般公共预算财政拨款支出417.55万元，</w:t>
      </w:r>
      <w:r>
        <w:rPr>
          <w:rFonts w:ascii="仿宋_GB2312" w:hAnsi="仿宋_GB2312" w:eastAsia="仿宋_GB2312"/>
          <w:b w:val="0"/>
          <w:sz w:val="32"/>
        </w:rPr>
        <w:t>占本年支出合计的99.86%。</w:t>
      </w:r>
      <w:r>
        <w:rPr>
          <w:rFonts w:ascii="仿宋_GB2312" w:hAnsi="仿宋_GB2312" w:eastAsia="仿宋_GB2312"/>
          <w:b/>
          <w:sz w:val="32"/>
        </w:rPr>
        <w:t>与上年相比，</w:t>
      </w:r>
      <w:r>
        <w:rPr>
          <w:rFonts w:ascii="仿宋_GB2312" w:hAnsi="仿宋_GB2312" w:eastAsia="仿宋_GB2312"/>
          <w:b w:val="0"/>
          <w:sz w:val="32"/>
        </w:rPr>
        <w:t>增加46.52万元，增长12.54%，主要原因是：本年在职人员增加，在职人员工资调增、社保、公积金基数调增，人员经费增加。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年初预算数367.47万元，决算数417.55万元，预决算差异率13.63%，主要原因是：本年在职人员增加，年中追加人员经费及人员工资、社保、公积金基数调增部分资金，导致预决算存在差异。</w:t>
      </w:r>
    </w:p>
    <w:p w14:paraId="368600CD">
      <w:pPr>
        <w:spacing w:line="640" w:lineRule="exact"/>
        <w:ind w:firstLine="640"/>
        <w:jc w:val="both"/>
        <w:outlineLvl w:val="3"/>
      </w:pPr>
      <w:r>
        <w:rPr>
          <w:rFonts w:ascii="楷体_GB2312" w:hAnsi="楷体_GB2312" w:eastAsia="楷体_GB2312"/>
          <w:b/>
          <w:sz w:val="32"/>
        </w:rPr>
        <w:t>（二）一般公共预算财政拨款支出决算结构情况</w:t>
      </w:r>
    </w:p>
    <w:p w14:paraId="78F5CC7E">
      <w:pPr>
        <w:spacing w:line="580" w:lineRule="exact"/>
        <w:ind w:firstLine="640"/>
        <w:jc w:val="both"/>
      </w:pPr>
      <w:r>
        <w:rPr>
          <w:rFonts w:ascii="仿宋_GB2312" w:hAnsi="仿宋_GB2312" w:eastAsia="仿宋_GB2312"/>
          <w:b w:val="0"/>
          <w:sz w:val="32"/>
        </w:rPr>
        <w:t>1.教育支出(类)417.55万元,占100.00%。</w:t>
      </w:r>
    </w:p>
    <w:p w14:paraId="7F81F516">
      <w:pPr>
        <w:spacing w:line="640" w:lineRule="exact"/>
        <w:ind w:firstLine="640"/>
        <w:jc w:val="both"/>
        <w:outlineLvl w:val="3"/>
      </w:pPr>
      <w:r>
        <w:rPr>
          <w:rFonts w:ascii="楷体_GB2312" w:hAnsi="楷体_GB2312" w:eastAsia="楷体_GB2312"/>
          <w:b/>
          <w:sz w:val="32"/>
        </w:rPr>
        <w:t>（三）一般公共预算财政拨款支出决算具体情况</w:t>
      </w:r>
    </w:p>
    <w:p w14:paraId="7DDB06C4">
      <w:pPr>
        <w:spacing w:line="580" w:lineRule="exact"/>
        <w:ind w:firstLine="640"/>
        <w:jc w:val="both"/>
      </w:pPr>
      <w:r>
        <w:rPr>
          <w:rFonts w:ascii="仿宋_GB2312" w:hAnsi="仿宋_GB2312" w:eastAsia="仿宋_GB2312"/>
          <w:b w:val="0"/>
          <w:sz w:val="32"/>
        </w:rPr>
        <w:t>1.教育支出(类)普通教育(款)学前教育(项):支出决算数为417.55万元，比上年决算增加46.52万元，增长12.54%,主要原因是：本年在职人员增加，在职人员工资调增、社保、公积金基数调增，人员经费增加。</w:t>
      </w:r>
    </w:p>
    <w:p w14:paraId="2B4B244E">
      <w:pPr>
        <w:spacing w:line="640" w:lineRule="exact"/>
        <w:ind w:firstLine="640"/>
        <w:jc w:val="both"/>
        <w:outlineLvl w:val="2"/>
      </w:pPr>
      <w:r>
        <w:rPr>
          <w:rFonts w:ascii="黑体" w:hAnsi="黑体" w:eastAsia="黑体"/>
          <w:sz w:val="32"/>
        </w:rPr>
        <w:t>六、一般公共预算财政拨款基本支出决算情况说明</w:t>
      </w:r>
    </w:p>
    <w:p w14:paraId="1F05E526">
      <w:pPr>
        <w:spacing w:line="580" w:lineRule="exact"/>
        <w:ind w:firstLine="640"/>
        <w:jc w:val="both"/>
      </w:pPr>
      <w:r>
        <w:rPr>
          <w:rFonts w:ascii="仿宋_GB2312" w:hAnsi="仿宋_GB2312" w:eastAsia="仿宋_GB2312"/>
          <w:b w:val="0"/>
          <w:sz w:val="32"/>
        </w:rPr>
        <w:t>2024年度一般公共预算财政拨款基本支出407.78万元，其中：</w:t>
      </w:r>
      <w:r>
        <w:rPr>
          <w:rFonts w:ascii="仿宋_GB2312" w:hAnsi="仿宋_GB2312" w:eastAsia="仿宋_GB2312"/>
          <w:b/>
          <w:sz w:val="32"/>
        </w:rPr>
        <w:t>人员经费366.52万元，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包括：基本工资、津贴补贴、奖金、绩效工资、机关事业单位基本养老保险缴费、职业年金缴费、职工基本医疗保险缴费、其他社会保障缴费、住房公积金、退休费、助学金、奖励金。</w:t>
      </w:r>
    </w:p>
    <w:p w14:paraId="7DAAAD60">
      <w:pPr>
        <w:spacing w:line="580" w:lineRule="exact"/>
        <w:ind w:firstLine="640"/>
        <w:jc w:val="both"/>
      </w:pPr>
      <w:r>
        <w:rPr>
          <w:rFonts w:ascii="仿宋_GB2312" w:hAnsi="仿宋_GB2312" w:eastAsia="仿宋_GB2312"/>
          <w:b/>
          <w:sz w:val="32"/>
        </w:rPr>
        <w:t>公用经费41.26万元，</w:t>
      </w:r>
      <w:r>
        <w:rPr>
          <w:rFonts w:ascii="仿宋_GB2312" w:hAnsi="仿宋_GB2312" w:eastAsia="仿宋_GB2312"/>
          <w:b w:val="0"/>
          <w:sz w:val="32"/>
        </w:rPr>
        <w:t>包括：办公费、水费、电费、邮电费、取暖费、物业管理费、维修（护）费、培训费、专用材料费、委托业务费、办公设备购置、专用设备购置。</w:t>
      </w:r>
    </w:p>
    <w:p w14:paraId="3C8FA2E2">
      <w:pPr>
        <w:spacing w:line="640" w:lineRule="exact"/>
        <w:ind w:firstLine="640"/>
        <w:jc w:val="both"/>
        <w:outlineLvl w:val="2"/>
      </w:pPr>
      <w:r>
        <w:rPr>
          <w:rFonts w:ascii="黑体" w:hAnsi="黑体" w:eastAsia="黑体"/>
          <w:sz w:val="32"/>
        </w:rPr>
        <w:t>七、政府性基金预算财政拨款收入支出决算情况说明</w:t>
      </w:r>
    </w:p>
    <w:p w14:paraId="0C851D2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EA9A949">
      <w:pPr>
        <w:spacing w:line="640" w:lineRule="exact"/>
        <w:ind w:firstLine="640"/>
        <w:jc w:val="both"/>
        <w:outlineLvl w:val="2"/>
      </w:pPr>
      <w:r>
        <w:rPr>
          <w:rFonts w:ascii="黑体" w:hAnsi="黑体" w:eastAsia="黑体"/>
          <w:sz w:val="32"/>
        </w:rPr>
        <w:t>八、国有资本经营预算财政拨款收入支出决算情况说明</w:t>
      </w:r>
    </w:p>
    <w:p w14:paraId="70AB95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F48D31">
      <w:pPr>
        <w:spacing w:line="640" w:lineRule="exact"/>
        <w:ind w:firstLine="640"/>
        <w:jc w:val="both"/>
        <w:outlineLvl w:val="2"/>
      </w:pPr>
      <w:r>
        <w:rPr>
          <w:rFonts w:ascii="黑体" w:hAnsi="黑体" w:eastAsia="黑体"/>
          <w:sz w:val="32"/>
        </w:rPr>
        <w:t>九、财政拨款“三公”经费支出决算情况说明</w:t>
      </w:r>
    </w:p>
    <w:p w14:paraId="3690FB2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539C45A">
      <w:pPr>
        <w:spacing w:line="580" w:lineRule="exact"/>
        <w:ind w:firstLine="640"/>
        <w:jc w:val="both"/>
      </w:pPr>
      <w:r>
        <w:rPr>
          <w:rFonts w:ascii="仿宋_GB2312" w:hAnsi="仿宋_GB2312" w:eastAsia="仿宋_GB2312"/>
          <w:b/>
          <w:sz w:val="32"/>
        </w:rPr>
        <w:t>具体情况如下：</w:t>
      </w:r>
    </w:p>
    <w:p w14:paraId="34FAB51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9BF16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BD5073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9BA52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17DDAF3">
      <w:pPr>
        <w:spacing w:line="640" w:lineRule="exact"/>
        <w:ind w:firstLine="640"/>
        <w:jc w:val="both"/>
        <w:outlineLvl w:val="2"/>
      </w:pPr>
      <w:r>
        <w:rPr>
          <w:rFonts w:ascii="黑体" w:hAnsi="黑体" w:eastAsia="黑体"/>
          <w:sz w:val="32"/>
        </w:rPr>
        <w:t>十、其他重要事项的情况说明</w:t>
      </w:r>
    </w:p>
    <w:p w14:paraId="40B34D42">
      <w:pPr>
        <w:spacing w:line="640" w:lineRule="exact"/>
        <w:ind w:firstLine="640"/>
        <w:jc w:val="both"/>
        <w:outlineLvl w:val="3"/>
      </w:pPr>
      <w:r>
        <w:rPr>
          <w:rFonts w:ascii="楷体_GB2312" w:hAnsi="楷体_GB2312" w:eastAsia="楷体_GB2312"/>
          <w:b/>
          <w:sz w:val="32"/>
        </w:rPr>
        <w:t>（一）机关运行经费及公用经费支出情况</w:t>
      </w:r>
    </w:p>
    <w:p w14:paraId="5DA3019A">
      <w:pPr>
        <w:spacing w:line="580" w:lineRule="exact"/>
        <w:ind w:firstLine="640"/>
        <w:jc w:val="both"/>
      </w:pPr>
      <w:r>
        <w:rPr>
          <w:rFonts w:ascii="仿宋_GB2312" w:hAnsi="仿宋_GB2312" w:eastAsia="仿宋_GB2312"/>
          <w:b w:val="0"/>
          <w:sz w:val="32"/>
        </w:rPr>
        <w:t>2024年度轮台县第五幼儿园（事业单位）公用经费支出41.26万元，比上年减少15.90万元，下降27.82%，主要原因是：本年园区维护良好，园舍维修维护等公用经费支出减少。</w:t>
      </w:r>
    </w:p>
    <w:p w14:paraId="3C8C1E56">
      <w:pPr>
        <w:spacing w:line="640" w:lineRule="exact"/>
        <w:ind w:firstLine="640"/>
        <w:jc w:val="both"/>
        <w:outlineLvl w:val="3"/>
      </w:pPr>
      <w:r>
        <w:rPr>
          <w:rFonts w:ascii="楷体_GB2312" w:hAnsi="楷体_GB2312" w:eastAsia="楷体_GB2312"/>
          <w:b/>
          <w:sz w:val="32"/>
        </w:rPr>
        <w:t>（二）政府采购情况</w:t>
      </w:r>
    </w:p>
    <w:p w14:paraId="32C01A96">
      <w:pPr>
        <w:spacing w:line="580" w:lineRule="exact"/>
        <w:ind w:firstLine="640"/>
        <w:jc w:val="both"/>
      </w:pPr>
      <w:r>
        <w:rPr>
          <w:rFonts w:ascii="仿宋_GB2312" w:hAnsi="仿宋_GB2312" w:eastAsia="仿宋_GB2312"/>
          <w:b w:val="0"/>
          <w:sz w:val="32"/>
        </w:rPr>
        <w:t>2024年度政府采购支出总额50.19万元，其中：政府采购货物支出35.19万元、政府采购工程支出7.91万元、政府采购服务支出7.09万元。</w:t>
      </w:r>
    </w:p>
    <w:p w14:paraId="651ED586">
      <w:pPr>
        <w:spacing w:line="580" w:lineRule="exact"/>
        <w:ind w:firstLine="640"/>
        <w:jc w:val="both"/>
      </w:pPr>
      <w:r>
        <w:rPr>
          <w:rFonts w:ascii="仿宋_GB2312" w:hAnsi="仿宋_GB2312" w:eastAsia="仿宋_GB2312"/>
          <w:b w:val="0"/>
          <w:sz w:val="32"/>
        </w:rPr>
        <w:t>授予中小企业合同金额49.42万元，占政府采购支出总额的98.47%，其中：授予小微企业合同金额47.59万元，占政府采购支出总额的94.82%。</w:t>
      </w:r>
    </w:p>
    <w:p w14:paraId="1640D167">
      <w:pPr>
        <w:spacing w:line="640" w:lineRule="exact"/>
        <w:ind w:firstLine="640"/>
        <w:jc w:val="both"/>
        <w:outlineLvl w:val="3"/>
      </w:pPr>
      <w:r>
        <w:rPr>
          <w:rFonts w:ascii="楷体_GB2312" w:hAnsi="楷体_GB2312" w:eastAsia="楷体_GB2312"/>
          <w:b/>
          <w:sz w:val="32"/>
        </w:rPr>
        <w:t>（三）国有资产占用情况说明</w:t>
      </w:r>
    </w:p>
    <w:p w14:paraId="65A8357D">
      <w:pPr>
        <w:spacing w:line="580" w:lineRule="exact"/>
        <w:ind w:firstLine="640"/>
        <w:jc w:val="both"/>
      </w:pPr>
      <w:r>
        <w:rPr>
          <w:rFonts w:ascii="仿宋_GB2312" w:hAnsi="仿宋_GB2312" w:eastAsia="仿宋_GB2312"/>
          <w:b w:val="0"/>
          <w:sz w:val="32"/>
        </w:rPr>
        <w:t>截至2024年12月31日，房屋376.00平方米，价值107.50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3D17DB7">
      <w:pPr>
        <w:spacing w:line="640" w:lineRule="exact"/>
        <w:ind w:firstLine="640"/>
        <w:jc w:val="both"/>
        <w:outlineLvl w:val="2"/>
      </w:pPr>
      <w:r>
        <w:rPr>
          <w:rFonts w:ascii="黑体" w:hAnsi="黑体" w:eastAsia="黑体"/>
          <w:sz w:val="32"/>
        </w:rPr>
        <w:t>十一、预算绩效的情况说明</w:t>
      </w:r>
    </w:p>
    <w:p w14:paraId="5360748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418.44万元，实际执行总额418.13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p>
    <w:p w14:paraId="4A8F786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FB7FFA2">
        <w:tblPrEx>
          <w:tblCellMar>
            <w:top w:w="0" w:type="dxa"/>
            <w:left w:w="108" w:type="dxa"/>
            <w:bottom w:w="0" w:type="dxa"/>
            <w:right w:w="108" w:type="dxa"/>
          </w:tblCellMar>
        </w:tblPrEx>
        <w:tc>
          <w:tcPr>
            <w:tcW w:w="8840" w:type="dxa"/>
            <w:gridSpan w:val="8"/>
            <w:vAlign w:val="center"/>
          </w:tcPr>
          <w:p w14:paraId="3BA375FF">
            <w:pPr>
              <w:jc w:val="center"/>
            </w:pPr>
            <w:r>
              <w:rPr>
                <w:rFonts w:ascii="宋体" w:hAnsi="宋体" w:eastAsia="宋体"/>
                <w:sz w:val="24"/>
              </w:rPr>
              <w:t>单位整体支出绩效自评表</w:t>
            </w:r>
          </w:p>
        </w:tc>
      </w:tr>
      <w:tr w14:paraId="7AA62B55">
        <w:tblPrEx>
          <w:tblCellMar>
            <w:top w:w="0" w:type="dxa"/>
            <w:left w:w="108" w:type="dxa"/>
            <w:bottom w:w="0" w:type="dxa"/>
            <w:right w:w="108" w:type="dxa"/>
          </w:tblCellMar>
        </w:tblPrEx>
        <w:tc>
          <w:tcPr>
            <w:tcW w:w="8840" w:type="dxa"/>
            <w:gridSpan w:val="8"/>
            <w:vAlign w:val="center"/>
          </w:tcPr>
          <w:p w14:paraId="0DD1A49D">
            <w:pPr>
              <w:jc w:val="center"/>
            </w:pPr>
            <w:r>
              <w:rPr>
                <w:rFonts w:ascii="宋体" w:hAnsi="宋体" w:eastAsia="宋体"/>
                <w:sz w:val="24"/>
              </w:rPr>
              <w:t>（2024年度）</w:t>
            </w:r>
          </w:p>
        </w:tc>
      </w:tr>
      <w:tr w14:paraId="20A1AD4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A724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86257">
            <w:pPr>
              <w:jc w:val="center"/>
            </w:pPr>
            <w:r>
              <w:rPr>
                <w:rFonts w:ascii="宋体" w:hAnsi="宋体" w:eastAsia="宋体"/>
                <w:sz w:val="16"/>
              </w:rPr>
              <w:t>轮台县第五幼儿园</w:t>
            </w:r>
          </w:p>
        </w:tc>
      </w:tr>
      <w:tr w14:paraId="681171E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7C1C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D80C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4465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0154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C633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9447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BC86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C710D">
            <w:pPr>
              <w:jc w:val="center"/>
            </w:pPr>
            <w:r>
              <w:rPr>
                <w:rFonts w:ascii="宋体" w:hAnsi="宋体" w:eastAsia="宋体"/>
                <w:sz w:val="16"/>
              </w:rPr>
              <w:t>得分</w:t>
            </w:r>
          </w:p>
        </w:tc>
      </w:tr>
      <w:tr w14:paraId="5A54EE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0F36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5959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4CA23">
            <w:pPr>
              <w:jc w:val="center"/>
            </w:pPr>
            <w:r>
              <w:rPr>
                <w:rFonts w:ascii="宋体" w:hAnsi="宋体" w:eastAsia="宋体"/>
                <w:sz w:val="16"/>
              </w:rPr>
              <w:t>367.47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3EF24">
            <w:pPr>
              <w:jc w:val="center"/>
            </w:pPr>
            <w:r>
              <w:rPr>
                <w:rFonts w:ascii="宋体" w:hAnsi="宋体" w:eastAsia="宋体"/>
                <w:sz w:val="16"/>
              </w:rPr>
              <w:t>418.44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0F099">
            <w:pPr>
              <w:jc w:val="center"/>
            </w:pPr>
            <w:r>
              <w:rPr>
                <w:rFonts w:ascii="宋体" w:hAnsi="宋体" w:eastAsia="宋体"/>
                <w:sz w:val="16"/>
              </w:rPr>
              <w:t>418.13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8BF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5C0A6">
            <w:pPr>
              <w:jc w:val="center"/>
            </w:pPr>
            <w:r>
              <w:rPr>
                <w:rFonts w:ascii="宋体" w:hAnsi="宋体" w:eastAsia="宋体"/>
                <w:sz w:val="16"/>
              </w:rPr>
              <w:t>99.93%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24268">
            <w:pPr>
              <w:jc w:val="center"/>
            </w:pPr>
            <w:r>
              <w:rPr>
                <w:rFonts w:ascii="宋体" w:hAnsi="宋体" w:eastAsia="宋体"/>
                <w:sz w:val="16"/>
              </w:rPr>
              <w:t>9.9</w:t>
            </w:r>
          </w:p>
        </w:tc>
      </w:tr>
      <w:tr w14:paraId="13C11B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C5EE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E0649">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28FC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FB693">
            <w:pPr>
              <w:jc w:val="center"/>
            </w:pPr>
            <w:r>
              <w:rPr>
                <w:rFonts w:ascii="宋体" w:hAnsi="宋体" w:eastAsia="宋体"/>
                <w:sz w:val="16"/>
              </w:rPr>
              <w:t>45.38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F40B6">
            <w:pPr>
              <w:jc w:val="center"/>
            </w:pPr>
            <w:r>
              <w:rPr>
                <w:rFonts w:ascii="宋体" w:hAnsi="宋体" w:eastAsia="宋体"/>
                <w:sz w:val="16"/>
              </w:rPr>
              <w:t>45.38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C23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810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4228A">
            <w:pPr>
              <w:jc w:val="center"/>
            </w:pPr>
            <w:r>
              <w:rPr>
                <w:rFonts w:ascii="宋体" w:hAnsi="宋体" w:eastAsia="宋体"/>
                <w:sz w:val="16"/>
              </w:rPr>
              <w:t>-</w:t>
            </w:r>
          </w:p>
        </w:tc>
      </w:tr>
      <w:tr w14:paraId="13E9C5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6EE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0D1A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09BF3">
            <w:pPr>
              <w:jc w:val="center"/>
            </w:pPr>
            <w:r>
              <w:rPr>
                <w:rFonts w:ascii="宋体" w:hAnsi="宋体" w:eastAsia="宋体"/>
                <w:sz w:val="16"/>
              </w:rPr>
              <w:t>367.47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CBD2E">
            <w:pPr>
              <w:jc w:val="center"/>
            </w:pPr>
            <w:r>
              <w:rPr>
                <w:rFonts w:ascii="宋体" w:hAnsi="宋体" w:eastAsia="宋体"/>
                <w:sz w:val="16"/>
              </w:rPr>
              <w:t>372.17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6E67F">
            <w:pPr>
              <w:jc w:val="center"/>
            </w:pPr>
            <w:r>
              <w:rPr>
                <w:rFonts w:ascii="宋体" w:hAnsi="宋体" w:eastAsia="宋体"/>
                <w:sz w:val="16"/>
              </w:rPr>
              <w:t>372.17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9D4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DD7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B2994">
            <w:pPr>
              <w:jc w:val="center"/>
            </w:pPr>
            <w:r>
              <w:rPr>
                <w:rFonts w:ascii="宋体" w:hAnsi="宋体" w:eastAsia="宋体"/>
                <w:sz w:val="16"/>
              </w:rPr>
              <w:t>-</w:t>
            </w:r>
          </w:p>
        </w:tc>
      </w:tr>
      <w:tr w14:paraId="1690F4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3328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8A86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1F2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87E9D">
            <w:pPr>
              <w:jc w:val="center"/>
            </w:pPr>
            <w:r>
              <w:rPr>
                <w:rFonts w:ascii="宋体" w:hAnsi="宋体" w:eastAsia="宋体"/>
                <w:sz w:val="16"/>
              </w:rPr>
              <w:t>0.89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FC568">
            <w:pPr>
              <w:jc w:val="center"/>
            </w:pPr>
            <w:r>
              <w:rPr>
                <w:rFonts w:ascii="宋体" w:hAnsi="宋体" w:eastAsia="宋体"/>
                <w:sz w:val="16"/>
              </w:rPr>
              <w:t>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6B4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486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DCECE">
            <w:pPr>
              <w:jc w:val="center"/>
            </w:pPr>
            <w:r>
              <w:rPr>
                <w:rFonts w:ascii="宋体" w:hAnsi="宋体" w:eastAsia="宋体"/>
                <w:sz w:val="16"/>
              </w:rPr>
              <w:t>-</w:t>
            </w:r>
          </w:p>
        </w:tc>
      </w:tr>
      <w:tr w14:paraId="22C794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4CAA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E6969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191B08">
            <w:pPr>
              <w:jc w:val="center"/>
            </w:pPr>
            <w:r>
              <w:rPr>
                <w:rFonts w:ascii="宋体" w:hAnsi="宋体" w:eastAsia="宋体"/>
                <w:sz w:val="16"/>
              </w:rPr>
              <w:t>实际完成情况</w:t>
            </w:r>
          </w:p>
        </w:tc>
      </w:tr>
      <w:tr w14:paraId="208690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F85EE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AF78B9">
            <w:pPr>
              <w:jc w:val="both"/>
              <w:rPr>
                <w:rFonts w:hint="eastAsia" w:eastAsia="宋体"/>
                <w:lang w:eastAsia="zh-CN"/>
              </w:rPr>
            </w:pPr>
            <w:r>
              <w:rPr>
                <w:rFonts w:ascii="宋体" w:hAnsi="宋体" w:eastAsia="宋体"/>
                <w:sz w:val="16"/>
              </w:rPr>
              <w:t>1.要认真抓好幼儿园适龄儿童的入学入园工作，落实应入尽入，保证在园210名幼儿享受资助补助政策。学前三年幼儿入园率巩固在100%。2.加强感恩教育方面，以铸牢中华民族共同体意识为载体，根据幼儿的年龄特点以感恩教育为抓手创设环境，发挥环境的隐性教育，从多方面加强幼儿的感恩教育,确保幼儿主题教育课出勤率大于等于98%。3.在全方位渗透教学活动方面，能够持续开展主题</w:t>
            </w:r>
            <w:r>
              <w:rPr>
                <w:rFonts w:hint="eastAsia" w:ascii="宋体" w:hAnsi="宋体"/>
                <w:sz w:val="16"/>
                <w:lang w:eastAsia="zh-CN"/>
              </w:rPr>
              <w:t>创</w:t>
            </w:r>
            <w:r>
              <w:rPr>
                <w:rFonts w:ascii="宋体" w:hAnsi="宋体" w:eastAsia="宋体"/>
                <w:sz w:val="16"/>
              </w:rPr>
              <w:t>设与游园式区域活动相结合，本着一切服务幼儿的原则，以幼儿的视角出发，因材施教，因地制宜，挖掘本土文化；以“立高尚师德、树教育新风”为主题，做人民</w:t>
            </w:r>
            <w:r>
              <w:rPr>
                <w:rFonts w:hint="eastAsia" w:ascii="宋体" w:hAnsi="宋体"/>
                <w:sz w:val="16"/>
                <w:lang w:eastAsia="zh-CN"/>
              </w:rPr>
              <w:t>满意</w:t>
            </w:r>
            <w:r>
              <w:rPr>
                <w:rFonts w:ascii="宋体" w:hAnsi="宋体" w:eastAsia="宋体"/>
                <w:sz w:val="16"/>
              </w:rPr>
              <w:t>教师、办人民满意教育有实施步骤，并对师德工作常抓不懈,不定期进行培训，保证开展教师调研活动次数不少于16次。丰富专业知识、扎实实践技能、打造整体水平良好的教师队伍。保障教职工专业培训次数不少于12次。4.扎实推动落实中小学（幼儿园）党组织领导的校长负责制，持续深入学习《关于建立中小学校党组织领导的校长负责制的意见（试行）》，围绕</w:t>
            </w:r>
            <w:r>
              <w:rPr>
                <w:rFonts w:hint="eastAsia" w:ascii="宋体" w:hAnsi="宋体"/>
                <w:sz w:val="16"/>
                <w:lang w:eastAsia="zh-CN"/>
              </w:rPr>
              <w:t>全面从严治党</w:t>
            </w:r>
            <w:r>
              <w:rPr>
                <w:rFonts w:ascii="宋体" w:hAnsi="宋体" w:eastAsia="宋体"/>
                <w:sz w:val="16"/>
              </w:rPr>
              <w:t>要求实行党组织领导的校长负责制，坚持党的教育方针，采取党建与业务工作同谋划、同部署、同考核。5.制定计划，按照园内的活动有针对性</w:t>
            </w:r>
            <w:r>
              <w:rPr>
                <w:rFonts w:hint="eastAsia" w:ascii="宋体" w:hAnsi="宋体"/>
                <w:sz w:val="16"/>
                <w:lang w:eastAsia="zh-CN"/>
              </w:rPr>
              <w:t>地</w:t>
            </w:r>
            <w:r>
              <w:rPr>
                <w:rFonts w:ascii="宋体" w:hAnsi="宋体" w:eastAsia="宋体"/>
                <w:sz w:val="16"/>
              </w:rPr>
              <w:t>选课选人，进行一课三研，确保教学计划抽查反馈率在100%。并带动老师们用教材研教材，及时发现所用教材的实用性和局限性，同时实施调整一年保教及各类主题活动次数38次以上，丰富校园文化，打造美丽校园</w:t>
            </w:r>
            <w:r>
              <w:rPr>
                <w:rFonts w:hint="eastAsia" w:ascii="宋体" w:hAnsi="宋体"/>
                <w:sz w:val="16"/>
                <w:lang w:eastAsia="zh-CN"/>
              </w:rPr>
              <w:t>。</w:t>
            </w:r>
            <w:bookmarkStart w:id="0" w:name="_GoBack"/>
            <w:bookmarkEnd w:id="0"/>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55D75B">
            <w:pPr>
              <w:jc w:val="both"/>
            </w:pPr>
            <w:r>
              <w:rPr>
                <w:rFonts w:hint="eastAsia" w:ascii="宋体" w:hAnsi="宋体"/>
                <w:sz w:val="16"/>
                <w:lang w:eastAsia="zh-CN"/>
              </w:rPr>
              <w:t>（1）</w:t>
            </w:r>
            <w:r>
              <w:rPr>
                <w:rFonts w:ascii="宋体" w:hAnsi="宋体" w:eastAsia="宋体"/>
                <w:sz w:val="16"/>
              </w:rPr>
              <w:t>认真抓好幼儿园适龄儿童的入学入园工作，落实应入尽入，保证了在园210名幼儿享受资助补助政策。学前三年幼儿入园率巩固在100%。</w:t>
            </w:r>
            <w:r>
              <w:rPr>
                <w:rFonts w:hint="eastAsia" w:ascii="宋体" w:hAnsi="宋体"/>
                <w:sz w:val="16"/>
                <w:lang w:eastAsia="zh-CN"/>
              </w:rPr>
              <w:t>（2）</w:t>
            </w:r>
            <w:r>
              <w:rPr>
                <w:rFonts w:ascii="宋体" w:hAnsi="宋体" w:eastAsia="宋体"/>
                <w:sz w:val="16"/>
              </w:rPr>
              <w:t>加强感恩教育方面，以铸牢中华民族共同体意识为载体，根据幼儿的年龄特点以感恩教育为抓手创设环境，发挥环境的隐性教育，从多方面加强幼儿的感恩教育,确保了幼儿主题教育课出勤率大于等于98%。</w:t>
            </w:r>
            <w:r>
              <w:rPr>
                <w:rFonts w:hint="eastAsia" w:ascii="宋体" w:hAnsi="宋体"/>
                <w:sz w:val="16"/>
                <w:lang w:eastAsia="zh-CN"/>
              </w:rPr>
              <w:t>（3）</w:t>
            </w:r>
            <w:r>
              <w:rPr>
                <w:rFonts w:ascii="宋体" w:hAnsi="宋体" w:eastAsia="宋体"/>
                <w:sz w:val="16"/>
              </w:rPr>
              <w:t>在全方位渗透教学活动方面，能够持续开展主题</w:t>
            </w:r>
            <w:r>
              <w:rPr>
                <w:rFonts w:hint="eastAsia" w:ascii="宋体" w:hAnsi="宋体"/>
                <w:sz w:val="16"/>
                <w:lang w:eastAsia="zh-CN"/>
              </w:rPr>
              <w:t>创</w:t>
            </w:r>
            <w:r>
              <w:rPr>
                <w:rFonts w:ascii="宋体" w:hAnsi="宋体" w:eastAsia="宋体"/>
                <w:sz w:val="16"/>
              </w:rPr>
              <w:t>设与游园式区域活动相结合，本着一切服务幼儿的原则，以幼儿的视角出发，因材施教，因地制宜，挖掘本土文化；以“立高尚师德、树教育新风”为主题，做人民</w:t>
            </w:r>
            <w:r>
              <w:rPr>
                <w:rFonts w:hint="eastAsia" w:ascii="宋体" w:hAnsi="宋体"/>
                <w:sz w:val="16"/>
                <w:lang w:eastAsia="zh-CN"/>
              </w:rPr>
              <w:t>满意</w:t>
            </w:r>
            <w:r>
              <w:rPr>
                <w:rFonts w:ascii="宋体" w:hAnsi="宋体" w:eastAsia="宋体"/>
                <w:sz w:val="16"/>
              </w:rPr>
              <w:t>教师、办人民满意教育有实施步骤，并对师德工作常抓不懈,不定期进行培训，保证了开展教师调研活动次数16次。丰富专业知识、扎实实践技能、打造整体水平良好的教师队伍。保障了教职工专业培训次数12次。</w:t>
            </w:r>
            <w:r>
              <w:rPr>
                <w:rFonts w:hint="eastAsia" w:ascii="宋体" w:hAnsi="宋体"/>
                <w:sz w:val="16"/>
                <w:lang w:eastAsia="zh-CN"/>
              </w:rPr>
              <w:t>（4）</w:t>
            </w:r>
            <w:r>
              <w:rPr>
                <w:rFonts w:ascii="宋体" w:hAnsi="宋体" w:eastAsia="宋体"/>
                <w:sz w:val="16"/>
              </w:rPr>
              <w:t>扎实推动落实中小学（幼儿园）党组织领导的校长负责制，持续深入学习《关于建立中小学校党组织领导的校长负责制的意见（试行）》，围绕</w:t>
            </w:r>
            <w:r>
              <w:rPr>
                <w:rFonts w:hint="eastAsia" w:ascii="宋体" w:hAnsi="宋体"/>
                <w:sz w:val="16"/>
                <w:lang w:eastAsia="zh-CN"/>
              </w:rPr>
              <w:t>全面从严治党</w:t>
            </w:r>
            <w:r>
              <w:rPr>
                <w:rFonts w:ascii="宋体" w:hAnsi="宋体" w:eastAsia="宋体"/>
                <w:sz w:val="16"/>
              </w:rPr>
              <w:t>要求实行党组织领导的校长负责制，坚持党的教育方针，采取党建与业务工作同谋划、同部署、同考核。</w:t>
            </w:r>
            <w:r>
              <w:rPr>
                <w:rFonts w:hint="eastAsia" w:ascii="宋体" w:hAnsi="宋体"/>
                <w:sz w:val="16"/>
                <w:lang w:eastAsia="zh-CN"/>
              </w:rPr>
              <w:t>（5）</w:t>
            </w:r>
            <w:r>
              <w:rPr>
                <w:rFonts w:ascii="宋体" w:hAnsi="宋体" w:eastAsia="宋体"/>
                <w:sz w:val="16"/>
              </w:rPr>
              <w:t>制定计划，按照园内的活动有针对性</w:t>
            </w:r>
            <w:r>
              <w:rPr>
                <w:rFonts w:hint="eastAsia" w:ascii="宋体" w:hAnsi="宋体"/>
                <w:sz w:val="16"/>
                <w:lang w:eastAsia="zh-CN"/>
              </w:rPr>
              <w:t>地</w:t>
            </w:r>
            <w:r>
              <w:rPr>
                <w:rFonts w:ascii="宋体" w:hAnsi="宋体" w:eastAsia="宋体"/>
                <w:sz w:val="16"/>
              </w:rPr>
              <w:t>选课选人，进行一课三研，确保了教学计划抽查反馈率在100%。并带动老师们用教材研教材，及时发现所用教材的实用性和局限性，同时实施调整一年保教及各类主题活动次数38次，丰富校园文化，打造美丽校园。</w:t>
            </w:r>
          </w:p>
        </w:tc>
      </w:tr>
      <w:tr w14:paraId="5D2E2F5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1E58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497D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957A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A8B3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F1BF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36E1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2587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74AB1">
            <w:pPr>
              <w:jc w:val="center"/>
            </w:pPr>
            <w:r>
              <w:rPr>
                <w:rFonts w:ascii="宋体" w:hAnsi="宋体" w:eastAsia="宋体"/>
                <w:sz w:val="16"/>
              </w:rPr>
              <w:t>得分</w:t>
            </w:r>
          </w:p>
        </w:tc>
      </w:tr>
      <w:tr w14:paraId="759A8A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2228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0ABB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DDB2A">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4F6F4">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FE93E">
            <w:pPr>
              <w:jc w:val="center"/>
            </w:pPr>
            <w:r>
              <w:rPr>
                <w:rFonts w:ascii="宋体" w:hAnsi="宋体" w:eastAsia="宋体"/>
                <w:sz w:val="16"/>
              </w:rPr>
              <w:t>轮台县第五幼儿园工作计划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704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175D6">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6EB60">
            <w:pPr>
              <w:jc w:val="center"/>
            </w:pPr>
            <w:r>
              <w:rPr>
                <w:rFonts w:ascii="宋体" w:hAnsi="宋体" w:eastAsia="宋体"/>
                <w:sz w:val="16"/>
              </w:rPr>
              <w:t>10</w:t>
            </w:r>
          </w:p>
        </w:tc>
      </w:tr>
      <w:tr w14:paraId="4766B0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DBE9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D370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BF619">
            <w:pPr>
              <w:jc w:val="center"/>
            </w:pPr>
            <w:r>
              <w:rPr>
                <w:rFonts w:ascii="宋体" w:hAnsi="宋体" w:eastAsia="宋体"/>
                <w:sz w:val="16"/>
              </w:rPr>
              <w:t>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2D0C3">
            <w:pPr>
              <w:jc w:val="center"/>
            </w:pPr>
            <w:r>
              <w:rPr>
                <w:rFonts w:ascii="宋体" w:hAnsi="宋体" w:eastAsia="宋体"/>
                <w:sz w:val="16"/>
              </w:rPr>
              <w:t>&gt;=210人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CA740">
            <w:pPr>
              <w:jc w:val="center"/>
            </w:pPr>
            <w:r>
              <w:rPr>
                <w:rFonts w:ascii="宋体" w:hAnsi="宋体" w:eastAsia="宋体"/>
                <w:sz w:val="16"/>
              </w:rPr>
              <w:t>轮台县第五幼儿园工作计划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A3D3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685D6">
            <w:pPr>
              <w:jc w:val="center"/>
            </w:pPr>
            <w:r>
              <w:rPr>
                <w:rFonts w:ascii="宋体" w:hAnsi="宋体" w:eastAsia="宋体"/>
                <w:sz w:val="16"/>
              </w:rPr>
              <w:t>210人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6167D">
            <w:pPr>
              <w:jc w:val="center"/>
            </w:pPr>
            <w:r>
              <w:rPr>
                <w:rFonts w:ascii="宋体" w:hAnsi="宋体" w:eastAsia="宋体"/>
                <w:sz w:val="16"/>
              </w:rPr>
              <w:t>15</w:t>
            </w:r>
          </w:p>
        </w:tc>
      </w:tr>
      <w:tr w14:paraId="28F163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BA05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16CB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DAA03">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10043">
            <w:pPr>
              <w:jc w:val="center"/>
            </w:pPr>
            <w:r>
              <w:rPr>
                <w:rFonts w:ascii="宋体" w:hAnsi="宋体" w:eastAsia="宋体"/>
                <w:sz w:val="16"/>
              </w:rPr>
              <w:t>&gt;=16次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08326">
            <w:pPr>
              <w:jc w:val="center"/>
            </w:pPr>
            <w:r>
              <w:rPr>
                <w:rFonts w:ascii="宋体" w:hAnsi="宋体" w:eastAsia="宋体"/>
                <w:sz w:val="16"/>
              </w:rPr>
              <w:t>轮台县第五幼儿园工作计划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4725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D663D">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E7CDB">
            <w:pPr>
              <w:jc w:val="center"/>
            </w:pPr>
            <w:r>
              <w:rPr>
                <w:rFonts w:ascii="宋体" w:hAnsi="宋体" w:eastAsia="宋体"/>
                <w:sz w:val="16"/>
              </w:rPr>
              <w:t>15</w:t>
            </w:r>
          </w:p>
        </w:tc>
      </w:tr>
      <w:tr w14:paraId="478987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BB43B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42E0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C30FC">
            <w:pPr>
              <w:jc w:val="center"/>
            </w:pPr>
            <w:r>
              <w:rPr>
                <w:rFonts w:ascii="宋体" w:hAnsi="宋体" w:eastAsia="宋体"/>
                <w:sz w:val="16"/>
              </w:rPr>
              <w:t>开展主题教育活动次数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97326">
            <w:pPr>
              <w:jc w:val="center"/>
            </w:pPr>
            <w:r>
              <w:rPr>
                <w:rFonts w:ascii="宋体" w:hAnsi="宋体" w:eastAsia="宋体"/>
                <w:sz w:val="16"/>
              </w:rPr>
              <w:t>&gt;=38次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3ED0C">
            <w:pPr>
              <w:jc w:val="center"/>
            </w:pPr>
            <w:r>
              <w:rPr>
                <w:rFonts w:ascii="宋体" w:hAnsi="宋体" w:eastAsia="宋体"/>
                <w:sz w:val="16"/>
              </w:rPr>
              <w:t>轮台县第五幼儿园工作计划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88A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A5AEC">
            <w:pPr>
              <w:jc w:val="center"/>
            </w:pPr>
            <w:r>
              <w:rPr>
                <w:rFonts w:ascii="宋体" w:hAnsi="宋体" w:eastAsia="宋体"/>
                <w:sz w:val="16"/>
              </w:rPr>
              <w:t>38次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BB0F5">
            <w:pPr>
              <w:jc w:val="center"/>
            </w:pPr>
            <w:r>
              <w:rPr>
                <w:rFonts w:ascii="宋体" w:hAnsi="宋体" w:eastAsia="宋体"/>
                <w:sz w:val="16"/>
              </w:rPr>
              <w:t>15</w:t>
            </w:r>
          </w:p>
        </w:tc>
      </w:tr>
      <w:tr w14:paraId="50954B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48C3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E46D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6C9AA">
            <w:pPr>
              <w:jc w:val="center"/>
            </w:pPr>
            <w:r>
              <w:rPr>
                <w:rFonts w:ascii="宋体" w:hAnsi="宋体" w:eastAsia="宋体"/>
                <w:sz w:val="16"/>
              </w:rPr>
              <w:t>适龄学前教育入学率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38F8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9BAC8">
            <w:pPr>
              <w:jc w:val="center"/>
            </w:pPr>
            <w:r>
              <w:rPr>
                <w:rFonts w:ascii="宋体" w:hAnsi="宋体" w:eastAsia="宋体"/>
                <w:sz w:val="16"/>
              </w:rPr>
              <w:t>轮台县第五幼儿园工作计划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4CCC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7687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D8DB5">
            <w:pPr>
              <w:jc w:val="center"/>
            </w:pPr>
            <w:r>
              <w:rPr>
                <w:rFonts w:ascii="宋体" w:hAnsi="宋体" w:eastAsia="宋体"/>
                <w:sz w:val="16"/>
              </w:rPr>
              <w:t>15</w:t>
            </w:r>
          </w:p>
        </w:tc>
      </w:tr>
      <w:tr w14:paraId="32B3D5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27F4A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AA57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C9C74">
            <w:pPr>
              <w:jc w:val="center"/>
            </w:pPr>
            <w:r>
              <w:rPr>
                <w:rFonts w:ascii="宋体" w:hAnsi="宋体" w:eastAsia="宋体"/>
                <w:sz w:val="16"/>
              </w:rPr>
              <w:t>开展幼儿主题教育课出勤率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8A22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39A50">
            <w:pPr>
              <w:jc w:val="center"/>
            </w:pPr>
            <w:r>
              <w:rPr>
                <w:rFonts w:ascii="宋体" w:hAnsi="宋体" w:eastAsia="宋体"/>
                <w:sz w:val="16"/>
              </w:rPr>
              <w:t>轮台县第五幼儿园工作计划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767F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DFD34">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096DE">
            <w:pPr>
              <w:jc w:val="center"/>
            </w:pPr>
            <w:r>
              <w:rPr>
                <w:rFonts w:ascii="宋体" w:hAnsi="宋体" w:eastAsia="宋体"/>
                <w:sz w:val="16"/>
              </w:rPr>
              <w:t>10</w:t>
            </w:r>
          </w:p>
        </w:tc>
      </w:tr>
      <w:tr w14:paraId="39395C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850D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6B44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14CE7">
            <w:pPr>
              <w:jc w:val="center"/>
            </w:pPr>
            <w:r>
              <w:rPr>
                <w:rFonts w:ascii="宋体" w:hAnsi="宋体" w:eastAsia="宋体"/>
                <w:sz w:val="16"/>
              </w:rPr>
              <w:t>教学计划抽查反馈率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4E89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89C2C">
            <w:pPr>
              <w:jc w:val="center"/>
            </w:pPr>
            <w:r>
              <w:rPr>
                <w:rFonts w:ascii="宋体" w:hAnsi="宋体" w:eastAsia="宋体"/>
                <w:sz w:val="16"/>
              </w:rPr>
              <w:t>轮台县第五幼儿园工作计划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F58B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0264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0B32B">
            <w:pPr>
              <w:jc w:val="center"/>
            </w:pPr>
            <w:r>
              <w:rPr>
                <w:rFonts w:ascii="宋体" w:hAnsi="宋体" w:eastAsia="宋体"/>
                <w:sz w:val="16"/>
              </w:rPr>
              <w:t>10</w:t>
            </w:r>
          </w:p>
        </w:tc>
      </w:tr>
    </w:tbl>
    <w:p w14:paraId="5C995F1A">
      <w:r>
        <w:br w:type="page"/>
      </w:r>
    </w:p>
    <w:p w14:paraId="6C747AE0">
      <w:pPr>
        <w:spacing w:line="640" w:lineRule="exact"/>
        <w:ind w:firstLine="640"/>
        <w:jc w:val="both"/>
        <w:outlineLvl w:val="2"/>
      </w:pPr>
      <w:r>
        <w:rPr>
          <w:rFonts w:ascii="黑体" w:hAnsi="黑体" w:eastAsia="黑体"/>
          <w:sz w:val="32"/>
        </w:rPr>
        <w:t>十二、其他需说明的事项</w:t>
      </w:r>
    </w:p>
    <w:p w14:paraId="45049835">
      <w:pPr>
        <w:spacing w:line="580" w:lineRule="exact"/>
        <w:ind w:firstLine="640"/>
        <w:jc w:val="both"/>
      </w:pPr>
      <w:r>
        <w:rPr>
          <w:rFonts w:ascii="仿宋_GB2312" w:hAnsi="仿宋_GB2312" w:eastAsia="仿宋_GB2312"/>
          <w:b w:val="0"/>
          <w:sz w:val="32"/>
        </w:rPr>
        <w:t>本单位无其他需说明的事项。</w:t>
      </w:r>
    </w:p>
    <w:p w14:paraId="403CF19C">
      <w:r>
        <w:br w:type="page"/>
      </w:r>
    </w:p>
    <w:p w14:paraId="4EF286D3">
      <w:pPr>
        <w:spacing w:line="240" w:lineRule="auto"/>
        <w:jc w:val="center"/>
        <w:outlineLvl w:val="1"/>
      </w:pPr>
      <w:r>
        <w:rPr>
          <w:rFonts w:ascii="黑体" w:hAnsi="黑体" w:eastAsia="黑体"/>
          <w:sz w:val="32"/>
        </w:rPr>
        <w:t>第三部分 专业名词解释</w:t>
      </w:r>
    </w:p>
    <w:p w14:paraId="754E8E0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88F06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EC239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DECD4E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86E6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E4908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437E5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1C7E1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0EF06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06B8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557B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4CD55D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FD26A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8BC4E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B327AC">
      <w:r>
        <w:br w:type="page"/>
      </w:r>
    </w:p>
    <w:p w14:paraId="4C36ED5C">
      <w:pPr>
        <w:spacing w:line="240" w:lineRule="auto"/>
        <w:jc w:val="center"/>
        <w:outlineLvl w:val="1"/>
      </w:pPr>
      <w:r>
        <w:rPr>
          <w:rFonts w:ascii="黑体" w:hAnsi="黑体" w:eastAsia="黑体"/>
          <w:sz w:val="32"/>
        </w:rPr>
        <w:t>第四部分 部门决算报表（见附表）</w:t>
      </w:r>
    </w:p>
    <w:p w14:paraId="465002D5">
      <w:pPr>
        <w:spacing w:line="240" w:lineRule="auto"/>
        <w:ind w:firstLine="640"/>
        <w:jc w:val="both"/>
      </w:pPr>
      <w:r>
        <w:rPr>
          <w:rFonts w:ascii="仿宋_GB2312" w:hAnsi="仿宋_GB2312" w:eastAsia="仿宋_GB2312"/>
          <w:b w:val="0"/>
          <w:sz w:val="32"/>
        </w:rPr>
        <w:t>一、《收入支出决算总表》</w:t>
      </w:r>
    </w:p>
    <w:p w14:paraId="4E6721F9">
      <w:pPr>
        <w:spacing w:line="240" w:lineRule="auto"/>
        <w:ind w:firstLine="640"/>
        <w:jc w:val="both"/>
      </w:pPr>
      <w:r>
        <w:rPr>
          <w:rFonts w:ascii="仿宋_GB2312" w:hAnsi="仿宋_GB2312" w:eastAsia="仿宋_GB2312"/>
          <w:b w:val="0"/>
          <w:sz w:val="32"/>
        </w:rPr>
        <w:t>二、《收入决算表》</w:t>
      </w:r>
    </w:p>
    <w:p w14:paraId="31FBF70E">
      <w:pPr>
        <w:spacing w:line="240" w:lineRule="auto"/>
        <w:ind w:firstLine="640"/>
        <w:jc w:val="both"/>
      </w:pPr>
      <w:r>
        <w:rPr>
          <w:rFonts w:ascii="仿宋_GB2312" w:hAnsi="仿宋_GB2312" w:eastAsia="仿宋_GB2312"/>
          <w:b w:val="0"/>
          <w:sz w:val="32"/>
        </w:rPr>
        <w:t>三、《支出决算表》</w:t>
      </w:r>
    </w:p>
    <w:p w14:paraId="76C7D3F0">
      <w:pPr>
        <w:spacing w:line="240" w:lineRule="auto"/>
        <w:ind w:firstLine="640"/>
        <w:jc w:val="both"/>
      </w:pPr>
      <w:r>
        <w:rPr>
          <w:rFonts w:ascii="仿宋_GB2312" w:hAnsi="仿宋_GB2312" w:eastAsia="仿宋_GB2312"/>
          <w:b w:val="0"/>
          <w:sz w:val="32"/>
        </w:rPr>
        <w:t>四、《财政拨款收入支出决算总表》</w:t>
      </w:r>
    </w:p>
    <w:p w14:paraId="29F557FB">
      <w:pPr>
        <w:spacing w:line="240" w:lineRule="auto"/>
        <w:ind w:firstLine="640"/>
        <w:jc w:val="both"/>
      </w:pPr>
      <w:r>
        <w:rPr>
          <w:rFonts w:ascii="仿宋_GB2312" w:hAnsi="仿宋_GB2312" w:eastAsia="仿宋_GB2312"/>
          <w:b w:val="0"/>
          <w:sz w:val="32"/>
        </w:rPr>
        <w:t>五、《一般公共预算财政拨款支出决算表》</w:t>
      </w:r>
    </w:p>
    <w:p w14:paraId="2671276E">
      <w:pPr>
        <w:spacing w:line="240" w:lineRule="auto"/>
        <w:ind w:firstLine="640"/>
        <w:jc w:val="both"/>
      </w:pPr>
      <w:r>
        <w:rPr>
          <w:rFonts w:ascii="仿宋_GB2312" w:hAnsi="仿宋_GB2312" w:eastAsia="仿宋_GB2312"/>
          <w:b w:val="0"/>
          <w:sz w:val="32"/>
        </w:rPr>
        <w:t>六、《一般公共预算财政拨款基本支出决算表》</w:t>
      </w:r>
    </w:p>
    <w:p w14:paraId="13547BA7">
      <w:pPr>
        <w:spacing w:line="240" w:lineRule="auto"/>
        <w:ind w:firstLine="640"/>
        <w:jc w:val="both"/>
      </w:pPr>
      <w:r>
        <w:rPr>
          <w:rFonts w:ascii="仿宋_GB2312" w:hAnsi="仿宋_GB2312" w:eastAsia="仿宋_GB2312"/>
          <w:b w:val="0"/>
          <w:sz w:val="32"/>
        </w:rPr>
        <w:t>七、《政府性基金预算财政拨款收入支出决算表》</w:t>
      </w:r>
    </w:p>
    <w:p w14:paraId="754214E6">
      <w:pPr>
        <w:spacing w:line="240" w:lineRule="auto"/>
        <w:ind w:firstLine="640"/>
        <w:jc w:val="both"/>
      </w:pPr>
      <w:r>
        <w:rPr>
          <w:rFonts w:ascii="仿宋_GB2312" w:hAnsi="仿宋_GB2312" w:eastAsia="仿宋_GB2312"/>
          <w:b w:val="0"/>
          <w:sz w:val="32"/>
        </w:rPr>
        <w:t>八、《国有资本经营预算财政拨款收入支出决算表》</w:t>
      </w:r>
    </w:p>
    <w:p w14:paraId="13C3EE5E">
      <w:pPr>
        <w:spacing w:line="240" w:lineRule="auto"/>
        <w:ind w:firstLine="640"/>
        <w:jc w:val="both"/>
      </w:pPr>
      <w:r>
        <w:rPr>
          <w:rFonts w:ascii="仿宋_GB2312" w:hAnsi="仿宋_GB2312" w:eastAsia="仿宋_GB2312"/>
          <w:b w:val="0"/>
          <w:sz w:val="32"/>
        </w:rPr>
        <w:t>九、《财政拨款“三公”经费支出决算表》</w:t>
      </w:r>
    </w:p>
    <w:p w14:paraId="54D1AA43">
      <w:pPr>
        <w:spacing w:line="240" w:lineRule="auto"/>
        <w:ind w:firstLine="640"/>
        <w:jc w:val="both"/>
      </w:pPr>
    </w:p>
    <w:p w14:paraId="7B29637C">
      <w:pPr>
        <w:spacing w:line="240" w:lineRule="auto"/>
        <w:ind w:firstLine="640"/>
        <w:jc w:val="both"/>
      </w:pPr>
    </w:p>
    <w:p w14:paraId="7E092250">
      <w:pPr>
        <w:spacing w:line="240" w:lineRule="auto"/>
        <w:ind w:firstLine="640"/>
        <w:jc w:val="both"/>
      </w:pPr>
    </w:p>
    <w:p w14:paraId="2F7915E8">
      <w:pPr>
        <w:spacing w:line="240" w:lineRule="auto"/>
        <w:ind w:firstLine="640"/>
        <w:jc w:val="both"/>
      </w:pPr>
    </w:p>
    <w:p w14:paraId="05BD09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EF1823-6E43-4FEE-9608-46A83EC670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CA84F09-FAEC-4F11-9E9D-F528820E832B}"/>
  </w:font>
  <w:font w:name="仿宋_GB2312">
    <w:panose1 w:val="02010609030101010101"/>
    <w:charset w:val="86"/>
    <w:family w:val="modern"/>
    <w:pitch w:val="default"/>
    <w:sig w:usb0="00000001" w:usb1="080E0000" w:usb2="00000000" w:usb3="00000000" w:csb0="00040000" w:csb1="00000000"/>
    <w:embedRegular r:id="rId3" w:fontKey="{E114D9C4-BDD6-4777-828B-5DE187E46EBA}"/>
  </w:font>
  <w:font w:name="楷体_GB2312">
    <w:panose1 w:val="02010609030101010101"/>
    <w:charset w:val="86"/>
    <w:family w:val="auto"/>
    <w:pitch w:val="default"/>
    <w:sig w:usb0="00000001" w:usb1="080E0000" w:usb2="00000000" w:usb3="00000000" w:csb0="00040000" w:csb1="00000000"/>
    <w:embedRegular r:id="rId4" w:fontKey="{FA73A79D-F8AF-4779-9843-A0566B6978A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54612C"/>
    <w:rsid w:val="1B8F2D19"/>
    <w:rsid w:val="1C317E4F"/>
    <w:rsid w:val="1C472464"/>
    <w:rsid w:val="1DAF458D"/>
    <w:rsid w:val="1E086ACE"/>
    <w:rsid w:val="1E4B5CA5"/>
    <w:rsid w:val="1EAA4A5F"/>
    <w:rsid w:val="1F587A0B"/>
    <w:rsid w:val="2064678E"/>
    <w:rsid w:val="20BC0B75"/>
    <w:rsid w:val="20DD6197"/>
    <w:rsid w:val="21F317F2"/>
    <w:rsid w:val="2241392C"/>
    <w:rsid w:val="237407E3"/>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4038</Words>
  <Characters>4570</Characters>
  <Lines>0</Lines>
  <Paragraphs>0</Paragraphs>
  <TotalTime>4</TotalTime>
  <ScaleCrop>false</ScaleCrop>
  <LinksUpToDate>false</LinksUpToDate>
  <CharactersWithSpaces>4578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2025-09-16T05:11:22Z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