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轮台县红十字会2024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9B48047">
      <w:r>
        <w:br w:type="page"/>
      </w:r>
    </w:p>
    <w:p w14:paraId="0E522895">
      <w:pPr>
        <w:spacing w:line="640" w:lineRule="exact"/>
        <w:jc w:val="center"/>
        <w:outlineLvl w:val="1"/>
      </w:pPr>
      <w:r>
        <w:rPr>
          <w:rFonts w:ascii="黑体" w:hAnsi="黑体" w:eastAsia="黑体"/>
          <w:sz w:val="32"/>
        </w:rPr>
        <w:t>第一部分 单位概况</w:t>
      </w:r>
    </w:p>
    <w:p w14:paraId="09968F06">
      <w:pPr>
        <w:spacing w:line="640" w:lineRule="exact"/>
        <w:ind w:firstLine="640"/>
        <w:jc w:val="both"/>
        <w:outlineLvl w:val="2"/>
      </w:pPr>
      <w:r>
        <w:rPr>
          <w:rFonts w:ascii="黑体" w:hAnsi="黑体" w:eastAsia="黑体"/>
          <w:sz w:val="32"/>
        </w:rPr>
        <w:t>一、主要职能</w:t>
      </w:r>
    </w:p>
    <w:p w14:paraId="72F9A6B9">
      <w:pPr>
        <w:spacing w:line="580" w:lineRule="exact"/>
        <w:ind w:firstLine="640"/>
        <w:jc w:val="both"/>
      </w:pPr>
      <w:r>
        <w:rPr>
          <w:rFonts w:ascii="仿宋_GB2312" w:hAnsi="仿宋_GB2312" w:eastAsia="仿宋_GB2312"/>
          <w:sz w:val="32"/>
        </w:rPr>
        <w:t>（一）开展应急救护和防病知识的宣传、普及、培训。</w:t>
      </w:r>
    </w:p>
    <w:p w14:paraId="3CA2C28F">
      <w:pPr>
        <w:spacing w:line="580" w:lineRule="exact"/>
        <w:ind w:firstLine="640"/>
        <w:jc w:val="both"/>
      </w:pPr>
      <w:r>
        <w:rPr>
          <w:rFonts w:ascii="仿宋_GB2312" w:hAnsi="仿宋_GB2312" w:eastAsia="仿宋_GB2312"/>
          <w:sz w:val="32"/>
        </w:rPr>
        <w:t>（二）在机关、企事业单位、社区、农村、学校和易发生意外伤害的行业和人群中开展初级卫生救护培训，组织群众参加意外伤害和自然灾害的现场救护；提高应急条件下的应急救助能力和水平。</w:t>
      </w:r>
    </w:p>
    <w:p w14:paraId="364FE9AB">
      <w:pPr>
        <w:spacing w:line="580" w:lineRule="exact"/>
        <w:ind w:firstLine="640"/>
        <w:jc w:val="both"/>
      </w:pPr>
      <w:r>
        <w:rPr>
          <w:rFonts w:ascii="仿宋_GB2312" w:hAnsi="仿宋_GB2312" w:eastAsia="仿宋_GB2312"/>
          <w:sz w:val="32"/>
        </w:rPr>
        <w:t>（三）开展捐献造血干细胞的宣传动员、组织工作。</w:t>
      </w:r>
    </w:p>
    <w:p w14:paraId="4F7F7BD3">
      <w:pPr>
        <w:spacing w:line="580" w:lineRule="exact"/>
        <w:ind w:firstLine="640"/>
        <w:jc w:val="both"/>
      </w:pPr>
      <w:r>
        <w:rPr>
          <w:rFonts w:ascii="仿宋_GB2312" w:hAnsi="仿宋_GB2312" w:eastAsia="仿宋_GB2312"/>
          <w:sz w:val="32"/>
        </w:rPr>
        <w:t>（四）开展无偿献血的宣传推动工作。</w:t>
      </w:r>
    </w:p>
    <w:p w14:paraId="3690B465">
      <w:pPr>
        <w:spacing w:line="580" w:lineRule="exact"/>
        <w:ind w:firstLine="640"/>
        <w:jc w:val="both"/>
      </w:pPr>
      <w:r>
        <w:rPr>
          <w:rFonts w:ascii="仿宋_GB2312" w:hAnsi="仿宋_GB2312" w:eastAsia="仿宋_GB2312"/>
          <w:sz w:val="32"/>
        </w:rPr>
        <w:t>（五）开展社会救助及相关服务工作。</w:t>
      </w:r>
    </w:p>
    <w:p w14:paraId="6502B1E5">
      <w:pPr>
        <w:spacing w:line="580" w:lineRule="exact"/>
        <w:ind w:firstLine="640"/>
        <w:jc w:val="both"/>
      </w:pPr>
      <w:r>
        <w:rPr>
          <w:rFonts w:ascii="仿宋_GB2312" w:hAnsi="仿宋_GB2312" w:eastAsia="仿宋_GB2312"/>
          <w:sz w:val="32"/>
        </w:rPr>
        <w:t>（六）对易受损人群进行救助，为困难群众提供服务。</w:t>
      </w:r>
    </w:p>
    <w:p w14:paraId="26068AAD">
      <w:pPr>
        <w:spacing w:line="580" w:lineRule="exact"/>
        <w:ind w:firstLine="640"/>
        <w:jc w:val="both"/>
      </w:pPr>
      <w:r>
        <w:rPr>
          <w:rFonts w:ascii="仿宋_GB2312" w:hAnsi="仿宋_GB2312" w:eastAsia="仿宋_GB2312"/>
          <w:sz w:val="32"/>
        </w:rPr>
        <w:t>（七）依法开展和推动遗体、器官（组织）捐献工作。</w:t>
      </w:r>
    </w:p>
    <w:p w14:paraId="3E5B2C85">
      <w:pPr>
        <w:spacing w:line="580" w:lineRule="exact"/>
        <w:ind w:firstLine="640"/>
        <w:jc w:val="both"/>
      </w:pPr>
      <w:r>
        <w:rPr>
          <w:rFonts w:ascii="仿宋_GB2312" w:hAnsi="仿宋_GB2312" w:eastAsia="仿宋_GB2312"/>
          <w:sz w:val="32"/>
        </w:rPr>
        <w:t>（八）开展</w:t>
      </w:r>
      <w:r>
        <w:rPr>
          <w:rFonts w:hint="eastAsia" w:ascii="仿宋_GB2312" w:hAnsi="仿宋_GB2312" w:eastAsia="仿宋_GB2312"/>
          <w:sz w:val="32"/>
          <w:lang w:eastAsia="zh-CN"/>
        </w:rPr>
        <w:t>AZB</w:t>
      </w:r>
      <w:r>
        <w:rPr>
          <w:rFonts w:ascii="仿宋_GB2312" w:hAnsi="仿宋_GB2312" w:eastAsia="仿宋_GB2312"/>
          <w:sz w:val="32"/>
        </w:rPr>
        <w:t>预防控制宣传和教育、关心爱护</w:t>
      </w:r>
      <w:r>
        <w:rPr>
          <w:rFonts w:hint="eastAsia" w:ascii="仿宋_GB2312" w:hAnsi="仿宋_GB2312" w:eastAsia="仿宋_GB2312"/>
          <w:sz w:val="32"/>
          <w:lang w:eastAsia="zh-CN"/>
        </w:rPr>
        <w:t>AZB</w:t>
      </w:r>
      <w:r>
        <w:rPr>
          <w:rFonts w:ascii="仿宋_GB2312" w:hAnsi="仿宋_GB2312" w:eastAsia="仿宋_GB2312"/>
          <w:sz w:val="32"/>
        </w:rPr>
        <w:t>病毒感染者、患者及其他人道救助工作。</w:t>
      </w:r>
    </w:p>
    <w:p w14:paraId="0FE05E22">
      <w:pPr>
        <w:spacing w:line="580" w:lineRule="exact"/>
        <w:ind w:firstLine="640"/>
        <w:jc w:val="both"/>
      </w:pPr>
      <w:r>
        <w:rPr>
          <w:rFonts w:ascii="仿宋_GB2312" w:hAnsi="仿宋_GB2312" w:eastAsia="仿宋_GB2312"/>
          <w:sz w:val="32"/>
        </w:rPr>
        <w:t>（九）开展有益于青少年身心健康的红十字青少年活动。</w:t>
      </w:r>
    </w:p>
    <w:p w14:paraId="74BE8EA4">
      <w:pPr>
        <w:spacing w:line="580" w:lineRule="exact"/>
        <w:ind w:firstLine="640"/>
        <w:jc w:val="both"/>
      </w:pPr>
      <w:r>
        <w:rPr>
          <w:rFonts w:ascii="仿宋_GB2312" w:hAnsi="仿宋_GB2312" w:eastAsia="仿宋_GB2312"/>
          <w:sz w:val="32"/>
        </w:rPr>
        <w:t>（十）开展红十字志愿服务活动。</w:t>
      </w:r>
    </w:p>
    <w:p w14:paraId="43150D26">
      <w:pPr>
        <w:spacing w:line="580" w:lineRule="exact"/>
        <w:ind w:firstLine="640"/>
        <w:jc w:val="both"/>
      </w:pPr>
      <w:r>
        <w:rPr>
          <w:rFonts w:ascii="仿宋_GB2312" w:hAnsi="仿宋_GB2312" w:eastAsia="仿宋_GB2312"/>
          <w:sz w:val="32"/>
        </w:rPr>
        <w:t>（十一）开展救灾备灾工作等。</w:t>
      </w:r>
    </w:p>
    <w:p w14:paraId="78BFFD7A">
      <w:pPr>
        <w:spacing w:line="640" w:lineRule="exact"/>
        <w:ind w:firstLine="640"/>
        <w:jc w:val="both"/>
        <w:outlineLvl w:val="2"/>
      </w:pPr>
      <w:r>
        <w:rPr>
          <w:rFonts w:ascii="黑体" w:hAnsi="黑体" w:eastAsia="黑体"/>
          <w:sz w:val="32"/>
        </w:rPr>
        <w:t>二、机构设置及人员情况</w:t>
      </w:r>
    </w:p>
    <w:p w14:paraId="3BA767E9">
      <w:pPr>
        <w:spacing w:line="580" w:lineRule="exact"/>
        <w:ind w:firstLine="640"/>
        <w:jc w:val="both"/>
      </w:pPr>
      <w:r>
        <w:rPr>
          <w:rFonts w:ascii="仿宋_GB2312" w:hAnsi="仿宋_GB2312" w:eastAsia="仿宋_GB2312"/>
          <w:sz w:val="32"/>
        </w:rPr>
        <w:t>轮台县红十字会2024年度，实有人数5人，其中：在职人员2人，增加0人；离休人员0人，增加0人；退休人员3人,增加0人。</w:t>
      </w:r>
    </w:p>
    <w:p w14:paraId="21651716">
      <w:pPr>
        <w:spacing w:line="580" w:lineRule="exact"/>
        <w:ind w:firstLine="640"/>
        <w:jc w:val="both"/>
      </w:pPr>
      <w:r>
        <w:rPr>
          <w:rFonts w:ascii="仿宋_GB2312" w:hAnsi="仿宋_GB2312" w:eastAsia="仿宋_GB2312"/>
          <w:sz w:val="32"/>
        </w:rPr>
        <w:t>轮台县红十字会无下属预算单位，下设1个科室，分别是：办公室。</w:t>
      </w:r>
    </w:p>
    <w:p w14:paraId="7BA336C2">
      <w:r>
        <w:br w:type="page"/>
      </w:r>
    </w:p>
    <w:p w14:paraId="066F062D">
      <w:pPr>
        <w:spacing w:line="240" w:lineRule="auto"/>
        <w:jc w:val="center"/>
        <w:outlineLvl w:val="1"/>
      </w:pPr>
      <w:r>
        <w:rPr>
          <w:rFonts w:ascii="黑体" w:hAnsi="黑体" w:eastAsia="黑体"/>
          <w:sz w:val="32"/>
        </w:rPr>
        <w:t>第二部分 部门决算情况说明</w:t>
      </w:r>
    </w:p>
    <w:p w14:paraId="07251963">
      <w:pPr>
        <w:spacing w:line="640" w:lineRule="exact"/>
        <w:ind w:firstLine="640"/>
        <w:jc w:val="both"/>
        <w:outlineLvl w:val="2"/>
      </w:pPr>
      <w:r>
        <w:rPr>
          <w:rFonts w:ascii="黑体" w:hAnsi="黑体" w:eastAsia="黑体"/>
          <w:sz w:val="32"/>
        </w:rPr>
        <w:t>一、收入支出决算总体情况说明</w:t>
      </w:r>
    </w:p>
    <w:p w14:paraId="02E490C7">
      <w:pPr>
        <w:spacing w:line="580" w:lineRule="exact"/>
        <w:ind w:firstLine="640"/>
        <w:jc w:val="both"/>
      </w:pPr>
      <w:r>
        <w:rPr>
          <w:rFonts w:ascii="仿宋_GB2312" w:hAnsi="仿宋_GB2312" w:eastAsia="仿宋_GB2312"/>
          <w:b/>
          <w:sz w:val="32"/>
        </w:rPr>
        <w:t>2024年度收入总计41.98万元，</w:t>
      </w:r>
      <w:r>
        <w:rPr>
          <w:rFonts w:ascii="仿宋_GB2312" w:hAnsi="仿宋_GB2312" w:eastAsia="仿宋_GB2312"/>
          <w:b w:val="0"/>
          <w:sz w:val="32"/>
        </w:rPr>
        <w:t>其中：本年收入合计37.76万元，使用非财政拨款结余（含专用结余）0.00万元，年初结转和结余4.22万元。</w:t>
      </w:r>
    </w:p>
    <w:p w14:paraId="3E7469D3">
      <w:pPr>
        <w:spacing w:line="580" w:lineRule="exact"/>
        <w:ind w:firstLine="640"/>
        <w:jc w:val="both"/>
      </w:pPr>
      <w:r>
        <w:rPr>
          <w:rFonts w:ascii="仿宋_GB2312" w:hAnsi="仿宋_GB2312" w:eastAsia="仿宋_GB2312"/>
          <w:b/>
          <w:sz w:val="32"/>
        </w:rPr>
        <w:t>2024年度支出总计41.98万元，</w:t>
      </w:r>
      <w:r>
        <w:rPr>
          <w:rFonts w:ascii="仿宋_GB2312" w:hAnsi="仿宋_GB2312" w:eastAsia="仿宋_GB2312"/>
          <w:b w:val="0"/>
          <w:sz w:val="32"/>
        </w:rPr>
        <w:t>其中：本年支出合计40.60万元，结余分配0.00万元，年末结转和结余1.39万元。</w:t>
      </w:r>
    </w:p>
    <w:p w14:paraId="711FAD01">
      <w:pPr>
        <w:spacing w:line="580" w:lineRule="exact"/>
        <w:ind w:firstLine="640"/>
        <w:jc w:val="both"/>
      </w:pPr>
      <w:r>
        <w:rPr>
          <w:rFonts w:ascii="仿宋_GB2312" w:hAnsi="仿宋_GB2312" w:eastAsia="仿宋_GB2312"/>
          <w:b w:val="0"/>
          <w:sz w:val="32"/>
        </w:rPr>
        <w:t>收入支出总体与上年相比，减少48.41万元，下降53.56%，主要原因是：本年度</w:t>
      </w:r>
      <w:r>
        <w:rPr>
          <w:rFonts w:hint="eastAsia" w:ascii="仿宋_GB2312" w:hAnsi="仿宋_GB2312" w:eastAsia="仿宋_GB2312"/>
          <w:b w:val="0"/>
          <w:sz w:val="32"/>
        </w:rPr>
        <w:t>造血干细胞血样采集</w:t>
      </w:r>
      <w:r>
        <w:rPr>
          <w:rFonts w:hint="eastAsia" w:ascii="仿宋_GB2312" w:hAnsi="仿宋_GB2312" w:eastAsia="仿宋_GB2312"/>
          <w:b w:val="0"/>
          <w:sz w:val="32"/>
          <w:lang w:val="en-US" w:eastAsia="zh-CN"/>
        </w:rPr>
        <w:t>经费及</w:t>
      </w:r>
      <w:bookmarkStart w:id="0" w:name="_GoBack"/>
      <w:bookmarkEnd w:id="0"/>
      <w:r>
        <w:rPr>
          <w:rFonts w:ascii="仿宋_GB2312" w:hAnsi="仿宋_GB2312" w:eastAsia="仿宋_GB2312"/>
          <w:b w:val="0"/>
          <w:sz w:val="32"/>
        </w:rPr>
        <w:t>捐赠收入减少。</w:t>
      </w:r>
    </w:p>
    <w:p w14:paraId="0F0A6969">
      <w:pPr>
        <w:spacing w:line="640" w:lineRule="exact"/>
        <w:ind w:firstLine="640"/>
        <w:jc w:val="both"/>
        <w:outlineLvl w:val="2"/>
      </w:pPr>
      <w:r>
        <w:rPr>
          <w:rFonts w:ascii="黑体" w:hAnsi="黑体" w:eastAsia="黑体"/>
          <w:sz w:val="32"/>
        </w:rPr>
        <w:t>二、收入决算情况说明</w:t>
      </w:r>
    </w:p>
    <w:p w14:paraId="4B66FB06">
      <w:pPr>
        <w:spacing w:line="580" w:lineRule="exact"/>
        <w:ind w:firstLine="640"/>
        <w:jc w:val="both"/>
      </w:pPr>
      <w:r>
        <w:rPr>
          <w:rFonts w:ascii="仿宋_GB2312" w:hAnsi="仿宋_GB2312" w:eastAsia="仿宋_GB2312"/>
          <w:b/>
          <w:sz w:val="32"/>
        </w:rPr>
        <w:t>本年收入37.76万元，</w:t>
      </w:r>
      <w:r>
        <w:rPr>
          <w:rFonts w:ascii="仿宋_GB2312" w:hAnsi="仿宋_GB2312" w:eastAsia="仿宋_GB2312"/>
          <w:b w:val="0"/>
          <w:sz w:val="32"/>
        </w:rPr>
        <w:t>其中：财政拨款收入35.42万元，占93.80%；上级补助收入0.00万元，占0.00%；事业收入0.00万元，占0.00%；经营收入0.00万元，占0.00%；附属单位上缴收入0.00万元，占0.00%；其他收入2.34万元，占6.20%。</w:t>
      </w:r>
    </w:p>
    <w:p w14:paraId="69AA4EE2">
      <w:pPr>
        <w:spacing w:line="640" w:lineRule="exact"/>
        <w:ind w:firstLine="640"/>
        <w:jc w:val="both"/>
        <w:outlineLvl w:val="2"/>
      </w:pPr>
      <w:r>
        <w:rPr>
          <w:rFonts w:ascii="黑体" w:hAnsi="黑体" w:eastAsia="黑体"/>
          <w:sz w:val="32"/>
        </w:rPr>
        <w:t>三、支出决算情况说明</w:t>
      </w:r>
    </w:p>
    <w:p w14:paraId="180EB3E4">
      <w:pPr>
        <w:spacing w:line="580" w:lineRule="exact"/>
        <w:ind w:firstLine="640"/>
        <w:jc w:val="both"/>
      </w:pPr>
      <w:r>
        <w:rPr>
          <w:rFonts w:ascii="仿宋_GB2312" w:hAnsi="仿宋_GB2312" w:eastAsia="仿宋_GB2312"/>
          <w:b/>
          <w:sz w:val="32"/>
        </w:rPr>
        <w:t>本年支出40.60万元，</w:t>
      </w:r>
      <w:r>
        <w:rPr>
          <w:rFonts w:ascii="仿宋_GB2312" w:hAnsi="仿宋_GB2312" w:eastAsia="仿宋_GB2312"/>
          <w:b w:val="0"/>
          <w:sz w:val="32"/>
        </w:rPr>
        <w:t>其中：基本支出40.60万元，占100.00%；项目支出0.00万元，占0.00%；上缴上级支出0.00万元，占0.00%；经营支出0.00万元，占0.00%；对附属单位补助支出0.00万元，占0.00%。</w:t>
      </w:r>
    </w:p>
    <w:p w14:paraId="54BDE71B">
      <w:pPr>
        <w:spacing w:line="640" w:lineRule="exact"/>
        <w:ind w:firstLine="640"/>
        <w:jc w:val="both"/>
        <w:outlineLvl w:val="2"/>
      </w:pPr>
      <w:r>
        <w:rPr>
          <w:rFonts w:ascii="黑体" w:hAnsi="黑体" w:eastAsia="黑体"/>
          <w:sz w:val="32"/>
        </w:rPr>
        <w:t>四、财政拨款收入支出决算总体情况说明</w:t>
      </w:r>
    </w:p>
    <w:p w14:paraId="20669A62">
      <w:pPr>
        <w:spacing w:line="580" w:lineRule="exact"/>
        <w:ind w:firstLine="640"/>
        <w:jc w:val="both"/>
      </w:pPr>
      <w:r>
        <w:rPr>
          <w:rFonts w:ascii="仿宋_GB2312" w:hAnsi="仿宋_GB2312" w:eastAsia="仿宋_GB2312"/>
          <w:b/>
          <w:sz w:val="32"/>
        </w:rPr>
        <w:t>2024年度财政拨款收入总计35.42万元，</w:t>
      </w:r>
      <w:r>
        <w:rPr>
          <w:rFonts w:ascii="仿宋_GB2312" w:hAnsi="仿宋_GB2312" w:eastAsia="仿宋_GB2312"/>
          <w:b w:val="0"/>
          <w:sz w:val="32"/>
        </w:rPr>
        <w:t>其中：年初财政拨款结转和结余0.00万元，本年财政拨款收入35.42万元。</w:t>
      </w:r>
      <w:r>
        <w:rPr>
          <w:rFonts w:ascii="仿宋_GB2312" w:hAnsi="仿宋_GB2312" w:eastAsia="仿宋_GB2312"/>
          <w:b/>
          <w:sz w:val="32"/>
        </w:rPr>
        <w:t>财政拨款支出总计35.42万元，</w:t>
      </w:r>
      <w:r>
        <w:rPr>
          <w:rFonts w:ascii="仿宋_GB2312" w:hAnsi="仿宋_GB2312" w:eastAsia="仿宋_GB2312"/>
          <w:b w:val="0"/>
          <w:sz w:val="32"/>
        </w:rPr>
        <w:t>其中：年末财政拨款结转和结余0.00万元，本年财政拨款支出35.42万元。</w:t>
      </w:r>
    </w:p>
    <w:p w14:paraId="6C8958C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增加1.32万元，增长3.87%，主要原因是：本年在职人员工资调增，社保、公积金基数调增，人员经费增加。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年初预算数39.84万元，决算数35.42万元，预决算差异率-11.09%，主要原因是：年中调减人员工资、职业年金等经费，导致预决算存在差异。</w:t>
      </w:r>
    </w:p>
    <w:p w14:paraId="2D6C5AFD">
      <w:pPr>
        <w:spacing w:line="640" w:lineRule="exact"/>
        <w:ind w:firstLine="640"/>
        <w:jc w:val="both"/>
        <w:outlineLvl w:val="2"/>
      </w:pPr>
      <w:r>
        <w:rPr>
          <w:rFonts w:ascii="黑体" w:hAnsi="黑体" w:eastAsia="黑体"/>
          <w:sz w:val="32"/>
        </w:rPr>
        <w:t>五、一般公共预算财政拨款支出决算情况说明</w:t>
      </w:r>
    </w:p>
    <w:p w14:paraId="443A00CE">
      <w:pPr>
        <w:spacing w:line="640" w:lineRule="exact"/>
        <w:ind w:firstLine="640"/>
        <w:jc w:val="both"/>
        <w:outlineLvl w:val="3"/>
      </w:pPr>
      <w:r>
        <w:rPr>
          <w:rFonts w:ascii="楷体_GB2312" w:hAnsi="楷体_GB2312" w:eastAsia="楷体_GB2312"/>
          <w:b/>
          <w:sz w:val="32"/>
        </w:rPr>
        <w:t>（一）一般公共预算财政拨款支出决算总体情况</w:t>
      </w:r>
    </w:p>
    <w:p w14:paraId="34DA2DCC">
      <w:pPr>
        <w:spacing w:line="580" w:lineRule="exact"/>
        <w:ind w:firstLine="640"/>
        <w:jc w:val="both"/>
      </w:pPr>
      <w:r>
        <w:rPr>
          <w:rFonts w:ascii="仿宋_GB2312" w:hAnsi="仿宋_GB2312" w:eastAsia="仿宋_GB2312"/>
          <w:b/>
          <w:sz w:val="32"/>
        </w:rPr>
        <w:t>2024年度一般公共预算财政拨款支出35.42万元，</w:t>
      </w:r>
      <w:r>
        <w:rPr>
          <w:rFonts w:ascii="仿宋_GB2312" w:hAnsi="仿宋_GB2312" w:eastAsia="仿宋_GB2312"/>
          <w:b w:val="0"/>
          <w:sz w:val="32"/>
        </w:rPr>
        <w:t>占本年支出合计的87.24%。</w:t>
      </w:r>
      <w:r>
        <w:rPr>
          <w:rFonts w:ascii="仿宋_GB2312" w:hAnsi="仿宋_GB2312" w:eastAsia="仿宋_GB2312"/>
          <w:b/>
          <w:sz w:val="32"/>
        </w:rPr>
        <w:t>与上年相比，</w:t>
      </w:r>
      <w:r>
        <w:rPr>
          <w:rFonts w:ascii="仿宋_GB2312" w:hAnsi="仿宋_GB2312" w:eastAsia="仿宋_GB2312"/>
          <w:b w:val="0"/>
          <w:sz w:val="32"/>
        </w:rPr>
        <w:t>增加1.32万元，增长3.87%，主要原因是：本年在职人员工资调增，社保、公积金基数调增，人员经费增加。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年初预算数39.84万元，决算数35.42万元，预决算差异率-11.09%，主要原因是：年中调减人员工资、职业年金等经费，导致预决算存在差异。</w:t>
      </w:r>
    </w:p>
    <w:p w14:paraId="3C97A0F6">
      <w:pPr>
        <w:spacing w:line="640" w:lineRule="exact"/>
        <w:ind w:firstLine="640"/>
        <w:jc w:val="both"/>
        <w:outlineLvl w:val="3"/>
      </w:pPr>
      <w:r>
        <w:rPr>
          <w:rFonts w:ascii="楷体_GB2312" w:hAnsi="楷体_GB2312" w:eastAsia="楷体_GB2312"/>
          <w:b/>
          <w:sz w:val="32"/>
        </w:rPr>
        <w:t>（二）一般公共预算财政拨款支出决算结构情况</w:t>
      </w:r>
    </w:p>
    <w:p w14:paraId="0CFCC6F9">
      <w:pPr>
        <w:spacing w:line="580" w:lineRule="exact"/>
        <w:ind w:firstLine="640"/>
        <w:jc w:val="both"/>
      </w:pPr>
      <w:r>
        <w:rPr>
          <w:rFonts w:ascii="仿宋_GB2312" w:hAnsi="仿宋_GB2312" w:eastAsia="仿宋_GB2312"/>
          <w:b w:val="0"/>
          <w:sz w:val="32"/>
        </w:rPr>
        <w:t>1.社会保障和就业支出(类)30.45万元,占85.97%。</w:t>
      </w:r>
    </w:p>
    <w:p w14:paraId="1919686D">
      <w:pPr>
        <w:spacing w:line="580" w:lineRule="exact"/>
        <w:ind w:firstLine="640"/>
        <w:jc w:val="both"/>
      </w:pPr>
      <w:r>
        <w:rPr>
          <w:rFonts w:ascii="仿宋_GB2312" w:hAnsi="仿宋_GB2312" w:eastAsia="仿宋_GB2312"/>
          <w:b w:val="0"/>
          <w:sz w:val="32"/>
        </w:rPr>
        <w:t>2.卫生健康支出(类)2.21万元,占6.24%。</w:t>
      </w:r>
    </w:p>
    <w:p w14:paraId="14782A81">
      <w:pPr>
        <w:spacing w:line="580" w:lineRule="exact"/>
        <w:ind w:firstLine="640"/>
        <w:jc w:val="both"/>
      </w:pPr>
      <w:r>
        <w:rPr>
          <w:rFonts w:ascii="仿宋_GB2312" w:hAnsi="仿宋_GB2312" w:eastAsia="仿宋_GB2312"/>
          <w:b w:val="0"/>
          <w:sz w:val="32"/>
        </w:rPr>
        <w:t>3.住房保障支出(类)2.77万元,占7.82%。</w:t>
      </w:r>
    </w:p>
    <w:p w14:paraId="6C71018E">
      <w:pPr>
        <w:spacing w:line="640" w:lineRule="exact"/>
        <w:ind w:firstLine="640"/>
        <w:jc w:val="both"/>
        <w:outlineLvl w:val="3"/>
      </w:pPr>
      <w:r>
        <w:rPr>
          <w:rFonts w:ascii="楷体_GB2312" w:hAnsi="楷体_GB2312" w:eastAsia="楷体_GB2312"/>
          <w:b/>
          <w:sz w:val="32"/>
        </w:rPr>
        <w:t>（三）一般公共预算财政拨款支出决算具体情况</w:t>
      </w:r>
    </w:p>
    <w:p w14:paraId="58EE76C9">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1.社会保障和就业支出(类)行政事业单位养老支出(款)行政单位离退休(项):支出决算数为2.60万元，比上年决算增加0.63万元，增长31.98%,主要原因是：本年增加退休人员基础绩效奖，退休费支出增加。</w:t>
      </w:r>
    </w:p>
    <w:p w14:paraId="1F3FF4EF">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3.44万元，比上年决算增加0.33万元，增长10.61%,主要原因是：本年在职人员工资基数调增，养老缴费基数上涨，相应支出增加。</w:t>
      </w:r>
    </w:p>
    <w:p w14:paraId="3060C084">
      <w:pPr>
        <w:spacing w:line="580" w:lineRule="exact"/>
        <w:ind w:firstLine="640"/>
        <w:jc w:val="both"/>
      </w:pPr>
      <w:r>
        <w:rPr>
          <w:rFonts w:ascii="仿宋_GB2312" w:hAnsi="仿宋_GB2312" w:eastAsia="仿宋_GB2312"/>
          <w:b w:val="0"/>
          <w:sz w:val="32"/>
        </w:rPr>
        <w:t>3.社会保障和就业支出(类)红十字事业(款)行政运行(项):支出决算数为24.41万元，比上年决算减少0.21万元，下降0.85%,主要原因是：本年减少差旅费、办公用品费，导致相关经费减少。</w:t>
      </w:r>
    </w:p>
    <w:p w14:paraId="567D0072">
      <w:pPr>
        <w:spacing w:line="580" w:lineRule="exact"/>
        <w:ind w:firstLine="640"/>
        <w:jc w:val="both"/>
      </w:pPr>
      <w:r>
        <w:rPr>
          <w:rFonts w:ascii="仿宋_GB2312" w:hAnsi="仿宋_GB2312" w:eastAsia="仿宋_GB2312"/>
          <w:b w:val="0"/>
          <w:sz w:val="32"/>
        </w:rPr>
        <w:t>4.卫生健康支出(类)行政事业单位医疗(款)行政单位医疗(项):支出决算数为1.56万元，比上年决算增加0.14万元，增长9.86%,主要原因是：本年在职人员工资基数调增，医疗缴费基数上涨，相应支出增加。</w:t>
      </w:r>
    </w:p>
    <w:p w14:paraId="244F0CF1">
      <w:pPr>
        <w:spacing w:line="580" w:lineRule="exact"/>
        <w:ind w:firstLine="640"/>
        <w:jc w:val="both"/>
      </w:pPr>
      <w:r>
        <w:rPr>
          <w:rFonts w:ascii="仿宋_GB2312" w:hAnsi="仿宋_GB2312" w:eastAsia="仿宋_GB2312"/>
          <w:b w:val="0"/>
          <w:sz w:val="32"/>
        </w:rPr>
        <w:t>5.卫生健康支出(类)行政事业单位医疗(款)公务员医疗补助(项):支出决算数为0.65万元，比上年决算增加0.01万元，增长1.56%,主要原因是：本年在职人员工资基数调增，医疗缴费基数上涨，相应支出增加。</w:t>
      </w:r>
    </w:p>
    <w:p w14:paraId="15E1C76E">
      <w:pPr>
        <w:spacing w:line="580" w:lineRule="exact"/>
        <w:ind w:firstLine="640"/>
        <w:jc w:val="both"/>
      </w:pPr>
      <w:r>
        <w:rPr>
          <w:rFonts w:ascii="仿宋_GB2312" w:hAnsi="仿宋_GB2312" w:eastAsia="仿宋_GB2312"/>
          <w:b w:val="0"/>
          <w:sz w:val="32"/>
        </w:rPr>
        <w:t>6.住房保障支出(类)住房改革支出(款)住房公积金(项):支出决算数为2.77万元，比上年决算增加0.42万元，增长17.87%,主要原因是：本年在职人员工资基数调增，公积金缴费基数上涨，相应支出增加。</w:t>
      </w:r>
    </w:p>
    <w:p w14:paraId="675394B0">
      <w:pPr>
        <w:spacing w:line="640" w:lineRule="exact"/>
        <w:ind w:firstLine="640"/>
        <w:jc w:val="both"/>
        <w:outlineLvl w:val="2"/>
      </w:pPr>
      <w:r>
        <w:rPr>
          <w:rFonts w:ascii="黑体" w:hAnsi="黑体" w:eastAsia="黑体"/>
          <w:sz w:val="32"/>
        </w:rPr>
        <w:t>六、一般公共预算财政拨款基本支出决算情况说明</w:t>
      </w:r>
    </w:p>
    <w:p w14:paraId="0F83FA82">
      <w:pPr>
        <w:spacing w:line="580" w:lineRule="exact"/>
        <w:ind w:firstLine="640"/>
        <w:jc w:val="both"/>
      </w:pPr>
      <w:r>
        <w:rPr>
          <w:rFonts w:ascii="仿宋_GB2312" w:hAnsi="仿宋_GB2312" w:eastAsia="仿宋_GB2312"/>
          <w:b w:val="0"/>
          <w:sz w:val="32"/>
        </w:rPr>
        <w:t>2024年度一般公共预算财政拨款基本支出35.42万元，其中：</w:t>
      </w:r>
      <w:r>
        <w:rPr>
          <w:rFonts w:ascii="仿宋_GB2312" w:hAnsi="仿宋_GB2312" w:eastAsia="仿宋_GB2312"/>
          <w:b/>
          <w:sz w:val="32"/>
        </w:rPr>
        <w:t>人员经费34.83万元，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包括：基本工资、津贴补贴、奖金、机关事业单位基本养老保险缴费、职工基本医疗保险缴费、公务员医疗补助缴费、其他社会保障缴费、住房公积金、退休费、奖励金。</w:t>
      </w:r>
    </w:p>
    <w:p w14:paraId="65A997F7">
      <w:pPr>
        <w:spacing w:line="580" w:lineRule="exact"/>
        <w:ind w:firstLine="640"/>
        <w:jc w:val="both"/>
      </w:pPr>
      <w:r>
        <w:rPr>
          <w:rFonts w:ascii="仿宋_GB2312" w:hAnsi="仿宋_GB2312" w:eastAsia="仿宋_GB2312"/>
          <w:b/>
          <w:sz w:val="32"/>
        </w:rPr>
        <w:t>公用经费0.59万元，</w:t>
      </w:r>
      <w:r>
        <w:rPr>
          <w:rFonts w:ascii="仿宋_GB2312" w:hAnsi="仿宋_GB2312" w:eastAsia="仿宋_GB2312"/>
          <w:b w:val="0"/>
          <w:sz w:val="32"/>
        </w:rPr>
        <w:t>包括：办公费、邮电费、差旅费。</w:t>
      </w:r>
    </w:p>
    <w:p w14:paraId="6B58E853">
      <w:pPr>
        <w:spacing w:line="640" w:lineRule="exact"/>
        <w:ind w:firstLine="640"/>
        <w:jc w:val="both"/>
        <w:outlineLvl w:val="2"/>
      </w:pPr>
      <w:r>
        <w:rPr>
          <w:rFonts w:ascii="黑体" w:hAnsi="黑体" w:eastAsia="黑体"/>
          <w:sz w:val="32"/>
        </w:rPr>
        <w:t>七、政府性基金预算财政拨款收入支出决算情况说明</w:t>
      </w:r>
    </w:p>
    <w:p w14:paraId="019383A8">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D257441">
      <w:pPr>
        <w:spacing w:line="640" w:lineRule="exact"/>
        <w:ind w:firstLine="640"/>
        <w:jc w:val="both"/>
        <w:outlineLvl w:val="2"/>
      </w:pPr>
      <w:r>
        <w:rPr>
          <w:rFonts w:ascii="黑体" w:hAnsi="黑体" w:eastAsia="黑体"/>
          <w:sz w:val="32"/>
        </w:rPr>
        <w:t>八、国有资本经营预算财政拨款收入支出决算情况说明</w:t>
      </w:r>
    </w:p>
    <w:p w14:paraId="5256CBA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C9CEE77">
      <w:pPr>
        <w:spacing w:line="640" w:lineRule="exact"/>
        <w:ind w:firstLine="640"/>
        <w:jc w:val="both"/>
        <w:outlineLvl w:val="2"/>
      </w:pPr>
      <w:r>
        <w:rPr>
          <w:rFonts w:ascii="黑体" w:hAnsi="黑体" w:eastAsia="黑体"/>
          <w:sz w:val="32"/>
        </w:rPr>
        <w:t>九、财政拨款“三公”经费支出决算情况说明</w:t>
      </w:r>
    </w:p>
    <w:p w14:paraId="4FE4FB97">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1CDD55FC">
      <w:pPr>
        <w:spacing w:line="580" w:lineRule="exact"/>
        <w:ind w:firstLine="640"/>
        <w:jc w:val="both"/>
      </w:pPr>
      <w:r>
        <w:rPr>
          <w:rFonts w:ascii="仿宋_GB2312" w:hAnsi="仿宋_GB2312" w:eastAsia="仿宋_GB2312"/>
          <w:b/>
          <w:sz w:val="32"/>
        </w:rPr>
        <w:t>具体情况如下：</w:t>
      </w:r>
    </w:p>
    <w:p w14:paraId="72069EF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A0781BD">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4FE22FF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A6B3E0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CA851EC">
      <w:pPr>
        <w:spacing w:line="640" w:lineRule="exact"/>
        <w:ind w:firstLine="640"/>
        <w:jc w:val="both"/>
        <w:outlineLvl w:val="2"/>
      </w:pPr>
      <w:r>
        <w:rPr>
          <w:rFonts w:ascii="黑体" w:hAnsi="黑体" w:eastAsia="黑体"/>
          <w:sz w:val="32"/>
        </w:rPr>
        <w:t>十、其他重要事项的情况说明</w:t>
      </w:r>
    </w:p>
    <w:p w14:paraId="3D088007">
      <w:pPr>
        <w:spacing w:line="640" w:lineRule="exact"/>
        <w:ind w:firstLine="640"/>
        <w:jc w:val="both"/>
        <w:outlineLvl w:val="3"/>
      </w:pPr>
      <w:r>
        <w:rPr>
          <w:rFonts w:ascii="楷体_GB2312" w:hAnsi="楷体_GB2312" w:eastAsia="楷体_GB2312"/>
          <w:b/>
          <w:sz w:val="32"/>
        </w:rPr>
        <w:t>（一）机关运行经费及公用经费支出情况</w:t>
      </w:r>
    </w:p>
    <w:p w14:paraId="13C86C21">
      <w:pPr>
        <w:spacing w:line="580" w:lineRule="exact"/>
        <w:ind w:firstLine="640"/>
        <w:jc w:val="both"/>
      </w:pPr>
      <w:r>
        <w:rPr>
          <w:rFonts w:ascii="仿宋_GB2312" w:hAnsi="仿宋_GB2312" w:eastAsia="仿宋_GB2312"/>
          <w:b w:val="0"/>
          <w:sz w:val="32"/>
        </w:rPr>
        <w:t>2024年度轮台县红十字会（行政单位和参照公务员法管理事业单位）机关运行经费支出0.59万元，比上年增加0.25万元，增长73.53%，主要原因是：本年业务量增加，办公费、邮电费增加，机关运行经费增加。</w:t>
      </w:r>
    </w:p>
    <w:p w14:paraId="0AFD3638">
      <w:pPr>
        <w:spacing w:line="640" w:lineRule="exact"/>
        <w:ind w:firstLine="640"/>
        <w:jc w:val="both"/>
        <w:outlineLvl w:val="3"/>
      </w:pPr>
      <w:r>
        <w:rPr>
          <w:rFonts w:ascii="楷体_GB2312" w:hAnsi="楷体_GB2312" w:eastAsia="楷体_GB2312"/>
          <w:b/>
          <w:sz w:val="32"/>
        </w:rPr>
        <w:t>（二）政府采购情况</w:t>
      </w:r>
    </w:p>
    <w:p w14:paraId="410217B0">
      <w:pPr>
        <w:spacing w:line="580" w:lineRule="exact"/>
        <w:ind w:firstLine="640"/>
        <w:jc w:val="both"/>
      </w:pPr>
      <w:r>
        <w:rPr>
          <w:rFonts w:ascii="仿宋_GB2312" w:hAnsi="仿宋_GB2312" w:eastAsia="仿宋_GB2312"/>
          <w:b w:val="0"/>
          <w:sz w:val="32"/>
        </w:rPr>
        <w:t>2024年度政府采购支出总额0.26万元，其中：政府采购货物支出0.26万元、政府采购工程支出0.00万元、政府采购服务支出0.00万元。</w:t>
      </w:r>
    </w:p>
    <w:p w14:paraId="3F6EA635">
      <w:pPr>
        <w:spacing w:line="580" w:lineRule="exact"/>
        <w:ind w:firstLine="640"/>
        <w:jc w:val="both"/>
      </w:pPr>
      <w:r>
        <w:rPr>
          <w:rFonts w:ascii="仿宋_GB2312" w:hAnsi="仿宋_GB2312" w:eastAsia="仿宋_GB2312"/>
          <w:b w:val="0"/>
          <w:sz w:val="32"/>
        </w:rPr>
        <w:t>授予中小企业合同金额0.26万元，占政府采购支出总额的100.00%，其中：授予小微企业合同金额0.26万元，占政府采购支出总额的100.00%。</w:t>
      </w:r>
    </w:p>
    <w:p w14:paraId="346D96CB">
      <w:pPr>
        <w:spacing w:line="640" w:lineRule="exact"/>
        <w:ind w:firstLine="640"/>
        <w:jc w:val="both"/>
        <w:outlineLvl w:val="3"/>
      </w:pPr>
      <w:r>
        <w:rPr>
          <w:rFonts w:ascii="楷体_GB2312" w:hAnsi="楷体_GB2312" w:eastAsia="楷体_GB2312"/>
          <w:b/>
          <w:sz w:val="32"/>
        </w:rPr>
        <w:t>（三）国有资产占用情况说明</w:t>
      </w:r>
    </w:p>
    <w:p w14:paraId="1EE58A34">
      <w:pPr>
        <w:spacing w:line="580" w:lineRule="exact"/>
        <w:ind w:firstLine="640"/>
        <w:jc w:val="both"/>
      </w:pPr>
      <w:r>
        <w:rPr>
          <w:rFonts w:ascii="仿宋_GB2312" w:hAnsi="仿宋_GB2312" w:eastAsia="仿宋_GB2312"/>
          <w:b w:val="0"/>
          <w:sz w:val="32"/>
        </w:rPr>
        <w:t>截至2024年12月31日，房屋73.00平方米，价值4.93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247BBB3D">
      <w:pPr>
        <w:spacing w:line="640" w:lineRule="exact"/>
        <w:ind w:firstLine="640"/>
        <w:jc w:val="both"/>
        <w:outlineLvl w:val="2"/>
      </w:pPr>
      <w:r>
        <w:rPr>
          <w:rFonts w:ascii="黑体" w:hAnsi="黑体" w:eastAsia="黑体"/>
          <w:sz w:val="32"/>
        </w:rPr>
        <w:t>十一、预算绩效的情况说明</w:t>
      </w:r>
    </w:p>
    <w:p w14:paraId="388DA27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41.98万元，实际执行总额40.60万元；预算绩效评价项目0个，全年预算数0.00万元，全年执行数0.00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加强新行政单位会计制度和新预算法学习培训、规范账务处理，加强新《中华人民共和国预算法</w:t>
      </w:r>
      <w:r>
        <w:rPr>
          <w:rFonts w:hint="eastAsia" w:ascii="仿宋_GB2312" w:hAnsi="仿宋_GB2312" w:eastAsia="仿宋_GB2312"/>
          <w:b w:val="0"/>
          <w:sz w:val="32"/>
          <w:lang w:eastAsia="zh-CN"/>
        </w:rPr>
        <w:t>》《</w:t>
      </w:r>
      <w:r>
        <w:rPr>
          <w:rFonts w:ascii="仿宋_GB2312" w:hAnsi="仿宋_GB2312" w:eastAsia="仿宋_GB2312"/>
          <w:b w:val="0"/>
          <w:sz w:val="32"/>
        </w:rPr>
        <w:t>行政单位会计制度</w:t>
      </w:r>
      <w:r>
        <w:rPr>
          <w:rFonts w:hint="eastAsia" w:ascii="仿宋_GB2312" w:hAnsi="仿宋_GB2312" w:eastAsia="仿宋_GB2312"/>
          <w:b w:val="0"/>
          <w:sz w:val="32"/>
          <w:lang w:eastAsia="zh-CN"/>
        </w:rPr>
        <w:t>》《中华人民共和国会计法》《</w:t>
      </w:r>
      <w:r>
        <w:rPr>
          <w:rFonts w:ascii="仿宋_GB2312" w:hAnsi="仿宋_GB2312" w:eastAsia="仿宋_GB2312"/>
          <w:b w:val="0"/>
          <w:sz w:val="32"/>
        </w:rPr>
        <w:t>行政单位财务规则》等学习培训,规范部门预算收支核算。二是加强学习。进一步明确如何参照考核体系，科学合理设定绩效目标，充分发挥预算绩效管理工作效用。具体附整体支出绩效自评表。</w:t>
      </w:r>
    </w:p>
    <w:p w14:paraId="6AE9EF88">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A52DA3C">
        <w:tblPrEx>
          <w:tblCellMar>
            <w:top w:w="0" w:type="dxa"/>
            <w:left w:w="108" w:type="dxa"/>
            <w:bottom w:w="0" w:type="dxa"/>
            <w:right w:w="108" w:type="dxa"/>
          </w:tblCellMar>
        </w:tblPrEx>
        <w:tc>
          <w:tcPr>
            <w:tcW w:w="8840" w:type="dxa"/>
            <w:gridSpan w:val="8"/>
            <w:vAlign w:val="center"/>
          </w:tcPr>
          <w:p w14:paraId="290E5489">
            <w:pPr>
              <w:jc w:val="center"/>
            </w:pPr>
            <w:r>
              <w:rPr>
                <w:rFonts w:ascii="宋体" w:hAnsi="宋体" w:eastAsia="宋体"/>
                <w:sz w:val="24"/>
              </w:rPr>
              <w:t>单位整体支出绩效自评表</w:t>
            </w:r>
          </w:p>
        </w:tc>
      </w:tr>
      <w:tr w14:paraId="2459F0BF">
        <w:tblPrEx>
          <w:tblCellMar>
            <w:top w:w="0" w:type="dxa"/>
            <w:left w:w="108" w:type="dxa"/>
            <w:bottom w:w="0" w:type="dxa"/>
            <w:right w:w="108" w:type="dxa"/>
          </w:tblCellMar>
        </w:tblPrEx>
        <w:tc>
          <w:tcPr>
            <w:tcW w:w="8840" w:type="dxa"/>
            <w:gridSpan w:val="8"/>
            <w:vAlign w:val="center"/>
          </w:tcPr>
          <w:p w14:paraId="72EFA64D">
            <w:pPr>
              <w:jc w:val="center"/>
            </w:pPr>
            <w:r>
              <w:rPr>
                <w:rFonts w:ascii="宋体" w:hAnsi="宋体" w:eastAsia="宋体"/>
                <w:sz w:val="24"/>
              </w:rPr>
              <w:t>（2024年度）</w:t>
            </w:r>
          </w:p>
        </w:tc>
      </w:tr>
      <w:tr w14:paraId="53C672F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00B0A0">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40FDAB">
            <w:pPr>
              <w:jc w:val="center"/>
            </w:pPr>
            <w:r>
              <w:rPr>
                <w:rFonts w:ascii="宋体" w:hAnsi="宋体" w:eastAsia="宋体"/>
                <w:sz w:val="16"/>
              </w:rPr>
              <w:t>轮台县红十字会</w:t>
            </w:r>
          </w:p>
        </w:tc>
      </w:tr>
      <w:tr w14:paraId="319CBE6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73D14B">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07A89B">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6C3443">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05380D">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148C09">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B5E30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03A409">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7D27B3">
            <w:pPr>
              <w:jc w:val="center"/>
            </w:pPr>
            <w:r>
              <w:rPr>
                <w:rFonts w:ascii="宋体" w:hAnsi="宋体" w:eastAsia="宋体"/>
                <w:sz w:val="16"/>
              </w:rPr>
              <w:t>得分</w:t>
            </w:r>
          </w:p>
        </w:tc>
      </w:tr>
      <w:tr w14:paraId="1050B8E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CD718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D1E072">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C7C94D">
            <w:pPr>
              <w:jc w:val="center"/>
            </w:pPr>
            <w:r>
              <w:rPr>
                <w:rFonts w:ascii="宋体" w:hAnsi="宋体" w:eastAsia="宋体"/>
                <w:sz w:val="16"/>
              </w:rPr>
              <w:t>39.84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4C9866">
            <w:pPr>
              <w:jc w:val="center"/>
            </w:pPr>
            <w:r>
              <w:rPr>
                <w:rFonts w:ascii="宋体" w:hAnsi="宋体" w:eastAsia="宋体"/>
                <w:sz w:val="16"/>
              </w:rPr>
              <w:t>41.98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C4A483">
            <w:pPr>
              <w:jc w:val="center"/>
            </w:pPr>
            <w:r>
              <w:rPr>
                <w:rFonts w:ascii="宋体" w:hAnsi="宋体" w:eastAsia="宋体"/>
                <w:sz w:val="16"/>
              </w:rPr>
              <w:t>40.60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D0F3F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6C0564">
            <w:pPr>
              <w:jc w:val="center"/>
            </w:pPr>
            <w:r>
              <w:rPr>
                <w:rFonts w:ascii="宋体" w:hAnsi="宋体" w:eastAsia="宋体"/>
                <w:sz w:val="16"/>
              </w:rPr>
              <w:t>96.71%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CD4326">
            <w:pPr>
              <w:jc w:val="center"/>
            </w:pPr>
            <w:r>
              <w:rPr>
                <w:rFonts w:ascii="宋体" w:hAnsi="宋体" w:eastAsia="宋体"/>
                <w:sz w:val="16"/>
              </w:rPr>
              <w:t>9.67</w:t>
            </w:r>
          </w:p>
        </w:tc>
      </w:tr>
      <w:tr w14:paraId="7255238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17004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E50E63">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0D927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CA85F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EAD4A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B3F54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12DC8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9A7AC4">
            <w:pPr>
              <w:jc w:val="center"/>
            </w:pPr>
            <w:r>
              <w:rPr>
                <w:rFonts w:ascii="宋体" w:hAnsi="宋体" w:eastAsia="宋体"/>
                <w:sz w:val="16"/>
              </w:rPr>
              <w:t>-</w:t>
            </w:r>
          </w:p>
        </w:tc>
      </w:tr>
      <w:tr w14:paraId="291F685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B66F36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DD2FF1">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6A6E31">
            <w:pPr>
              <w:jc w:val="center"/>
            </w:pPr>
            <w:r>
              <w:rPr>
                <w:rFonts w:ascii="宋体" w:hAnsi="宋体" w:eastAsia="宋体"/>
                <w:sz w:val="16"/>
              </w:rPr>
              <w:t>39.84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985F3B">
            <w:pPr>
              <w:jc w:val="center"/>
            </w:pPr>
            <w:r>
              <w:rPr>
                <w:rFonts w:ascii="宋体" w:hAnsi="宋体" w:eastAsia="宋体"/>
                <w:sz w:val="16"/>
              </w:rPr>
              <w:t>35.42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0517C3">
            <w:pPr>
              <w:jc w:val="center"/>
            </w:pPr>
            <w:r>
              <w:rPr>
                <w:rFonts w:ascii="宋体" w:hAnsi="宋体" w:eastAsia="宋体"/>
                <w:sz w:val="16"/>
              </w:rPr>
              <w:t>35.42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0B5F0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C219C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035523">
            <w:pPr>
              <w:jc w:val="center"/>
            </w:pPr>
            <w:r>
              <w:rPr>
                <w:rFonts w:ascii="宋体" w:hAnsi="宋体" w:eastAsia="宋体"/>
                <w:sz w:val="16"/>
              </w:rPr>
              <w:t>-</w:t>
            </w:r>
          </w:p>
        </w:tc>
      </w:tr>
      <w:tr w14:paraId="14DB77B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651A6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FA01BE">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262EA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C4A657">
            <w:pPr>
              <w:jc w:val="center"/>
            </w:pPr>
            <w:r>
              <w:rPr>
                <w:rFonts w:ascii="宋体" w:hAnsi="宋体" w:eastAsia="宋体"/>
                <w:sz w:val="16"/>
              </w:rPr>
              <w:t>6.56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161D59">
            <w:pPr>
              <w:jc w:val="center"/>
            </w:pPr>
            <w:r>
              <w:rPr>
                <w:rFonts w:ascii="宋体" w:hAnsi="宋体" w:eastAsia="宋体"/>
                <w:sz w:val="16"/>
              </w:rPr>
              <w:t>5.18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DC313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9AA9B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6C573B">
            <w:pPr>
              <w:jc w:val="center"/>
            </w:pPr>
            <w:r>
              <w:rPr>
                <w:rFonts w:ascii="宋体" w:hAnsi="宋体" w:eastAsia="宋体"/>
                <w:sz w:val="16"/>
              </w:rPr>
              <w:t>-</w:t>
            </w:r>
          </w:p>
        </w:tc>
      </w:tr>
      <w:tr w14:paraId="1CF69E8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A32323">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379EE94">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B796AC6">
            <w:pPr>
              <w:jc w:val="center"/>
            </w:pPr>
            <w:r>
              <w:rPr>
                <w:rFonts w:ascii="宋体" w:hAnsi="宋体" w:eastAsia="宋体"/>
                <w:sz w:val="16"/>
              </w:rPr>
              <w:t>实际完成情况</w:t>
            </w:r>
          </w:p>
        </w:tc>
      </w:tr>
      <w:tr w14:paraId="5C1F399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5CF92A1"/>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919E922">
            <w:pPr>
              <w:jc w:val="both"/>
            </w:pPr>
            <w:r>
              <w:rPr>
                <w:rFonts w:ascii="宋体" w:hAnsi="宋体" w:eastAsia="宋体"/>
                <w:sz w:val="16"/>
              </w:rPr>
              <w:t>1、紧紧围绕社会稳定和长治久安总目标，以经济发展为基础，以民生改善为目标，推进开展应急救护和防病知识的宣传、普及、培训，全年计划开展应急救护培训6次以上，培训人数在900人以上，应急救护知识知晓率达到95%。2、开展救助活动，开展救灾的准备工作；在自然灾害和突发事件中，对伤病人员和其他受害者进行救助；普及卫生救护和防病知识，进行初级卫生救护培训，组织群众参加现场救护。3、组织献血工作，推动无偿献血，计划全年开展</w:t>
            </w:r>
            <w:r>
              <w:rPr>
                <w:rFonts w:hint="eastAsia" w:ascii="宋体" w:hAnsi="宋体"/>
                <w:sz w:val="16"/>
                <w:lang w:eastAsia="zh-CN"/>
              </w:rPr>
              <w:t>无偿献血</w:t>
            </w:r>
            <w:r>
              <w:rPr>
                <w:rFonts w:ascii="宋体" w:hAnsi="宋体" w:eastAsia="宋体"/>
                <w:sz w:val="16"/>
              </w:rPr>
              <w:t>2次以上，献血人数在500人以上，发展造血干细胞志愿30人。4、全年开展</w:t>
            </w:r>
            <w:r>
              <w:rPr>
                <w:rFonts w:hint="eastAsia" w:ascii="宋体" w:hAnsi="宋体"/>
                <w:sz w:val="16"/>
                <w:lang w:eastAsia="zh-CN"/>
              </w:rPr>
              <w:t>无偿献血</w:t>
            </w:r>
            <w:r>
              <w:rPr>
                <w:rFonts w:ascii="宋体" w:hAnsi="宋体" w:eastAsia="宋体"/>
                <w:sz w:val="16"/>
              </w:rPr>
              <w:t>和造血干细胞志愿者宣传场次在10次以上。5、开展红十字青年活动。6、建立健全红十字志愿服务组织，开展“5·8”世界红十字日众筹参加人次不少于350人次。7、参加国际人道主义救援工作；营造良好的社会氛围发挥红十字志愿者在人道传播等公益事业中的积极作用。</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90D6F44">
            <w:pPr>
              <w:jc w:val="both"/>
            </w:pPr>
            <w:r>
              <w:rPr>
                <w:rFonts w:ascii="宋体" w:hAnsi="宋体" w:eastAsia="宋体"/>
                <w:sz w:val="16"/>
              </w:rPr>
              <w:t>为了落实单位整体绩效工作要求，2024年已完成：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1：已完成2次集中献血活动，共计献血人数658人，献血总量207000毫升，吸收造血干细胞志愿者59名，达到全年的献血任务，产生了营造良好的社会氛围发挥红十字志愿者在人道传播等公益事业中的积极作用的效益。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2：已完成应急救护知识讲座6期，达到了使广大干部群众进一步了解应急救护、防震减灾、</w:t>
            </w:r>
            <w:r>
              <w:rPr>
                <w:rFonts w:hint="eastAsia" w:ascii="宋体" w:hAnsi="宋体"/>
                <w:sz w:val="16"/>
                <w:lang w:eastAsia="zh-CN"/>
              </w:rPr>
              <w:t>AZB</w:t>
            </w:r>
            <w:r>
              <w:rPr>
                <w:rFonts w:ascii="宋体" w:hAnsi="宋体" w:eastAsia="宋体"/>
                <w:sz w:val="16"/>
              </w:rPr>
              <w:t xml:space="preserve">的预防，提高自身的自救、互救能力的效益。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3：已完成志愿者无偿献血宣传及造血干细胞捐献宣传活动10次，达到了发挥红十字志愿者在人道传播等公益事业中的积极作用的效益。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已完成2024年5月8日世界红十字会日期间的众筹宣传活动的目标，达到了广大的干部群众积极参与自治区红十字会组织的，人道关怀、室外除颤仪（AED）、急救包等项目的筹资参与人数400人次，使更多的干部群众了解红十字会公益活动的效益</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5：已完成通过开展应急救护培训，达到了群众对应急救护知识知晓率明显提升的效益。</w:t>
            </w:r>
          </w:p>
        </w:tc>
      </w:tr>
      <w:tr w14:paraId="315E5E3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E4897E">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908FB6">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6C8898">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AA75E7">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8FE015">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5515B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3B7574">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D0BBAF">
            <w:pPr>
              <w:jc w:val="center"/>
            </w:pPr>
            <w:r>
              <w:rPr>
                <w:rFonts w:ascii="宋体" w:hAnsi="宋体" w:eastAsia="宋体"/>
                <w:sz w:val="16"/>
              </w:rPr>
              <w:t>得分</w:t>
            </w:r>
          </w:p>
        </w:tc>
      </w:tr>
      <w:tr w14:paraId="5A3A9AF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50C044">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E4A44D">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570591">
            <w:pPr>
              <w:jc w:val="center"/>
            </w:pPr>
            <w:r>
              <w:rPr>
                <w:rFonts w:ascii="宋体" w:hAnsi="宋体" w:eastAsia="宋体"/>
                <w:sz w:val="16"/>
              </w:rPr>
              <w:t>开展无偿献血活动次数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2CFF17">
            <w:pPr>
              <w:jc w:val="center"/>
            </w:pPr>
            <w:r>
              <w:rPr>
                <w:rFonts w:ascii="宋体" w:hAnsi="宋体" w:eastAsia="宋体"/>
                <w:sz w:val="16"/>
              </w:rPr>
              <w:t>&gt;=2次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C61D1A">
            <w:pPr>
              <w:jc w:val="center"/>
            </w:pPr>
            <w:r>
              <w:rPr>
                <w:rFonts w:ascii="宋体" w:hAnsi="宋体" w:eastAsia="宋体"/>
                <w:sz w:val="16"/>
              </w:rPr>
              <w:t>轮台县红十字会2024年工作计划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BC150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0C419F">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7AB291">
            <w:pPr>
              <w:jc w:val="center"/>
            </w:pPr>
            <w:r>
              <w:rPr>
                <w:rFonts w:ascii="宋体" w:hAnsi="宋体" w:eastAsia="宋体"/>
                <w:sz w:val="16"/>
              </w:rPr>
              <w:t>15</w:t>
            </w:r>
          </w:p>
        </w:tc>
      </w:tr>
      <w:tr w14:paraId="0085F6B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33135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16719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7B11EA">
            <w:pPr>
              <w:jc w:val="center"/>
            </w:pPr>
            <w:r>
              <w:rPr>
                <w:rFonts w:ascii="宋体" w:hAnsi="宋体" w:eastAsia="宋体"/>
                <w:sz w:val="16"/>
              </w:rPr>
              <w:t>开展应急救护知识讲座次数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5693F4">
            <w:pPr>
              <w:jc w:val="center"/>
            </w:pPr>
            <w:r>
              <w:rPr>
                <w:rFonts w:ascii="宋体" w:hAnsi="宋体" w:eastAsia="宋体"/>
                <w:sz w:val="16"/>
              </w:rPr>
              <w:t>&gt;=6次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F586C9">
            <w:pPr>
              <w:jc w:val="center"/>
            </w:pPr>
            <w:r>
              <w:rPr>
                <w:rFonts w:ascii="宋体" w:hAnsi="宋体" w:eastAsia="宋体"/>
                <w:sz w:val="16"/>
              </w:rPr>
              <w:t>轮台县红十字会2024年工作计划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F15E88">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1D8EAF">
            <w:pPr>
              <w:jc w:val="center"/>
            </w:pPr>
            <w:r>
              <w:rPr>
                <w:rFonts w:ascii="宋体" w:hAnsi="宋体" w:eastAsia="宋体"/>
                <w:sz w:val="16"/>
              </w:rPr>
              <w: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EB0F5A">
            <w:pPr>
              <w:jc w:val="center"/>
            </w:pPr>
            <w:r>
              <w:rPr>
                <w:rFonts w:ascii="宋体" w:hAnsi="宋体" w:eastAsia="宋体"/>
                <w:sz w:val="16"/>
              </w:rPr>
              <w:t>15</w:t>
            </w:r>
          </w:p>
        </w:tc>
      </w:tr>
      <w:tr w14:paraId="72F6FF9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84D56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368A5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985CF0">
            <w:pPr>
              <w:jc w:val="center"/>
            </w:pPr>
            <w:r>
              <w:rPr>
                <w:rFonts w:ascii="宋体" w:hAnsi="宋体" w:eastAsia="宋体"/>
                <w:sz w:val="16"/>
              </w:rPr>
              <w:t>参加应急救护知识讲座人数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F37802">
            <w:pPr>
              <w:jc w:val="center"/>
            </w:pPr>
            <w:r>
              <w:rPr>
                <w:rFonts w:ascii="宋体" w:hAnsi="宋体" w:eastAsia="宋体"/>
                <w:sz w:val="16"/>
              </w:rPr>
              <w:t>&gt;=900人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B799E1">
            <w:pPr>
              <w:jc w:val="center"/>
            </w:pPr>
            <w:r>
              <w:rPr>
                <w:rFonts w:ascii="宋体" w:hAnsi="宋体" w:eastAsia="宋体"/>
                <w:sz w:val="16"/>
              </w:rPr>
              <w:t>轮台县红十字会2024年工作计划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4DBE4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357C5A">
            <w:pPr>
              <w:jc w:val="center"/>
            </w:pPr>
            <w:r>
              <w:rPr>
                <w:rFonts w:ascii="宋体" w:hAnsi="宋体" w:eastAsia="宋体"/>
                <w:sz w:val="16"/>
              </w:rPr>
              <w:t>900人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EEBDCD">
            <w:pPr>
              <w:jc w:val="center"/>
            </w:pPr>
            <w:r>
              <w:rPr>
                <w:rFonts w:ascii="宋体" w:hAnsi="宋体" w:eastAsia="宋体"/>
                <w:sz w:val="16"/>
              </w:rPr>
              <w:t>15</w:t>
            </w:r>
          </w:p>
        </w:tc>
      </w:tr>
      <w:tr w14:paraId="589B773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68702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19682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376A14">
            <w:pPr>
              <w:jc w:val="center"/>
            </w:pPr>
            <w:r>
              <w:rPr>
                <w:rFonts w:ascii="宋体" w:hAnsi="宋体" w:eastAsia="宋体"/>
                <w:sz w:val="16"/>
              </w:rPr>
              <w:t>开展无偿献血及造血干细胞捐献宣传次数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6D6E2B">
            <w:pPr>
              <w:jc w:val="center"/>
            </w:pPr>
            <w:r>
              <w:rPr>
                <w:rFonts w:ascii="宋体" w:hAnsi="宋体" w:eastAsia="宋体"/>
                <w:sz w:val="16"/>
              </w:rPr>
              <w:t>&gt;=10次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735D52">
            <w:pPr>
              <w:jc w:val="center"/>
            </w:pPr>
            <w:r>
              <w:rPr>
                <w:rFonts w:ascii="宋体" w:hAnsi="宋体" w:eastAsia="宋体"/>
                <w:sz w:val="16"/>
              </w:rPr>
              <w:t>轮台县红十字会2024年工作计划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4AAE4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50A605">
            <w:pPr>
              <w:jc w:val="center"/>
            </w:pPr>
            <w:r>
              <w:rPr>
                <w:rFonts w:ascii="宋体" w:hAnsi="宋体" w:eastAsia="宋体"/>
                <w:sz w:val="16"/>
              </w:rPr>
              <w: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43690D">
            <w:pPr>
              <w:jc w:val="center"/>
            </w:pPr>
            <w:r>
              <w:rPr>
                <w:rFonts w:ascii="宋体" w:hAnsi="宋体" w:eastAsia="宋体"/>
                <w:sz w:val="16"/>
              </w:rPr>
              <w:t>15</w:t>
            </w:r>
          </w:p>
        </w:tc>
      </w:tr>
      <w:tr w14:paraId="1A4F782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46204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DECB8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60A7C9">
            <w:pPr>
              <w:jc w:val="center"/>
            </w:pPr>
            <w:r>
              <w:rPr>
                <w:rFonts w:ascii="宋体" w:hAnsi="宋体" w:eastAsia="宋体"/>
                <w:sz w:val="16"/>
              </w:rPr>
              <w:t>开展“5·8”世界红十字会日众筹参加人次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A47B29">
            <w:pPr>
              <w:jc w:val="center"/>
            </w:pPr>
            <w:r>
              <w:rPr>
                <w:rFonts w:ascii="宋体" w:hAnsi="宋体" w:eastAsia="宋体"/>
                <w:sz w:val="16"/>
              </w:rPr>
              <w:t>&gt;=350人次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02C3B4">
            <w:pPr>
              <w:jc w:val="center"/>
            </w:pPr>
            <w:r>
              <w:rPr>
                <w:rFonts w:ascii="宋体" w:hAnsi="宋体" w:eastAsia="宋体"/>
                <w:sz w:val="16"/>
              </w:rPr>
              <w:t>轮台县红十字会2024年工作计划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84693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471D2D">
            <w:pPr>
              <w:jc w:val="center"/>
            </w:pPr>
            <w:r>
              <w:rPr>
                <w:rFonts w:ascii="宋体" w:hAnsi="宋体" w:eastAsia="宋体"/>
                <w:sz w:val="16"/>
              </w:rPr>
              <w:t>350人次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48589A">
            <w:pPr>
              <w:jc w:val="center"/>
            </w:pPr>
            <w:r>
              <w:rPr>
                <w:rFonts w:ascii="宋体" w:hAnsi="宋体" w:eastAsia="宋体"/>
                <w:sz w:val="16"/>
              </w:rPr>
              <w:t>15</w:t>
            </w:r>
          </w:p>
        </w:tc>
      </w:tr>
      <w:tr w14:paraId="4E671DD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A3E4A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C2A490">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995D43">
            <w:pPr>
              <w:jc w:val="center"/>
            </w:pPr>
            <w:r>
              <w:rPr>
                <w:rFonts w:ascii="宋体" w:hAnsi="宋体" w:eastAsia="宋体"/>
                <w:sz w:val="16"/>
              </w:rPr>
              <w:t>应急救护知识知晓率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D25D74">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1962A4">
            <w:pPr>
              <w:jc w:val="center"/>
            </w:pPr>
            <w:r>
              <w:rPr>
                <w:rFonts w:ascii="宋体" w:hAnsi="宋体" w:eastAsia="宋体"/>
                <w:sz w:val="16"/>
              </w:rPr>
              <w:t>轮台县红十字会2024年工作计划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AF5816">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9B46CE">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92CF22">
            <w:pPr>
              <w:jc w:val="center"/>
            </w:pPr>
            <w:r>
              <w:rPr>
                <w:rFonts w:ascii="宋体" w:hAnsi="宋体" w:eastAsia="宋体"/>
                <w:sz w:val="16"/>
              </w:rPr>
              <w:t>15</w:t>
            </w:r>
          </w:p>
        </w:tc>
      </w:tr>
    </w:tbl>
    <w:p w14:paraId="3F3C550F">
      <w:r>
        <w:br w:type="page"/>
      </w:r>
    </w:p>
    <w:p w14:paraId="46ED38D6">
      <w:pPr>
        <w:spacing w:line="640" w:lineRule="exact"/>
        <w:ind w:firstLine="640"/>
        <w:jc w:val="both"/>
        <w:outlineLvl w:val="2"/>
      </w:pPr>
      <w:r>
        <w:rPr>
          <w:rFonts w:ascii="黑体" w:hAnsi="黑体" w:eastAsia="黑体"/>
          <w:sz w:val="32"/>
        </w:rPr>
        <w:t>十二、其他需说明的事项</w:t>
      </w:r>
    </w:p>
    <w:p w14:paraId="1DF92441">
      <w:pPr>
        <w:spacing w:line="580" w:lineRule="exact"/>
        <w:ind w:firstLine="640"/>
        <w:jc w:val="both"/>
      </w:pPr>
      <w:r>
        <w:rPr>
          <w:rFonts w:ascii="仿宋_GB2312" w:hAnsi="仿宋_GB2312" w:eastAsia="仿宋_GB2312"/>
          <w:b w:val="0"/>
          <w:sz w:val="32"/>
        </w:rPr>
        <w:t>本单位无其他需说明的事项。</w:t>
      </w:r>
    </w:p>
    <w:p w14:paraId="19D868E7">
      <w:r>
        <w:br w:type="page"/>
      </w:r>
    </w:p>
    <w:p w14:paraId="227EBEA9">
      <w:pPr>
        <w:spacing w:line="240" w:lineRule="auto"/>
        <w:jc w:val="center"/>
        <w:outlineLvl w:val="1"/>
      </w:pPr>
      <w:r>
        <w:rPr>
          <w:rFonts w:ascii="黑体" w:hAnsi="黑体" w:eastAsia="黑体"/>
          <w:sz w:val="32"/>
        </w:rPr>
        <w:t>第三部分 专业名词解释</w:t>
      </w:r>
    </w:p>
    <w:p w14:paraId="2AB07E4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668E98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B883CD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9E6C1D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ECA650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6EEBC2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2BA6ED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A81CED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4923E0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D09739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D72B19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AE48DD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6FE491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A0111C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2BAB244">
      <w:r>
        <w:br w:type="page"/>
      </w:r>
    </w:p>
    <w:p w14:paraId="28B79395">
      <w:pPr>
        <w:spacing w:line="240" w:lineRule="auto"/>
        <w:jc w:val="center"/>
        <w:outlineLvl w:val="1"/>
      </w:pPr>
      <w:r>
        <w:rPr>
          <w:rFonts w:ascii="黑体" w:hAnsi="黑体" w:eastAsia="黑体"/>
          <w:sz w:val="32"/>
        </w:rPr>
        <w:t>第四部分 部门决算报表（见附表）</w:t>
      </w:r>
    </w:p>
    <w:p w14:paraId="4A4F8D80">
      <w:pPr>
        <w:spacing w:line="240" w:lineRule="auto"/>
        <w:ind w:firstLine="640"/>
        <w:jc w:val="both"/>
      </w:pPr>
      <w:r>
        <w:rPr>
          <w:rFonts w:ascii="仿宋_GB2312" w:hAnsi="仿宋_GB2312" w:eastAsia="仿宋_GB2312"/>
          <w:b w:val="0"/>
          <w:sz w:val="32"/>
        </w:rPr>
        <w:t>一、《收入支出决算总表》</w:t>
      </w:r>
    </w:p>
    <w:p w14:paraId="63028AB7">
      <w:pPr>
        <w:spacing w:line="240" w:lineRule="auto"/>
        <w:ind w:firstLine="640"/>
        <w:jc w:val="both"/>
      </w:pPr>
      <w:r>
        <w:rPr>
          <w:rFonts w:ascii="仿宋_GB2312" w:hAnsi="仿宋_GB2312" w:eastAsia="仿宋_GB2312"/>
          <w:b w:val="0"/>
          <w:sz w:val="32"/>
        </w:rPr>
        <w:t>二、《收入决算表》</w:t>
      </w:r>
    </w:p>
    <w:p w14:paraId="7B7759B8">
      <w:pPr>
        <w:spacing w:line="240" w:lineRule="auto"/>
        <w:ind w:firstLine="640"/>
        <w:jc w:val="both"/>
      </w:pPr>
      <w:r>
        <w:rPr>
          <w:rFonts w:ascii="仿宋_GB2312" w:hAnsi="仿宋_GB2312" w:eastAsia="仿宋_GB2312"/>
          <w:b w:val="0"/>
          <w:sz w:val="32"/>
        </w:rPr>
        <w:t>三、《支出决算表》</w:t>
      </w:r>
    </w:p>
    <w:p w14:paraId="7B8351ED">
      <w:pPr>
        <w:spacing w:line="240" w:lineRule="auto"/>
        <w:ind w:firstLine="640"/>
        <w:jc w:val="both"/>
      </w:pPr>
      <w:r>
        <w:rPr>
          <w:rFonts w:ascii="仿宋_GB2312" w:hAnsi="仿宋_GB2312" w:eastAsia="仿宋_GB2312"/>
          <w:b w:val="0"/>
          <w:sz w:val="32"/>
        </w:rPr>
        <w:t>四、《财政拨款收入支出决算总表》</w:t>
      </w:r>
    </w:p>
    <w:p w14:paraId="669AA7EB">
      <w:pPr>
        <w:spacing w:line="240" w:lineRule="auto"/>
        <w:ind w:firstLine="640"/>
        <w:jc w:val="both"/>
      </w:pPr>
      <w:r>
        <w:rPr>
          <w:rFonts w:ascii="仿宋_GB2312" w:hAnsi="仿宋_GB2312" w:eastAsia="仿宋_GB2312"/>
          <w:b w:val="0"/>
          <w:sz w:val="32"/>
        </w:rPr>
        <w:t>五、《一般公共预算财政拨款支出决算表》</w:t>
      </w:r>
    </w:p>
    <w:p w14:paraId="5C50840D">
      <w:pPr>
        <w:spacing w:line="240" w:lineRule="auto"/>
        <w:ind w:firstLine="640"/>
        <w:jc w:val="both"/>
      </w:pPr>
      <w:r>
        <w:rPr>
          <w:rFonts w:ascii="仿宋_GB2312" w:hAnsi="仿宋_GB2312" w:eastAsia="仿宋_GB2312"/>
          <w:b w:val="0"/>
          <w:sz w:val="32"/>
        </w:rPr>
        <w:t>六、《一般公共预算财政拨款基本支出决算表》</w:t>
      </w:r>
    </w:p>
    <w:p w14:paraId="065A2084">
      <w:pPr>
        <w:spacing w:line="240" w:lineRule="auto"/>
        <w:ind w:firstLine="640"/>
        <w:jc w:val="both"/>
      </w:pPr>
      <w:r>
        <w:rPr>
          <w:rFonts w:ascii="仿宋_GB2312" w:hAnsi="仿宋_GB2312" w:eastAsia="仿宋_GB2312"/>
          <w:b w:val="0"/>
          <w:sz w:val="32"/>
        </w:rPr>
        <w:t>七、《政府性基金预算财政拨款收入支出决算表》</w:t>
      </w:r>
    </w:p>
    <w:p w14:paraId="7E119C4A">
      <w:pPr>
        <w:spacing w:line="240" w:lineRule="auto"/>
        <w:ind w:firstLine="640"/>
        <w:jc w:val="both"/>
      </w:pPr>
      <w:r>
        <w:rPr>
          <w:rFonts w:ascii="仿宋_GB2312" w:hAnsi="仿宋_GB2312" w:eastAsia="仿宋_GB2312"/>
          <w:b w:val="0"/>
          <w:sz w:val="32"/>
        </w:rPr>
        <w:t>八、《国有资本经营预算财政拨款收入支出决算表》</w:t>
      </w:r>
    </w:p>
    <w:p w14:paraId="1A5C4920">
      <w:pPr>
        <w:spacing w:line="240" w:lineRule="auto"/>
        <w:ind w:firstLine="640"/>
        <w:jc w:val="both"/>
      </w:pPr>
      <w:r>
        <w:rPr>
          <w:rFonts w:ascii="仿宋_GB2312" w:hAnsi="仿宋_GB2312" w:eastAsia="仿宋_GB2312"/>
          <w:b w:val="0"/>
          <w:sz w:val="32"/>
        </w:rPr>
        <w:t>九、《财政拨款“三公”经费支出决算表》</w:t>
      </w:r>
    </w:p>
    <w:p w14:paraId="4608F616">
      <w:pPr>
        <w:spacing w:line="240" w:lineRule="auto"/>
        <w:ind w:firstLine="640"/>
        <w:jc w:val="both"/>
      </w:pPr>
    </w:p>
    <w:p w14:paraId="22B531B8">
      <w:pPr>
        <w:spacing w:line="240" w:lineRule="auto"/>
        <w:ind w:firstLine="640"/>
        <w:jc w:val="both"/>
      </w:pPr>
    </w:p>
    <w:p w14:paraId="23839814">
      <w:pPr>
        <w:spacing w:line="240" w:lineRule="auto"/>
        <w:ind w:firstLine="640"/>
        <w:jc w:val="both"/>
      </w:pPr>
    </w:p>
    <w:p w14:paraId="0CA5B2B1">
      <w:pPr>
        <w:spacing w:line="240" w:lineRule="auto"/>
        <w:ind w:firstLine="640"/>
        <w:jc w:val="both"/>
      </w:pPr>
    </w:p>
    <w:p w14:paraId="4CCAB11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7A32E66"/>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B5A74B9"/>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4319</Words>
  <Characters>4894</Characters>
  <Lines>0</Lines>
  <Paragraphs>0</Paragraphs>
  <TotalTime>4</TotalTime>
  <ScaleCrop>false</ScaleCrop>
  <LinksUpToDate>false</LinksUpToDate>
  <CharactersWithSpaces>4902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2025-09-16T04:39:15Z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