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轮台县维吾尔医医院2024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rPr>
          <w:rFonts w:ascii="仿宋_GB2312" w:hAnsi="仿宋_GB2312" w:eastAsia="仿宋_GB2312"/>
          <w:sz w:val="32"/>
        </w:rPr>
      </w:pPr>
      <w:r>
        <w:rPr>
          <w:rFonts w:ascii="仿宋_GB2312" w:hAnsi="仿宋_GB2312" w:eastAsia="仿宋_GB2312"/>
          <w:sz w:val="32"/>
        </w:rPr>
        <w:t>提供公共卫生服务：</w:t>
      </w:r>
    </w:p>
    <w:p>
      <w:pPr>
        <w:spacing w:line="580" w:lineRule="exact"/>
        <w:ind w:firstLine="640"/>
        <w:jc w:val="both"/>
        <w:rPr>
          <w:rFonts w:ascii="仿宋_GB2312" w:hAnsi="仿宋_GB2312" w:eastAsia="仿宋_GB2312"/>
          <w:sz w:val="32"/>
        </w:rPr>
      </w:pPr>
      <w:r>
        <w:rPr>
          <w:rFonts w:ascii="仿宋_GB2312" w:hAnsi="仿宋_GB2312" w:eastAsia="仿宋_GB2312"/>
          <w:sz w:val="32"/>
        </w:rPr>
        <w:t>1.承担本县社区居民健康档案规范建档指导、</w:t>
      </w:r>
      <w:r>
        <w:rPr>
          <w:rFonts w:hint="eastAsia" w:ascii="仿宋_GB2312" w:hAnsi="仿宋_GB2312" w:eastAsia="仿宋_GB2312"/>
          <w:sz w:val="32"/>
          <w:lang w:eastAsia="zh-CN"/>
        </w:rPr>
        <w:t>管理</w:t>
      </w:r>
      <w:r>
        <w:rPr>
          <w:rFonts w:ascii="仿宋_GB2312" w:hAnsi="仿宋_GB2312" w:eastAsia="仿宋_GB2312"/>
          <w:sz w:val="32"/>
        </w:rPr>
        <w:t>；</w:t>
      </w:r>
    </w:p>
    <w:p>
      <w:pPr>
        <w:spacing w:line="580" w:lineRule="exact"/>
        <w:ind w:left="320" w:leftChars="100" w:firstLine="320" w:firstLineChars="100"/>
        <w:jc w:val="both"/>
        <w:rPr>
          <w:rFonts w:ascii="仿宋_GB2312" w:hAnsi="仿宋_GB2312" w:eastAsia="仿宋_GB2312"/>
          <w:sz w:val="32"/>
        </w:rPr>
      </w:pPr>
      <w:r>
        <w:rPr>
          <w:rFonts w:ascii="仿宋_GB2312" w:hAnsi="仿宋_GB2312" w:eastAsia="仿宋_GB2312"/>
          <w:sz w:val="32"/>
        </w:rPr>
        <w:t>2.普及卫生保健常识，在重点人群和重点场所开展健康教育；</w:t>
      </w:r>
    </w:p>
    <w:p>
      <w:pPr>
        <w:spacing w:line="580" w:lineRule="exact"/>
        <w:ind w:left="320" w:leftChars="100" w:firstLine="320" w:firstLineChars="100"/>
        <w:jc w:val="both"/>
        <w:rPr>
          <w:rFonts w:ascii="仿宋_GB2312" w:hAnsi="仿宋_GB2312" w:eastAsia="仿宋_GB2312"/>
          <w:sz w:val="32"/>
        </w:rPr>
      </w:pPr>
      <w:r>
        <w:rPr>
          <w:rFonts w:ascii="仿宋_GB2312" w:hAnsi="仿宋_GB2312" w:eastAsia="仿宋_GB2312"/>
          <w:sz w:val="32"/>
        </w:rPr>
        <w:t>3.提供并组织实施本县(社区)预防接种服务，落实国家免疫；</w:t>
      </w:r>
    </w:p>
    <w:p>
      <w:pPr>
        <w:spacing w:line="580" w:lineRule="exact"/>
        <w:ind w:left="320" w:leftChars="100" w:firstLine="320" w:firstLineChars="100"/>
        <w:jc w:val="both"/>
      </w:pPr>
      <w:r>
        <w:rPr>
          <w:rFonts w:ascii="仿宋_GB2312" w:hAnsi="仿宋_GB2312" w:eastAsia="仿宋_GB2312"/>
          <w:sz w:val="32"/>
        </w:rPr>
        <w:t>4.及时发现、登记并报告本县社区内发现的传染病例。</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轮台县维吾尔医医院2024年度，实有人数35人，其中：在职人员28人，增加1人；离休人员0人，增加0人；退休人员7人,增加0人。</w:t>
      </w:r>
    </w:p>
    <w:p>
      <w:pPr>
        <w:spacing w:line="580" w:lineRule="exact"/>
        <w:ind w:firstLine="640"/>
        <w:jc w:val="both"/>
      </w:pPr>
      <w:r>
        <w:rPr>
          <w:rFonts w:ascii="仿宋_GB2312" w:hAnsi="仿宋_GB2312" w:eastAsia="仿宋_GB2312"/>
          <w:sz w:val="32"/>
        </w:rPr>
        <w:t>轮台县维吾尔医医院无下属预算单位，下设14个科室，分别是：财务科、行政办、医务科、总务科、外科、内科、妇科、老年病科、皮肤科、康复科、功能科、放射科、检验科、药剂科。</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2024年度收入总计1,819.09万元，</w:t>
      </w:r>
      <w:r>
        <w:rPr>
          <w:rFonts w:ascii="仿宋_GB2312" w:hAnsi="仿宋_GB2312" w:eastAsia="仿宋_GB2312"/>
          <w:b w:val="0"/>
          <w:sz w:val="32"/>
        </w:rPr>
        <w:t>其中：本年收入合计1,802.15万元，使用非财政拨款结余（含专用结余）16.94万元，年初结转和结余0.00万元。</w:t>
      </w:r>
    </w:p>
    <w:p>
      <w:pPr>
        <w:spacing w:line="580" w:lineRule="exact"/>
        <w:ind w:firstLine="640"/>
        <w:jc w:val="both"/>
      </w:pPr>
      <w:r>
        <w:rPr>
          <w:rFonts w:ascii="仿宋_GB2312" w:hAnsi="仿宋_GB2312" w:eastAsia="仿宋_GB2312"/>
          <w:b/>
          <w:sz w:val="32"/>
        </w:rPr>
        <w:t>2024年度支出总计1,819.09万元，</w:t>
      </w:r>
      <w:r>
        <w:rPr>
          <w:rFonts w:ascii="仿宋_GB2312" w:hAnsi="仿宋_GB2312" w:eastAsia="仿宋_GB2312"/>
          <w:b w:val="0"/>
          <w:sz w:val="32"/>
        </w:rPr>
        <w:t>其中：本年支出合计1,819.09万元，结余分配0.00万元，年末结转和结余0.00万元。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收入支出总体与上年相比，减少191.75万元，下降9.54%，主要原因是：本年就诊人数比上年减少，专用材料费支出减少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医疗收入减少</w:t>
      </w:r>
      <w:r>
        <w:rPr>
          <w:rFonts w:ascii="仿宋_GB2312" w:hAnsi="仿宋_GB2312" w:eastAsia="仿宋_GB2312"/>
          <w:b w:val="0"/>
          <w:sz w:val="32"/>
        </w:rPr>
        <w:t>。</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本年收入1,802.15万元，</w:t>
      </w:r>
      <w:r>
        <w:rPr>
          <w:rFonts w:ascii="仿宋_GB2312" w:hAnsi="仿宋_GB2312" w:eastAsia="仿宋_GB2312"/>
          <w:b w:val="0"/>
          <w:sz w:val="32"/>
        </w:rPr>
        <w:t>其中：财政拨款收入615.41万元，占34.15%；上级补助收入0.00万元，占0.00%；事业收入1,185.89万元，占65.80%；经营收入0.00万元，占0.00%；附属单位上缴收入0.00万元，占0.00%；其他收入0.84万元，占0.05%。</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本年支出1,819.09万元，</w:t>
      </w:r>
      <w:r>
        <w:rPr>
          <w:rFonts w:ascii="仿宋_GB2312" w:hAnsi="仿宋_GB2312" w:eastAsia="仿宋_GB2312"/>
          <w:b w:val="0"/>
          <w:sz w:val="32"/>
        </w:rPr>
        <w:t>其中：基本支出1,535.85万元，占84.43%；项目支出283.24万元，占15.57%；上缴上级支出0.00万元，占0.00%；经营支出0.00万元，占0.00%；对附属单位补助支出0.00万元，占0.00%。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2024年度财政拨款收入总计615.41万元，</w:t>
      </w:r>
      <w:r>
        <w:rPr>
          <w:rFonts w:ascii="仿宋_GB2312" w:hAnsi="仿宋_GB2312" w:eastAsia="仿宋_GB2312"/>
          <w:b w:val="0"/>
          <w:sz w:val="32"/>
        </w:rPr>
        <w:t>其中：年初财政拨款结转和结余0.00万元，本年财政拨款收入615.41万元。</w:t>
      </w:r>
      <w:r>
        <w:rPr>
          <w:rFonts w:ascii="仿宋_GB2312" w:hAnsi="仿宋_GB2312" w:eastAsia="仿宋_GB2312"/>
          <w:b/>
          <w:sz w:val="32"/>
        </w:rPr>
        <w:t>财政拨款支出总计615.41万元，</w:t>
      </w:r>
      <w:r>
        <w:rPr>
          <w:rFonts w:ascii="仿宋_GB2312" w:hAnsi="仿宋_GB2312" w:eastAsia="仿宋_GB2312"/>
          <w:b w:val="0"/>
          <w:sz w:val="32"/>
        </w:rPr>
        <w:t>其中：年末财政拨款结转和结余0.00万元，本年财政拨款支出615.41万元。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减少127.02万元，下降17.11%，主要原因是：本年就诊人数比上年减少，专用材料费支出减少。</w:t>
      </w:r>
      <w:r>
        <w:rPr>
          <w:rFonts w:ascii="仿宋_GB2312" w:hAnsi="仿宋_GB2312" w:eastAsia="仿宋_GB2312"/>
          <w:b/>
          <w:sz w:val="32"/>
        </w:rPr>
        <w:t>与年初预算相比，</w:t>
      </w:r>
      <w:r>
        <w:rPr>
          <w:rFonts w:ascii="仿宋_GB2312" w:hAnsi="仿宋_GB2312" w:eastAsia="仿宋_GB2312"/>
          <w:b w:val="0"/>
          <w:sz w:val="32"/>
        </w:rPr>
        <w:t>年初预算数453.95万元，决算数615.41万元，预决算差异率35.57%，主要原因是：</w:t>
      </w:r>
      <w:r>
        <w:rPr>
          <w:rFonts w:hint="eastAsia" w:ascii="仿宋_GB2312" w:hAnsi="仿宋_GB2312" w:eastAsia="仿宋_GB2312"/>
          <w:b w:val="0"/>
          <w:sz w:val="32"/>
          <w:lang w:val="en-US" w:eastAsia="zh-CN"/>
        </w:rPr>
        <w:t>年中追加</w:t>
      </w:r>
      <w:r>
        <w:rPr>
          <w:rFonts w:ascii="仿宋_GB2312" w:hAnsi="仿宋_GB2312" w:eastAsia="仿宋_GB2312"/>
          <w:b w:val="0"/>
          <w:sz w:val="32"/>
        </w:rPr>
        <w:t>维吾尔医医院医疗服务与保障能力提升项目，导致预决算存在差异。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2024年度一般公共预算财政拨款支出615.41万元，</w:t>
      </w:r>
      <w:r>
        <w:rPr>
          <w:rFonts w:ascii="仿宋_GB2312" w:hAnsi="仿宋_GB2312" w:eastAsia="仿宋_GB2312"/>
          <w:b w:val="0"/>
          <w:sz w:val="32"/>
        </w:rPr>
        <w:t>占本年支出合计的33.83%。</w:t>
      </w:r>
      <w:r>
        <w:rPr>
          <w:rFonts w:ascii="仿宋_GB2312" w:hAnsi="仿宋_GB2312" w:eastAsia="仿宋_GB2312"/>
          <w:b/>
          <w:sz w:val="32"/>
        </w:rPr>
        <w:t>与上年相比，</w:t>
      </w:r>
      <w:r>
        <w:rPr>
          <w:rFonts w:ascii="仿宋_GB2312" w:hAnsi="仿宋_GB2312" w:eastAsia="仿宋_GB2312"/>
          <w:b w:val="0"/>
          <w:sz w:val="32"/>
        </w:rPr>
        <w:t>减少127.02万元，下降17.11%，主要原因是：本年就诊人数比上年减少，专用材料费支出减少。</w:t>
      </w:r>
      <w:r>
        <w:rPr>
          <w:rFonts w:ascii="仿宋_GB2312" w:hAnsi="仿宋_GB2312" w:eastAsia="仿宋_GB2312"/>
          <w:b/>
          <w:sz w:val="32"/>
        </w:rPr>
        <w:t>与年初预算相比,</w:t>
      </w:r>
      <w:r>
        <w:rPr>
          <w:rFonts w:ascii="仿宋_GB2312" w:hAnsi="仿宋_GB2312" w:eastAsia="仿宋_GB2312"/>
          <w:b w:val="0"/>
          <w:sz w:val="32"/>
        </w:rPr>
        <w:t>年初预算数453.95万元，决算数615.41万元，预决算差异率35.57%，主要原因是：</w:t>
      </w:r>
      <w:r>
        <w:rPr>
          <w:rFonts w:hint="eastAsia" w:ascii="仿宋_GB2312" w:hAnsi="仿宋_GB2312" w:eastAsia="仿宋_GB2312"/>
          <w:b w:val="0"/>
          <w:sz w:val="32"/>
          <w:lang w:val="en-US" w:eastAsia="zh-CN"/>
        </w:rPr>
        <w:t>年中追加</w:t>
      </w:r>
      <w:r>
        <w:rPr>
          <w:rFonts w:ascii="仿宋_GB2312" w:hAnsi="仿宋_GB2312" w:eastAsia="仿宋_GB2312"/>
          <w:b w:val="0"/>
          <w:sz w:val="32"/>
        </w:rPr>
        <w:t>维吾尔医医院医疗服务与保障能力提升项目，导致预决算存在差异。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1.社会保障和就业支出(类)50.16万元,占8.15%。</w:t>
      </w:r>
    </w:p>
    <w:p>
      <w:pPr>
        <w:spacing w:line="580" w:lineRule="exact"/>
        <w:ind w:firstLine="640"/>
        <w:jc w:val="both"/>
      </w:pPr>
      <w:r>
        <w:rPr>
          <w:rFonts w:ascii="仿宋_GB2312" w:hAnsi="仿宋_GB2312" w:eastAsia="仿宋_GB2312"/>
          <w:b w:val="0"/>
          <w:sz w:val="32"/>
        </w:rPr>
        <w:t>2.卫生健康支出(类)529.52万元,占86.04%。</w:t>
      </w:r>
    </w:p>
    <w:p>
      <w:pPr>
        <w:spacing w:line="580" w:lineRule="exact"/>
        <w:ind w:firstLine="640"/>
        <w:jc w:val="both"/>
      </w:pPr>
      <w:r>
        <w:rPr>
          <w:rFonts w:ascii="仿宋_GB2312" w:hAnsi="仿宋_GB2312" w:eastAsia="仿宋_GB2312"/>
          <w:b w:val="0"/>
          <w:sz w:val="32"/>
        </w:rPr>
        <w:t>3.住房保障支出(类)35.73万元,占5.81%。</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1.社会保障和就业支出(类)行政事业单位养老支出(款)事业单位离退休(项):支出决算数为6.13万元，比上年决算增加0.15万元，增长2.51%,主要原因是：本年增加退休人员基础绩效奖，退休费支出增加。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44.04万元，比上年决算减少2.86万元，下降6.10%,主要原因是：本年在职人员调入调出，人员职级不同，缴费基数不同，导致养老保险缴费较上年减少。</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8.12万元，下降100.00%,主要原因是：本年无新增退休人员，职业年金缴费较上年减少。</w:t>
      </w:r>
    </w:p>
    <w:p>
      <w:pPr>
        <w:spacing w:line="580" w:lineRule="exact"/>
        <w:ind w:firstLine="640"/>
        <w:jc w:val="both"/>
      </w:pPr>
      <w:r>
        <w:rPr>
          <w:rFonts w:ascii="仿宋_GB2312" w:hAnsi="仿宋_GB2312" w:eastAsia="仿宋_GB2312"/>
          <w:b w:val="0"/>
          <w:sz w:val="32"/>
        </w:rPr>
        <w:t>4.卫生健康支出(类)公立医院(款)中医（民族）医院(项):支出决算数为346.45万元，比上年决算增加6.74万元，增长1.98%,主要原因是：本年医疗专用设备和信息化建设设备购置费支出较上年增加。</w:t>
      </w:r>
    </w:p>
    <w:p>
      <w:pPr>
        <w:spacing w:line="580" w:lineRule="exact"/>
        <w:ind w:firstLine="640"/>
        <w:jc w:val="both"/>
      </w:pPr>
      <w:r>
        <w:rPr>
          <w:rFonts w:ascii="仿宋_GB2312" w:hAnsi="仿宋_GB2312" w:eastAsia="仿宋_GB2312"/>
          <w:b w:val="0"/>
          <w:sz w:val="32"/>
        </w:rPr>
        <w:t>5.卫生健康支出(类)公立医院(款)其他公立医院支出(项):支出决算数为84.90万元，比上年决算增加52.90万元，增长165.31%,主要原因是：本年增加维吾尔医医院医疗服务与保障能力提升项目。</w:t>
      </w:r>
    </w:p>
    <w:p>
      <w:pPr>
        <w:spacing w:line="580" w:lineRule="exact"/>
        <w:ind w:firstLine="640"/>
        <w:jc w:val="both"/>
      </w:pPr>
      <w:r>
        <w:rPr>
          <w:rFonts w:ascii="仿宋_GB2312" w:hAnsi="仿宋_GB2312" w:eastAsia="仿宋_GB2312"/>
          <w:b w:val="0"/>
          <w:sz w:val="32"/>
        </w:rPr>
        <w:t>6.卫生健康支出(类)公共卫生(款)重大公共卫生服务(项):支出决算数为13.24万元，比上年决算减少83.37万元，下降86.30%,主要原因是：本年就诊人数比上年减少，专用材料费支出减少。</w:t>
      </w:r>
    </w:p>
    <w:p>
      <w:pPr>
        <w:spacing w:line="580" w:lineRule="exact"/>
        <w:ind w:firstLine="640"/>
        <w:jc w:val="both"/>
      </w:pPr>
      <w:r>
        <w:rPr>
          <w:rFonts w:ascii="仿宋_GB2312" w:hAnsi="仿宋_GB2312" w:eastAsia="仿宋_GB2312"/>
          <w:b w:val="0"/>
          <w:sz w:val="32"/>
        </w:rPr>
        <w:t>7.卫生健康支出(类)公共卫生(款)其他公共卫生支出(项):支出决算数为14.87万元，比上年决算增加7.35万元，增长97.74%,主要原因是：本年全民健康体检人数比上年增加，导致经费较上年增加。</w:t>
      </w:r>
    </w:p>
    <w:p>
      <w:pPr>
        <w:spacing w:line="580" w:lineRule="exact"/>
        <w:ind w:firstLine="640"/>
        <w:jc w:val="both"/>
      </w:pPr>
      <w:r>
        <w:rPr>
          <w:rFonts w:ascii="仿宋_GB2312" w:hAnsi="仿宋_GB2312" w:eastAsia="仿宋_GB2312"/>
          <w:b w:val="0"/>
          <w:sz w:val="32"/>
        </w:rPr>
        <w:t>8.卫生健康支出(类)中医药(款)中医（民族医）药专项(项):支出决算数为0.00万元，比上年决算减少150.00万元，下降100.00%,主要原因是：本年功能科目调整，维吾尔医医院中医药事业传承与发展项目上年在卫生健康支出(类)中医药(款)中医（民族医）药专项(项)科目列支，本年在卫生健康支出(类)中医药事务(款)中医（民族医）药专项(项)科目列支，导致经费较上年减少。</w:t>
      </w:r>
    </w:p>
    <w:p>
      <w:pPr>
        <w:spacing w:line="580" w:lineRule="exact"/>
        <w:ind w:firstLine="640"/>
        <w:jc w:val="both"/>
      </w:pPr>
      <w:r>
        <w:rPr>
          <w:rFonts w:ascii="仿宋_GB2312" w:hAnsi="仿宋_GB2312" w:eastAsia="仿宋_GB2312"/>
          <w:b w:val="0"/>
          <w:sz w:val="32"/>
        </w:rPr>
        <w:t>9.卫生健康支出(类)行政事业单位医疗(款)事业单位医疗(项):支出决算数为20.07万元，比上年决算减少0.96万元，下降4.56%,主要原因是：本年在职人员调入调出，人员职级不同，缴费基数不同，导致事业单位医疗较上年减少。</w:t>
      </w:r>
    </w:p>
    <w:p>
      <w:pPr>
        <w:spacing w:line="580" w:lineRule="exact"/>
        <w:ind w:firstLine="640"/>
        <w:jc w:val="both"/>
      </w:pPr>
      <w:r>
        <w:rPr>
          <w:rFonts w:ascii="仿宋_GB2312" w:hAnsi="仿宋_GB2312" w:eastAsia="仿宋_GB2312"/>
          <w:b w:val="0"/>
          <w:sz w:val="32"/>
        </w:rPr>
        <w:t>10.卫生健康支出(类)中医药事务(款)中医（民族医）药专项(项):支出决算数为50.00万元，比上年决算增加50.00万元，增长100.00%,主要原因是：本年功能科目调整，维吾尔医医院中医药事业传承与发展项目上年在卫生健康支出(类)中医药(款)中医（民族医）药专项(项)科目列支，本年在卫生健康支出(类)中医药事务(款)中医（民族医）药专项(项)科目列支，导致经费较上年增加。</w:t>
      </w:r>
    </w:p>
    <w:p>
      <w:pPr>
        <w:spacing w:line="580" w:lineRule="exact"/>
        <w:ind w:firstLine="640"/>
        <w:jc w:val="both"/>
      </w:pPr>
      <w:r>
        <w:rPr>
          <w:rFonts w:ascii="仿宋_GB2312" w:hAnsi="仿宋_GB2312" w:eastAsia="仿宋_GB2312"/>
          <w:b w:val="0"/>
          <w:sz w:val="32"/>
        </w:rPr>
        <w:t>11.住房保障支出(类)住房改革支出(款)住房公积金(项):支出决算数为35.73万元，比上年决算增加1.16万元，增长3.36%,主要原因是：本年在职人员</w:t>
      </w:r>
      <w:r>
        <w:rPr>
          <w:rFonts w:hint="eastAsia" w:ascii="仿宋_GB2312" w:hAnsi="仿宋_GB2312" w:eastAsia="仿宋_GB2312"/>
          <w:b w:val="0"/>
          <w:sz w:val="32"/>
          <w:lang w:val="en-US" w:eastAsia="zh-CN"/>
        </w:rPr>
        <w:t>工资调增</w:t>
      </w:r>
      <w:r>
        <w:rPr>
          <w:rFonts w:ascii="仿宋_GB2312" w:hAnsi="仿宋_GB2312" w:eastAsia="仿宋_GB2312"/>
          <w:b w:val="0"/>
          <w:sz w:val="32"/>
        </w:rPr>
        <w:t>，住房公积金支出较上年增加。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2024年度一般公共预算财政拨款基本支出487.52万元，其中：</w:t>
      </w:r>
      <w:r>
        <w:rPr>
          <w:rFonts w:ascii="仿宋_GB2312" w:hAnsi="仿宋_GB2312" w:eastAsia="仿宋_GB2312"/>
          <w:b/>
          <w:sz w:val="32"/>
        </w:rPr>
        <w:t>人员经费452.40万元，</w:t>
      </w:r>
      <w:r>
        <w:rPr>
          <w:rFonts w:ascii="仿宋_GB2312" w:hAnsi="仿宋_GB2312" w:eastAsia="仿宋_GB2312"/>
          <w:b w:val="0"/>
          <w:sz w:val="32"/>
        </w:rPr>
        <w:t>包括：基本工资、津贴补贴、奖金、机关事业单位基本养老保险缴费、职工基本医疗保险缴费、其他社会保障缴费、住房公积金、其他工资福利支出、退休费、生活补助、奖励金。</w:t>
      </w:r>
    </w:p>
    <w:p>
      <w:pPr>
        <w:spacing w:line="580" w:lineRule="exact"/>
        <w:ind w:firstLine="640"/>
        <w:jc w:val="both"/>
      </w:pPr>
      <w:r>
        <w:rPr>
          <w:rFonts w:ascii="仿宋_GB2312" w:hAnsi="仿宋_GB2312" w:eastAsia="仿宋_GB2312"/>
          <w:b/>
          <w:sz w:val="32"/>
        </w:rPr>
        <w:t>公用经费35.11万元，</w:t>
      </w:r>
      <w:r>
        <w:rPr>
          <w:rFonts w:ascii="仿宋_GB2312" w:hAnsi="仿宋_GB2312" w:eastAsia="仿宋_GB2312"/>
          <w:b w:val="0"/>
          <w:sz w:val="32"/>
        </w:rPr>
        <w:t>包括：差旅费、维修（护）费、专用材料费。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5辆，与公务用车保有量差异原因是：</w:t>
      </w:r>
      <w:r>
        <w:rPr>
          <w:rFonts w:hint="eastAsia" w:ascii="仿宋_GB2312" w:hAnsi="仿宋_GB2312" w:eastAsia="仿宋_GB2312"/>
          <w:b w:val="0"/>
          <w:sz w:val="32"/>
          <w:lang w:eastAsia="zh-CN"/>
        </w:rPr>
        <w:t>本单位</w:t>
      </w:r>
      <w:r>
        <w:rPr>
          <w:rFonts w:ascii="仿宋_GB2312" w:hAnsi="仿宋_GB2312" w:eastAsia="仿宋_GB2312"/>
          <w:b w:val="0"/>
          <w:sz w:val="32"/>
        </w:rPr>
        <w:t>差异车辆5辆，为救护车，车辆费用未使用财政拨款公务用车运行维护费支付，由事业收入经费保障。</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2024年度轮台县维吾尔医医院（事业单位）公用经费支出35.11万元，比上年减少111.07万元，下降75.98%，主要原因是：本年看病就诊人员减少，专用材料费支出减少。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2024年度政府采购支出总额221.87万元，其中：政府采购货物支出148.83万元、政府采购工程支出8.90万元、政府采购服务支出64.15万元。</w:t>
      </w:r>
    </w:p>
    <w:p>
      <w:pPr>
        <w:spacing w:line="580" w:lineRule="exact"/>
        <w:ind w:firstLine="640"/>
        <w:jc w:val="both"/>
      </w:pPr>
      <w:r>
        <w:rPr>
          <w:rFonts w:ascii="仿宋_GB2312" w:hAnsi="仿宋_GB2312" w:eastAsia="仿宋_GB2312"/>
          <w:b w:val="0"/>
          <w:sz w:val="32"/>
        </w:rPr>
        <w:t>授予中小企业合同金额215.36万元，占政府采购支出总额的97.07%，其中：授予小微企业合同金额157.51万元，占政府采购支出总额的70.99%。</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7,170.07平方米，价值1,301.81万元。车辆5辆，价值140.78万元，其中：副部（省）级及以上领导用车0辆、主要负责人用车0辆、机要通信用车0辆、应急保障用车0辆、执法执勤用车0辆、特种专业技术用车0辆、离退休干部服务用车0辆、其他用车5辆，其他用车主要是：</w:t>
      </w:r>
      <w:r>
        <w:rPr>
          <w:rFonts w:hint="eastAsia" w:ascii="仿宋_GB2312" w:hAnsi="仿宋_GB2312" w:eastAsia="仿宋_GB2312"/>
          <w:b w:val="0"/>
          <w:sz w:val="32"/>
          <w:lang w:eastAsia="zh-CN"/>
        </w:rPr>
        <w:t>本单位</w:t>
      </w:r>
      <w:r>
        <w:rPr>
          <w:rFonts w:ascii="仿宋_GB2312" w:hAnsi="仿宋_GB2312" w:eastAsia="仿宋_GB2312"/>
          <w:b w:val="0"/>
          <w:sz w:val="32"/>
        </w:rPr>
        <w:t>救护车。单价100万元（含）以上设备（不含车辆）3台（套）。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1,819.09万元，实际执行总额1,819.09万元；预算绩效评价项目1个，全年预算数314.64万元，全年执行数314.64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三是严格控制资金的流出方向，确保资金的合规性。发现的问题及原因：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下一步改进措施：一是加强学习，进一步明确如何参照考核体系，科学合理设定绩效目标，充分发挥预算绩效管理工作效用。二是财务上会计核算要更加详细，为本单位各项工作的开展、总结、评估提供有效数据资料支撑,为各项业务工作更好</w:t>
      </w:r>
      <w:r>
        <w:rPr>
          <w:rFonts w:hint="eastAsia" w:ascii="仿宋_GB2312" w:hAnsi="仿宋_GB2312" w:eastAsia="仿宋_GB2312"/>
          <w:b w:val="0"/>
          <w:sz w:val="32"/>
          <w:lang w:eastAsia="zh-CN"/>
        </w:rPr>
        <w:t>地</w:t>
      </w:r>
      <w:r>
        <w:rPr>
          <w:rFonts w:ascii="仿宋_GB2312" w:hAnsi="仿宋_GB2312" w:eastAsia="仿宋_GB2312"/>
          <w:b w:val="0"/>
          <w:sz w:val="32"/>
        </w:rPr>
        <w:t>开展提供帮助。三是从源头上强化对专项资金预算管理，实行专项资金预算管理，结合单位实际,按轻重缓急统筹安排编制预算,提高预算编制科学性和合理性，优化资金结构。具体附整体支出绩效自评表，项目支出绩效自评表。</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轮台县维吾尔医医院</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888.95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1,819.09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1,819.09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167.87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167.87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888.95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447.55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447.55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1,203.67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1,203.67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全面贯彻落实自治区、自治州委国民健康政策，以提升居民健康水平为目标，为人民身体健康提供医疗预防保健服务，做好辖区内医疗救治服务，保障</w:t>
            </w:r>
            <w:r>
              <w:rPr>
                <w:rFonts w:hint="eastAsia" w:ascii="宋体" w:hAnsi="宋体"/>
                <w:sz w:val="16"/>
                <w:lang w:eastAsia="zh-CN"/>
              </w:rPr>
              <w:t>基本公共卫生服务</w:t>
            </w:r>
            <w:r>
              <w:rPr>
                <w:rFonts w:ascii="宋体" w:hAnsi="宋体" w:eastAsia="宋体"/>
                <w:sz w:val="16"/>
              </w:rPr>
              <w:t>开展，提升医疗收入；提高卫生健康知识知晓率，提高本辖区居民健康水平；做好群众的健康管理工作，开展全民健康体检工作，实现辖区居民全覆盖；为广大人民群众提供更加优质有效的中医药服务，推进中药材产业高质量发展重点目标任务落实；主要完成</w:t>
            </w:r>
            <w:r>
              <w:rPr>
                <w:rFonts w:hint="eastAsia" w:ascii="宋体" w:hAnsi="宋体"/>
                <w:sz w:val="16"/>
                <w:lang w:eastAsia="zh-CN"/>
              </w:rPr>
              <w:t>以下</w:t>
            </w:r>
            <w:r>
              <w:rPr>
                <w:rFonts w:ascii="宋体" w:hAnsi="宋体" w:eastAsia="宋体"/>
                <w:sz w:val="16"/>
              </w:rPr>
              <w:t>目标任务：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1.接待门诊和住院患者人次达到23500人次，做好辖区内医疗救治服务；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2.公立医院医疗服务收入（不含药品、耗材、检查、化验）占医疗收入的比例达到40%以上，提升医疗收入；</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3.做好全民健康体检工作,预计开展健康体检不少于1900人，带动全民健康管理，提升全民健康水平；健康体检覆盖率达到90%；</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4.做好药品管理工作，今年药品不良事件上报任务达到7次以上，提供更加优质有效的中医药服务；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w:t>
            </w:r>
            <w:r>
              <w:rPr>
                <w:rFonts w:hint="eastAsia" w:ascii="宋体" w:hAnsi="宋体"/>
                <w:sz w:val="16"/>
                <w:lang w:eastAsia="zh-CN"/>
              </w:rPr>
              <w:t>做好</w:t>
            </w:r>
            <w:r>
              <w:rPr>
                <w:rFonts w:ascii="宋体" w:hAnsi="宋体" w:eastAsia="宋体"/>
                <w:sz w:val="16"/>
              </w:rPr>
              <w:t>群众的健康管理工作，患者住院天数不超过13天；</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6.做好群众健康服务工作，做到患者的满意度95%以上。</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落实自治区、自治州国民健康政策，以提升居民健康水平为目标，为人民身体健康提供医疗预防保健服务，做好辖区内医疗救治服务，保障</w:t>
            </w:r>
            <w:r>
              <w:rPr>
                <w:rFonts w:hint="eastAsia" w:ascii="宋体" w:hAnsi="宋体"/>
                <w:sz w:val="16"/>
                <w:lang w:eastAsia="zh-CN"/>
              </w:rPr>
              <w:t>基本公共卫生服务</w:t>
            </w:r>
            <w:r>
              <w:rPr>
                <w:rFonts w:ascii="宋体" w:hAnsi="宋体" w:eastAsia="宋体"/>
                <w:sz w:val="16"/>
              </w:rPr>
              <w:t>开展，提升医疗收入；提高卫生健康知识知晓率；做好群众的健康管理工作，开展全民健康体检工作，实现辖区居民全覆盖；2024年主要完成：</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1.完成接待门诊和住院患者人次达到23892人次，做好辖区内医疗救治服务；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2.公立医院医疗服务收入（不含药品、耗材、检查、化验）占医疗收入的比例达到51.23%，提升医疗收入；</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3.做好全民健康体检工作,完成健康体检1939人，带动全民健康管理，提升全民健康水平；健康体检覆盖率达到100%；</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4.做好药品管理工作，已完成药品不良反应上报任务达到7次，提供更加优质有效的中医药服务；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5.做好群众的健康管理工作，患者住院天数平均9.35天；</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6.做好群众健康服务工作，做到患者的满意度95.5%。</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接待门诊和住院患者人次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&gt;=23500人次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轮台县维吾尔医医院2024年工作计划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23892人次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公立医院医疗服务收入（不含药品、耗材、检查、化验）占医疗收入的比例</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轮台县维吾尔医医院2024年工作计划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全民健康体检人数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&gt;=1900人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轮台县维吾尔医医院2024年工作计划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1939人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药品不良事件上报</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轮台县维吾尔医医院2024年工作计划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公立医院平均住院日</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&lt;=13天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轮台县维吾尔医医院2024年工作计划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9.35天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健康体检覆盖率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轮台县维吾尔医医院2024年工作计划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医疗服务收入占总收入的比率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轮台县维吾尔医医院2024年工作计划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34.41%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服务对象满意度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患者满意度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轮台县维吾尔医医院2024年工作计划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bl>
    <w:p>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776"/>
        <w:gridCol w:w="625"/>
        <w:gridCol w:w="625"/>
        <w:gridCol w:w="627"/>
        <w:gridCol w:w="625"/>
        <w:gridCol w:w="625"/>
        <w:gridCol w:w="696"/>
        <w:gridCol w:w="629"/>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2024年单位自有资金（门诊收入、住院收入）</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新疆轮台县维吾尔医医院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轮台县维吾尔医医院</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314.64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314.64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314.64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314.64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314.64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314.64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贯彻落实国家、自治区医疗卫生重大政策，推进医疗与护理保健服务正常开展：目标1：计划外聘医务人员64人，按月发放工资，稳定医疗队伍,提升医院服务能力，持续为群众提供医疗保障服务</w:t>
            </w:r>
            <w:r>
              <w:rPr>
                <w:rFonts w:hint="eastAsia" w:ascii="宋体" w:hAnsi="宋体"/>
                <w:sz w:val="16"/>
                <w:lang w:eastAsia="zh-CN"/>
              </w:rPr>
              <w:t>；</w:t>
            </w:r>
            <w:r>
              <w:rPr>
                <w:rFonts w:ascii="宋体" w:hAnsi="宋体" w:eastAsia="宋体"/>
                <w:sz w:val="16"/>
              </w:rPr>
              <w:t>目标2：保障本单位日常办公经费及车辆运转支出，维持正常运转，保障</w:t>
            </w:r>
            <w:r>
              <w:rPr>
                <w:rFonts w:hint="eastAsia" w:ascii="宋体" w:hAnsi="宋体"/>
                <w:sz w:val="16"/>
                <w:lang w:eastAsia="zh-CN"/>
              </w:rPr>
              <w:t>基本公共卫生服务</w:t>
            </w:r>
            <w:r>
              <w:rPr>
                <w:rFonts w:ascii="宋体" w:hAnsi="宋体" w:eastAsia="宋体"/>
                <w:sz w:val="16"/>
              </w:rPr>
              <w:t>开展，完成卫生健康重点工作任务；目标3：计划采购医疗设备，提升医疗服务水平，保障医疗服务质量。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贯彻落实国</w:t>
            </w:r>
            <w:bookmarkStart w:id="0" w:name="_GoBack"/>
            <w:r>
              <w:rPr>
                <w:rFonts w:ascii="宋体" w:hAnsi="宋体" w:eastAsia="宋体"/>
                <w:sz w:val="16"/>
              </w:rPr>
              <w:t>家、自治区医疗卫生重大政策，推进医疗与护理保健服务正常开展，</w:t>
            </w:r>
            <w:r>
              <w:rPr>
                <w:rFonts w:hint="eastAsia" w:ascii="宋体" w:hAnsi="宋体"/>
                <w:sz w:val="16"/>
                <w:lang w:eastAsia="zh-CN"/>
              </w:rPr>
              <w:t>截至</w:t>
            </w:r>
            <w:r>
              <w:rPr>
                <w:rFonts w:ascii="宋体" w:hAnsi="宋体" w:eastAsia="宋体"/>
                <w:sz w:val="16"/>
              </w:rPr>
              <w:t>12月已完成：</w:t>
            </w:r>
            <w:r>
              <w:rPr>
                <w:rFonts w:ascii="宋体" w:hAnsi="宋体" w:eastAsia="宋体"/>
                <w:sz w:val="16"/>
              </w:rPr>
              <w:br w:type="textWrapping"/>
            </w:r>
            <w:r>
              <w:rPr>
                <w:rFonts w:ascii="宋体" w:hAnsi="宋体" w:eastAsia="宋体"/>
                <w:sz w:val="16"/>
              </w:rPr>
              <w:t>1：已聘用医务人员86人，并发放1-12月工资，稳定医疗队伍,提升医院服务能力，持续为群众提供医疗保障服务；</w:t>
            </w:r>
            <w:r>
              <w:rPr>
                <w:rFonts w:ascii="宋体" w:hAnsi="宋体" w:eastAsia="宋体"/>
                <w:sz w:val="16"/>
              </w:rPr>
              <w:br w:type="textWrapping"/>
            </w:r>
            <w:bookmarkEnd w:id="0"/>
            <w:r>
              <w:rPr>
                <w:rFonts w:ascii="宋体" w:hAnsi="宋体" w:eastAsia="宋体"/>
                <w:sz w:val="16"/>
              </w:rPr>
              <w:t>2：保障本单位1-12月日常办公经费及车辆运转支出，维持正常运转，保障</w:t>
            </w:r>
            <w:r>
              <w:rPr>
                <w:rFonts w:hint="eastAsia" w:ascii="宋体" w:hAnsi="宋体"/>
                <w:sz w:val="16"/>
                <w:lang w:eastAsia="zh-CN"/>
              </w:rPr>
              <w:t>基本公共卫生服务</w:t>
            </w:r>
            <w:r>
              <w:rPr>
                <w:rFonts w:ascii="宋体" w:hAnsi="宋体" w:eastAsia="宋体"/>
                <w:sz w:val="16"/>
              </w:rPr>
              <w:t>开展，完成卫生健康重点工作任务；</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发放外聘人员工资人数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发放外聘人员工资次数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保障办公人员数量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保障公务用车数量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外聘人员工资发放准确率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外聘人员工资发放及时率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每次发放外聘人员工资资金数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&lt;=24.82万元/次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=24.82万元/次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保障办公人员成本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保障公务用车成本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保障医疗服务质量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提升医疗服务水平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外聘人员满意度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本单位</w:t>
            </w:r>
            <w:r>
              <w:rPr>
                <w:rFonts w:ascii="宋体" w:hAnsi="宋体" w:eastAsia="宋体"/>
                <w:sz w:val="16"/>
              </w:rPr>
              <w:t>工资待遇比较好，所以职工满意度超出指标值</w:t>
            </w: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87F699B"/>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1C11696"/>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8E9043D"/>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5011</Words>
  <Characters>5754</Characters>
  <Lines>0</Lines>
  <Paragraphs>0</Paragraphs>
  <TotalTime>4</TotalTime>
  <ScaleCrop>false</ScaleCrop>
  <LinksUpToDate>false</LinksUpToDate>
  <CharactersWithSpaces>5762</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lenovo</cp:lastModifiedBy>
  <cp:lastPrinted>2024-07-22T11:58:00Z</cp:lastPrinted>
  <dcterms:modified xsi:type="dcterms:W3CDTF">2025-09-28T10:06:29Z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