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轮台县群巴克镇九年一贯制学校2024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459873">
      <w:r>
        <w:br w:type="page"/>
      </w:r>
    </w:p>
    <w:p w14:paraId="78D5669F">
      <w:pPr>
        <w:spacing w:line="640" w:lineRule="exact"/>
        <w:jc w:val="center"/>
        <w:outlineLvl w:val="1"/>
      </w:pPr>
      <w:r>
        <w:rPr>
          <w:rFonts w:ascii="黑体" w:hAnsi="黑体" w:eastAsia="黑体"/>
          <w:sz w:val="32"/>
        </w:rPr>
        <w:t>第一部分 单位概况</w:t>
      </w:r>
    </w:p>
    <w:p w14:paraId="4FC4DAF5">
      <w:pPr>
        <w:spacing w:line="640" w:lineRule="exact"/>
        <w:ind w:firstLine="640"/>
        <w:jc w:val="both"/>
        <w:outlineLvl w:val="2"/>
      </w:pPr>
      <w:r>
        <w:rPr>
          <w:rFonts w:ascii="黑体" w:hAnsi="黑体" w:eastAsia="黑体"/>
          <w:sz w:val="32"/>
        </w:rPr>
        <w:t>一、主要职能</w:t>
      </w:r>
    </w:p>
    <w:p w14:paraId="73F5FEF5">
      <w:pPr>
        <w:spacing w:line="580" w:lineRule="exact"/>
        <w:ind w:firstLine="640"/>
        <w:jc w:val="both"/>
      </w:pPr>
      <w:r>
        <w:rPr>
          <w:rFonts w:ascii="仿宋_GB2312" w:hAnsi="仿宋_GB2312" w:eastAsia="仿宋_GB2312"/>
          <w:sz w:val="32"/>
        </w:rPr>
        <w:t>（一）对全校学生进行教书育人工作，坚持教育为社会主义现代化建设服务、为人民服务</w:t>
      </w:r>
      <w:r>
        <w:rPr>
          <w:rFonts w:hint="eastAsia" w:ascii="仿宋_GB2312" w:hAnsi="仿宋_GB2312" w:eastAsia="仿宋_GB2312"/>
          <w:sz w:val="32"/>
          <w:lang w:eastAsia="zh-CN"/>
        </w:rPr>
        <w:t>的方针。</w:t>
      </w:r>
    </w:p>
    <w:p w14:paraId="07C7E256">
      <w:pPr>
        <w:spacing w:line="580" w:lineRule="exact"/>
        <w:ind w:firstLine="640"/>
        <w:jc w:val="both"/>
      </w:pPr>
      <w:r>
        <w:rPr>
          <w:rFonts w:ascii="仿宋_GB2312" w:hAnsi="仿宋_GB2312" w:eastAsia="仿宋_GB2312"/>
          <w:sz w:val="32"/>
        </w:rPr>
        <w:t>（二）坚持教育与社会实践相结合，以提高国民素质为根本宗旨，以培养学生的创新精神和实践能力为重点。</w:t>
      </w:r>
    </w:p>
    <w:p w14:paraId="194A9ED0">
      <w:pPr>
        <w:spacing w:line="580" w:lineRule="exact"/>
        <w:ind w:firstLine="640"/>
        <w:jc w:val="both"/>
      </w:pPr>
      <w:r>
        <w:rPr>
          <w:rFonts w:ascii="仿宋_GB2312" w:hAnsi="仿宋_GB2312" w:eastAsia="仿宋_GB2312"/>
          <w:sz w:val="32"/>
        </w:rPr>
        <w:t>（三）努力造就有理想、有道德、有文化、有纪律，德育、智育、体育、美育等全面发展的社会主义事业建设者和接班人，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14:paraId="38C339FC">
      <w:pPr>
        <w:spacing w:line="640" w:lineRule="exact"/>
        <w:ind w:firstLine="640"/>
        <w:jc w:val="both"/>
        <w:outlineLvl w:val="2"/>
      </w:pPr>
      <w:r>
        <w:rPr>
          <w:rFonts w:ascii="黑体" w:hAnsi="黑体" w:eastAsia="黑体"/>
          <w:sz w:val="32"/>
        </w:rPr>
        <w:t>二、机构设置及人员情况</w:t>
      </w:r>
    </w:p>
    <w:p w14:paraId="26C840A3">
      <w:pPr>
        <w:spacing w:line="580" w:lineRule="exact"/>
        <w:ind w:firstLine="640"/>
        <w:jc w:val="both"/>
      </w:pPr>
      <w:r>
        <w:rPr>
          <w:rFonts w:ascii="仿宋_GB2312" w:hAnsi="仿宋_GB2312" w:eastAsia="仿宋_GB2312"/>
          <w:sz w:val="32"/>
        </w:rPr>
        <w:t>轮台县群巴克镇九年一贯制学校2024年度，实有人数275人，其中：在职人员213人，增加1人；离休人员0人，增加0人；退休人员62人,增加4人。</w:t>
      </w:r>
    </w:p>
    <w:p w14:paraId="0E5EF69F">
      <w:pPr>
        <w:spacing w:line="580" w:lineRule="exact"/>
        <w:ind w:firstLine="640"/>
        <w:jc w:val="both"/>
      </w:pPr>
      <w:r>
        <w:rPr>
          <w:rFonts w:ascii="仿宋_GB2312" w:hAnsi="仿宋_GB2312" w:eastAsia="仿宋_GB2312"/>
          <w:sz w:val="32"/>
        </w:rPr>
        <w:t>轮台县群巴克镇九年一贯制学校无下属预算单位，下设5个科室，分别是：校务办、教导处、政教处、教研处、总务处。</w:t>
      </w:r>
    </w:p>
    <w:p w14:paraId="52AE1F0D">
      <w:r>
        <w:br w:type="page"/>
      </w:r>
    </w:p>
    <w:p w14:paraId="3975C5EE">
      <w:pPr>
        <w:spacing w:line="240" w:lineRule="auto"/>
        <w:jc w:val="center"/>
        <w:outlineLvl w:val="1"/>
      </w:pPr>
      <w:r>
        <w:rPr>
          <w:rFonts w:ascii="黑体" w:hAnsi="黑体" w:eastAsia="黑体"/>
          <w:sz w:val="32"/>
        </w:rPr>
        <w:t>第二部分 部门决算情况说明</w:t>
      </w:r>
    </w:p>
    <w:p w14:paraId="7705929D">
      <w:pPr>
        <w:spacing w:line="640" w:lineRule="exact"/>
        <w:ind w:firstLine="640"/>
        <w:jc w:val="both"/>
        <w:outlineLvl w:val="2"/>
      </w:pPr>
      <w:r>
        <w:rPr>
          <w:rFonts w:ascii="黑体" w:hAnsi="黑体" w:eastAsia="黑体"/>
          <w:sz w:val="32"/>
        </w:rPr>
        <w:t>一、收入支出决算总体情况说明</w:t>
      </w:r>
    </w:p>
    <w:p w14:paraId="0CFE8AEE">
      <w:pPr>
        <w:spacing w:line="580" w:lineRule="exact"/>
        <w:ind w:firstLine="640"/>
        <w:jc w:val="both"/>
      </w:pPr>
      <w:r>
        <w:rPr>
          <w:rFonts w:ascii="仿宋_GB2312" w:hAnsi="仿宋_GB2312" w:eastAsia="仿宋_GB2312"/>
          <w:b/>
          <w:sz w:val="32"/>
        </w:rPr>
        <w:t>2024年度收入总计4,281.04万元，</w:t>
      </w:r>
      <w:r>
        <w:rPr>
          <w:rFonts w:ascii="仿宋_GB2312" w:hAnsi="仿宋_GB2312" w:eastAsia="仿宋_GB2312"/>
          <w:b w:val="0"/>
          <w:sz w:val="32"/>
        </w:rPr>
        <w:t>其中：本年收入合计4,268.85万元，使用非财政拨款结余（含专用结余）0.00万元，年初结转和结余12.19万元。</w:t>
      </w:r>
    </w:p>
    <w:p w14:paraId="0970CB82">
      <w:pPr>
        <w:spacing w:line="580" w:lineRule="exact"/>
        <w:ind w:firstLine="640"/>
        <w:jc w:val="both"/>
      </w:pPr>
      <w:r>
        <w:rPr>
          <w:rFonts w:ascii="仿宋_GB2312" w:hAnsi="仿宋_GB2312" w:eastAsia="仿宋_GB2312"/>
          <w:b/>
          <w:sz w:val="32"/>
        </w:rPr>
        <w:t>2024年度支出总计4,281.04万元，</w:t>
      </w:r>
      <w:r>
        <w:rPr>
          <w:rFonts w:ascii="仿宋_GB2312" w:hAnsi="仿宋_GB2312" w:eastAsia="仿宋_GB2312"/>
          <w:b w:val="0"/>
          <w:sz w:val="32"/>
        </w:rPr>
        <w:t>其中：本年支出合计4,265.03万元，结余分配0.00万元，年末结转和结余16.02万元。</w:t>
      </w:r>
    </w:p>
    <w:p w14:paraId="3A52B51B">
      <w:pPr>
        <w:spacing w:line="580" w:lineRule="exact"/>
        <w:ind w:firstLine="640"/>
        <w:jc w:val="both"/>
      </w:pPr>
      <w:r>
        <w:rPr>
          <w:rFonts w:ascii="仿宋_GB2312" w:hAnsi="仿宋_GB2312" w:eastAsia="仿宋_GB2312"/>
          <w:b w:val="0"/>
          <w:sz w:val="32"/>
        </w:rPr>
        <w:t>收入支出总体与上年相比，减少232.50万元，下降5.15%，主要原因是：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本年度长期聘用人员29人，9月移交给轮台县第一小学管理，导致相关经费较上年减少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减少文化长廊和展板制作费</w:t>
      </w:r>
      <w:r>
        <w:rPr>
          <w:rFonts w:ascii="仿宋_GB2312" w:hAnsi="仿宋_GB2312" w:eastAsia="仿宋_GB2312"/>
          <w:b w:val="0"/>
          <w:sz w:val="32"/>
        </w:rPr>
        <w:t>。</w:t>
      </w:r>
    </w:p>
    <w:p w14:paraId="091D9065">
      <w:pPr>
        <w:spacing w:line="640" w:lineRule="exact"/>
        <w:ind w:firstLine="640"/>
        <w:jc w:val="both"/>
        <w:outlineLvl w:val="2"/>
      </w:pPr>
      <w:r>
        <w:rPr>
          <w:rFonts w:ascii="黑体" w:hAnsi="黑体" w:eastAsia="黑体"/>
          <w:sz w:val="32"/>
        </w:rPr>
        <w:t>二、收入决算情况说明</w:t>
      </w:r>
    </w:p>
    <w:p w14:paraId="2758D1CB">
      <w:pPr>
        <w:spacing w:line="580" w:lineRule="exact"/>
        <w:ind w:firstLine="640"/>
        <w:jc w:val="both"/>
      </w:pPr>
      <w:r>
        <w:rPr>
          <w:rFonts w:ascii="仿宋_GB2312" w:hAnsi="仿宋_GB2312" w:eastAsia="仿宋_GB2312"/>
          <w:b/>
          <w:sz w:val="32"/>
        </w:rPr>
        <w:t>本年收入4,268.85万元，</w:t>
      </w:r>
      <w:r>
        <w:rPr>
          <w:rFonts w:ascii="仿宋_GB2312" w:hAnsi="仿宋_GB2312" w:eastAsia="仿宋_GB2312"/>
          <w:b w:val="0"/>
          <w:sz w:val="32"/>
        </w:rPr>
        <w:t>其中：财政拨款收入4,254.64万元，占99.67%；上级补助收入0.00万元，占0.00%；事业收入0.00万元，占0.00%；经营收入0.00万元，占0.00%；附属单位上缴收入0.00万元，占0.00%；其他收入14.21万元，占0.33%。</w:t>
      </w:r>
    </w:p>
    <w:p w14:paraId="16126FBA">
      <w:pPr>
        <w:spacing w:line="640" w:lineRule="exact"/>
        <w:ind w:firstLine="640"/>
        <w:jc w:val="both"/>
        <w:outlineLvl w:val="2"/>
      </w:pPr>
      <w:r>
        <w:rPr>
          <w:rFonts w:ascii="黑体" w:hAnsi="黑体" w:eastAsia="黑体"/>
          <w:sz w:val="32"/>
        </w:rPr>
        <w:t>三、支出决算情况说明</w:t>
      </w:r>
    </w:p>
    <w:p w14:paraId="400A2378">
      <w:pPr>
        <w:spacing w:line="580" w:lineRule="exact"/>
        <w:ind w:firstLine="640"/>
        <w:jc w:val="both"/>
      </w:pPr>
      <w:r>
        <w:rPr>
          <w:rFonts w:ascii="仿宋_GB2312" w:hAnsi="仿宋_GB2312" w:eastAsia="仿宋_GB2312"/>
          <w:b/>
          <w:sz w:val="32"/>
        </w:rPr>
        <w:t>本年支出4,265.03万元，</w:t>
      </w:r>
      <w:r>
        <w:rPr>
          <w:rFonts w:ascii="仿宋_GB2312" w:hAnsi="仿宋_GB2312" w:eastAsia="仿宋_GB2312"/>
          <w:b w:val="0"/>
          <w:sz w:val="32"/>
        </w:rPr>
        <w:t>其中：基本支出4,265.03万元，占100.00%；项目支出0.00万元，占0.00%；上缴上级支出0.00万元，占0.00%；经营支出0.00万元，占0.00%；对附属单位补助支出0.00万元，占0.00%。</w:t>
      </w:r>
    </w:p>
    <w:p w14:paraId="42C4E741">
      <w:pPr>
        <w:spacing w:line="640" w:lineRule="exact"/>
        <w:ind w:firstLine="640"/>
        <w:jc w:val="both"/>
        <w:outlineLvl w:val="2"/>
      </w:pPr>
      <w:r>
        <w:rPr>
          <w:rFonts w:ascii="黑体" w:hAnsi="黑体" w:eastAsia="黑体"/>
          <w:sz w:val="32"/>
        </w:rPr>
        <w:t>四、财政拨款收入支出决算总体情况说明</w:t>
      </w:r>
    </w:p>
    <w:p w14:paraId="4ED117A6">
      <w:pPr>
        <w:spacing w:line="580" w:lineRule="exact"/>
        <w:ind w:firstLine="640"/>
        <w:jc w:val="both"/>
      </w:pPr>
      <w:r>
        <w:rPr>
          <w:rFonts w:ascii="仿宋_GB2312" w:hAnsi="仿宋_GB2312" w:eastAsia="仿宋_GB2312"/>
          <w:b/>
          <w:sz w:val="32"/>
        </w:rPr>
        <w:t>2024年度财政拨款收入总计4,254.64万元，</w:t>
      </w:r>
      <w:r>
        <w:rPr>
          <w:rFonts w:ascii="仿宋_GB2312" w:hAnsi="仿宋_GB2312" w:eastAsia="仿宋_GB2312"/>
          <w:b w:val="0"/>
          <w:sz w:val="32"/>
        </w:rPr>
        <w:t>其中：年初财政拨款结转和结余0.00万元，本年财政拨款收入4,254.64万元。</w:t>
      </w:r>
      <w:r>
        <w:rPr>
          <w:rFonts w:ascii="仿宋_GB2312" w:hAnsi="仿宋_GB2312" w:eastAsia="仿宋_GB2312"/>
          <w:b/>
          <w:sz w:val="32"/>
        </w:rPr>
        <w:t>财政拨款支出总计4,254.64万元，</w:t>
      </w:r>
      <w:r>
        <w:rPr>
          <w:rFonts w:ascii="仿宋_GB2312" w:hAnsi="仿宋_GB2312" w:eastAsia="仿宋_GB2312"/>
          <w:b w:val="0"/>
          <w:sz w:val="32"/>
        </w:rPr>
        <w:t>其中：年末财政拨款结转和结余0.00万元，本年财政拨款支出4,254.64万元。</w:t>
      </w:r>
    </w:p>
    <w:p w14:paraId="6C4042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减少246.68万元，下降5.48%，主要原因是：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本年度长期聘用人员29人，9月移交给轮台县第一小学管理，导致相关经费较上年减少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减少文化长廊和展板制作费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年初预算数4,267.18万元，决算数4,254.64万元，预决算差异率-0.29%，主要原因是：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本年度长期聘用人员29人，9月移交给轮台县第一小学管理，年中调减人员经费，导致预决算存在差异。</w:t>
      </w:r>
    </w:p>
    <w:p w14:paraId="03BCF0BF">
      <w:pPr>
        <w:spacing w:line="640" w:lineRule="exact"/>
        <w:ind w:firstLine="640"/>
        <w:jc w:val="both"/>
        <w:outlineLvl w:val="2"/>
      </w:pPr>
      <w:r>
        <w:rPr>
          <w:rFonts w:ascii="黑体" w:hAnsi="黑体" w:eastAsia="黑体"/>
          <w:sz w:val="32"/>
        </w:rPr>
        <w:t>五、一般公共预算财政拨款支出决算情况说明</w:t>
      </w:r>
    </w:p>
    <w:p w14:paraId="6D47269F">
      <w:pPr>
        <w:spacing w:line="640" w:lineRule="exact"/>
        <w:ind w:firstLine="640"/>
        <w:jc w:val="both"/>
        <w:outlineLvl w:val="3"/>
      </w:pPr>
      <w:r>
        <w:rPr>
          <w:rFonts w:ascii="楷体_GB2312" w:hAnsi="楷体_GB2312" w:eastAsia="楷体_GB2312"/>
          <w:b/>
          <w:sz w:val="32"/>
        </w:rPr>
        <w:t>（一）一般公共预算财政拨款支出决算总体情况</w:t>
      </w:r>
    </w:p>
    <w:p w14:paraId="4BA9291E">
      <w:pPr>
        <w:spacing w:line="580" w:lineRule="exact"/>
        <w:ind w:firstLine="640"/>
        <w:jc w:val="both"/>
      </w:pPr>
      <w:r>
        <w:rPr>
          <w:rFonts w:ascii="仿宋_GB2312" w:hAnsi="仿宋_GB2312" w:eastAsia="仿宋_GB2312"/>
          <w:b/>
          <w:sz w:val="32"/>
        </w:rPr>
        <w:t>2024年度一般公共预算财政拨款支出4,254.64万元，</w:t>
      </w:r>
      <w:r>
        <w:rPr>
          <w:rFonts w:ascii="仿宋_GB2312" w:hAnsi="仿宋_GB2312" w:eastAsia="仿宋_GB2312"/>
          <w:b w:val="0"/>
          <w:sz w:val="32"/>
        </w:rPr>
        <w:t>占本年支出合计的99.76%。</w:t>
      </w:r>
      <w:r>
        <w:rPr>
          <w:rFonts w:ascii="仿宋_GB2312" w:hAnsi="仿宋_GB2312" w:eastAsia="仿宋_GB2312"/>
          <w:b/>
          <w:sz w:val="32"/>
        </w:rPr>
        <w:t>与上年相比，</w:t>
      </w:r>
      <w:r>
        <w:rPr>
          <w:rFonts w:ascii="仿宋_GB2312" w:hAnsi="仿宋_GB2312" w:eastAsia="仿宋_GB2312"/>
          <w:b w:val="0"/>
          <w:sz w:val="32"/>
        </w:rPr>
        <w:t>减少246.68万元，下降5.48%，主要原因是：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本年度长期聘用人员29人，9月移交给轮台县第一小学管理，导致相关经费较上年减少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减少文化长廊和展板制作费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年初预算数4,267.18万元，决算数4,254.64万元，预决算差异率-0.29%，主要原因是：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本年度长期聘用人员29人，9月移交给轮台县第一小学管理，年中调减人员经费，导致预决算存在差异。</w:t>
      </w:r>
    </w:p>
    <w:p w14:paraId="7A3D89E2">
      <w:pPr>
        <w:spacing w:line="640" w:lineRule="exact"/>
        <w:ind w:firstLine="640"/>
        <w:jc w:val="both"/>
        <w:outlineLvl w:val="3"/>
      </w:pPr>
      <w:r>
        <w:rPr>
          <w:rFonts w:ascii="楷体_GB2312" w:hAnsi="楷体_GB2312" w:eastAsia="楷体_GB2312"/>
          <w:b/>
          <w:sz w:val="32"/>
        </w:rPr>
        <w:t>（二）一般公共预算财政拨款支出决算结构情况</w:t>
      </w:r>
    </w:p>
    <w:p w14:paraId="2C38E1CE">
      <w:pPr>
        <w:spacing w:line="580" w:lineRule="exact"/>
        <w:ind w:firstLine="640"/>
        <w:jc w:val="both"/>
      </w:pPr>
      <w:r>
        <w:rPr>
          <w:rFonts w:ascii="仿宋_GB2312" w:hAnsi="仿宋_GB2312" w:eastAsia="仿宋_GB2312"/>
          <w:b w:val="0"/>
          <w:sz w:val="32"/>
        </w:rPr>
        <w:t>1.教育支出(类)4,254.64万元,占100.00%。</w:t>
      </w:r>
    </w:p>
    <w:p w14:paraId="1F071E30">
      <w:pPr>
        <w:spacing w:line="640" w:lineRule="exact"/>
        <w:ind w:firstLine="640"/>
        <w:jc w:val="both"/>
        <w:outlineLvl w:val="3"/>
      </w:pPr>
      <w:r>
        <w:rPr>
          <w:rFonts w:ascii="楷体_GB2312" w:hAnsi="楷体_GB2312" w:eastAsia="楷体_GB2312"/>
          <w:b/>
          <w:sz w:val="32"/>
        </w:rPr>
        <w:t>（三）一般公共预算财政拨款支出决算具体情况</w:t>
      </w:r>
    </w:p>
    <w:p w14:paraId="00EE0AFE">
      <w:pPr>
        <w:spacing w:line="580" w:lineRule="exact"/>
        <w:ind w:firstLine="640"/>
        <w:jc w:val="both"/>
      </w:pPr>
      <w:r>
        <w:rPr>
          <w:rFonts w:ascii="仿宋_GB2312" w:hAnsi="仿宋_GB2312" w:eastAsia="仿宋_GB2312"/>
          <w:b w:val="0"/>
          <w:sz w:val="32"/>
        </w:rPr>
        <w:t>1.教育支出(类)普通教育(款)学前教育(项):支出决算数为66.83万元，比上年决算减少15.42万元，下降18.75%,主要原因是：本年度减少五小特岗教师9-12月工资支出；减少物业管理费用、差旅费用，相应支出减少。</w:t>
      </w:r>
    </w:p>
    <w:p w14:paraId="298CEA8B">
      <w:pPr>
        <w:spacing w:line="580" w:lineRule="exact"/>
        <w:ind w:firstLine="640"/>
        <w:jc w:val="both"/>
      </w:pPr>
      <w:r>
        <w:rPr>
          <w:rFonts w:ascii="仿宋_GB2312" w:hAnsi="仿宋_GB2312" w:eastAsia="仿宋_GB2312"/>
          <w:b w:val="0"/>
          <w:sz w:val="32"/>
        </w:rPr>
        <w:t>2.教育支出(类)普通教育(款)小学教育(项):支出决算数为3,267.66万元，比上年决算减少373.32万元，下降10.25%,主要原因是：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本年度长期聘用人员29人，9月移交给轮台县第一小学管理，导致相关经费较上年减少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减少文化长廊和展板制作费</w:t>
      </w:r>
      <w:bookmarkStart w:id="0" w:name="_GoBack"/>
      <w:bookmarkEnd w:id="0"/>
      <w:r>
        <w:rPr>
          <w:rFonts w:ascii="仿宋_GB2312" w:hAnsi="仿宋_GB2312" w:eastAsia="仿宋_GB2312"/>
          <w:b w:val="0"/>
          <w:sz w:val="32"/>
        </w:rPr>
        <w:t>。</w:t>
      </w:r>
    </w:p>
    <w:p w14:paraId="09883ADC">
      <w:pPr>
        <w:spacing w:line="580" w:lineRule="exact"/>
        <w:ind w:firstLine="640"/>
        <w:jc w:val="both"/>
      </w:pPr>
      <w:r>
        <w:rPr>
          <w:rFonts w:ascii="仿宋_GB2312" w:hAnsi="仿宋_GB2312" w:eastAsia="仿宋_GB2312"/>
          <w:b w:val="0"/>
          <w:sz w:val="32"/>
        </w:rPr>
        <w:t>3.教育支出(类)普通教育(款)初中教育(项):支出决算数为920.16万元，比上年决算增加142.07万元，增长18.26%,主要原因是：本年度增加五小学生高低床、五小学生宿舍窗帘款；本年增加11-12月的人员工资支出及部分人员经费，导致经费较上年增加。</w:t>
      </w:r>
    </w:p>
    <w:p w14:paraId="30FEA286">
      <w:pPr>
        <w:spacing w:line="640" w:lineRule="exact"/>
        <w:ind w:firstLine="640"/>
        <w:jc w:val="both"/>
        <w:outlineLvl w:val="2"/>
      </w:pPr>
      <w:r>
        <w:rPr>
          <w:rFonts w:ascii="黑体" w:hAnsi="黑体" w:eastAsia="黑体"/>
          <w:sz w:val="32"/>
        </w:rPr>
        <w:t>六、一般公共预算财政拨款基本支出决算情况说明</w:t>
      </w:r>
    </w:p>
    <w:p w14:paraId="49624CE9">
      <w:pPr>
        <w:spacing w:line="580" w:lineRule="exact"/>
        <w:ind w:firstLine="640"/>
        <w:jc w:val="both"/>
      </w:pPr>
      <w:r>
        <w:rPr>
          <w:rFonts w:ascii="仿宋_GB2312" w:hAnsi="仿宋_GB2312" w:eastAsia="仿宋_GB2312"/>
          <w:b w:val="0"/>
          <w:sz w:val="32"/>
        </w:rPr>
        <w:t>2024年度一般公共预算财政拨款基本支出4,254.64万元，其中：</w:t>
      </w:r>
      <w:r>
        <w:rPr>
          <w:rFonts w:ascii="仿宋_GB2312" w:hAnsi="仿宋_GB2312" w:eastAsia="仿宋_GB2312"/>
          <w:b/>
          <w:sz w:val="32"/>
        </w:rPr>
        <w:t>人员经费3,952.14万元，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14:paraId="1CE005D4">
      <w:pPr>
        <w:spacing w:line="580" w:lineRule="exact"/>
        <w:ind w:firstLine="640"/>
        <w:jc w:val="both"/>
      </w:pPr>
      <w:r>
        <w:rPr>
          <w:rFonts w:ascii="仿宋_GB2312" w:hAnsi="仿宋_GB2312" w:eastAsia="仿宋_GB2312"/>
          <w:b/>
          <w:sz w:val="32"/>
        </w:rPr>
        <w:t>公用经费302.50万元，</w:t>
      </w:r>
      <w:r>
        <w:rPr>
          <w:rFonts w:ascii="仿宋_GB2312" w:hAnsi="仿宋_GB2312" w:eastAsia="仿宋_GB2312"/>
          <w:b w:val="0"/>
          <w:sz w:val="32"/>
        </w:rPr>
        <w:t>包括：办公费、水费、电费、邮电费、取暖费、物业管理费、差旅费、维修（护）费、培训费、专用材料费、委托业务费、其他交通费用、办公设备购置。</w:t>
      </w:r>
    </w:p>
    <w:p w14:paraId="17393346">
      <w:pPr>
        <w:spacing w:line="640" w:lineRule="exact"/>
        <w:ind w:firstLine="640"/>
        <w:jc w:val="both"/>
        <w:outlineLvl w:val="2"/>
      </w:pPr>
      <w:r>
        <w:rPr>
          <w:rFonts w:ascii="黑体" w:hAnsi="黑体" w:eastAsia="黑体"/>
          <w:sz w:val="32"/>
        </w:rPr>
        <w:t>七、政府性基金预算财政拨款收入支出决算情况说明</w:t>
      </w:r>
    </w:p>
    <w:p w14:paraId="30E19D3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7661239">
      <w:pPr>
        <w:spacing w:line="640" w:lineRule="exact"/>
        <w:ind w:firstLine="640"/>
        <w:jc w:val="both"/>
        <w:outlineLvl w:val="2"/>
      </w:pPr>
      <w:r>
        <w:rPr>
          <w:rFonts w:ascii="黑体" w:hAnsi="黑体" w:eastAsia="黑体"/>
          <w:sz w:val="32"/>
        </w:rPr>
        <w:t>八、国有资本经营预算财政拨款收入支出决算情况说明</w:t>
      </w:r>
    </w:p>
    <w:p w14:paraId="44776DF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F739B3">
      <w:pPr>
        <w:spacing w:line="640" w:lineRule="exact"/>
        <w:ind w:firstLine="640"/>
        <w:jc w:val="both"/>
        <w:outlineLvl w:val="2"/>
      </w:pPr>
      <w:r>
        <w:rPr>
          <w:rFonts w:ascii="黑体" w:hAnsi="黑体" w:eastAsia="黑体"/>
          <w:sz w:val="32"/>
        </w:rPr>
        <w:t>九、财政拨款“三公”经费支出决算情况说明</w:t>
      </w:r>
    </w:p>
    <w:p w14:paraId="6180D3D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7D60188">
      <w:pPr>
        <w:spacing w:line="580" w:lineRule="exact"/>
        <w:ind w:firstLine="640"/>
        <w:jc w:val="both"/>
      </w:pPr>
      <w:r>
        <w:rPr>
          <w:rFonts w:ascii="仿宋_GB2312" w:hAnsi="仿宋_GB2312" w:eastAsia="仿宋_GB2312"/>
          <w:b/>
          <w:sz w:val="32"/>
        </w:rPr>
        <w:t>具体情况如下：</w:t>
      </w:r>
    </w:p>
    <w:p w14:paraId="6486FCC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53EA5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6D25BD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94789F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4E92FFC">
      <w:pPr>
        <w:spacing w:line="640" w:lineRule="exact"/>
        <w:ind w:firstLine="640"/>
        <w:jc w:val="both"/>
        <w:outlineLvl w:val="2"/>
      </w:pPr>
      <w:r>
        <w:rPr>
          <w:rFonts w:ascii="黑体" w:hAnsi="黑体" w:eastAsia="黑体"/>
          <w:sz w:val="32"/>
        </w:rPr>
        <w:t>十、其他重要事项的情况说明</w:t>
      </w:r>
    </w:p>
    <w:p w14:paraId="66C62131">
      <w:pPr>
        <w:spacing w:line="640" w:lineRule="exact"/>
        <w:ind w:firstLine="640"/>
        <w:jc w:val="both"/>
        <w:outlineLvl w:val="3"/>
      </w:pPr>
      <w:r>
        <w:rPr>
          <w:rFonts w:ascii="楷体_GB2312" w:hAnsi="楷体_GB2312" w:eastAsia="楷体_GB2312"/>
          <w:b/>
          <w:sz w:val="32"/>
        </w:rPr>
        <w:t>（一）机关运行经费及公用经费支出情况</w:t>
      </w:r>
    </w:p>
    <w:p w14:paraId="400E5D55">
      <w:pPr>
        <w:spacing w:line="580" w:lineRule="exact"/>
        <w:ind w:firstLine="640"/>
        <w:jc w:val="both"/>
      </w:pPr>
      <w:r>
        <w:rPr>
          <w:rFonts w:ascii="仿宋_GB2312" w:hAnsi="仿宋_GB2312" w:eastAsia="仿宋_GB2312"/>
          <w:b w:val="0"/>
          <w:sz w:val="32"/>
        </w:rPr>
        <w:t>2024年度轮台县群巴克镇九年一贯制学校（事业单位）公用经费支出302.50万元，比上年减少85.46万元，下降22.03%，主要原因是：严控经费支出，厉行节约，减少维修维护费、办公费、物业管理费用、差旅费用等。</w:t>
      </w:r>
    </w:p>
    <w:p w14:paraId="18A1D00A">
      <w:pPr>
        <w:spacing w:line="640" w:lineRule="exact"/>
        <w:ind w:firstLine="640"/>
        <w:jc w:val="both"/>
        <w:outlineLvl w:val="3"/>
      </w:pPr>
      <w:r>
        <w:rPr>
          <w:rFonts w:ascii="楷体_GB2312" w:hAnsi="楷体_GB2312" w:eastAsia="楷体_GB2312"/>
          <w:b/>
          <w:sz w:val="32"/>
        </w:rPr>
        <w:t>（二）政府采购情况</w:t>
      </w:r>
    </w:p>
    <w:p w14:paraId="71D3D0D7">
      <w:pPr>
        <w:spacing w:line="580" w:lineRule="exact"/>
        <w:ind w:firstLine="640"/>
        <w:jc w:val="both"/>
      </w:pPr>
      <w:r>
        <w:rPr>
          <w:rFonts w:ascii="仿宋_GB2312" w:hAnsi="仿宋_GB2312" w:eastAsia="仿宋_GB2312"/>
          <w:b w:val="0"/>
          <w:sz w:val="32"/>
        </w:rPr>
        <w:t>2024年度政府采购支出总额239.25万元，其中：政府采购货物支出167.49万元、政府采购工程支出41.77万元、政府采购服务支出29.99万元。</w:t>
      </w:r>
    </w:p>
    <w:p w14:paraId="0F8B51C7">
      <w:pPr>
        <w:spacing w:line="580" w:lineRule="exact"/>
        <w:ind w:firstLine="640"/>
        <w:jc w:val="both"/>
      </w:pPr>
      <w:r>
        <w:rPr>
          <w:rFonts w:ascii="仿宋_GB2312" w:hAnsi="仿宋_GB2312" w:eastAsia="仿宋_GB2312"/>
          <w:b w:val="0"/>
          <w:sz w:val="32"/>
        </w:rPr>
        <w:t>授予中小企业合同金额239.25万元，占政府采购支出总额的100.00%，其中：授予小微企业合同金额213.29万元，占政府采购支出总额的89.15%。</w:t>
      </w:r>
    </w:p>
    <w:p w14:paraId="29B4E9DA">
      <w:pPr>
        <w:spacing w:line="640" w:lineRule="exact"/>
        <w:ind w:firstLine="640"/>
        <w:jc w:val="both"/>
        <w:outlineLvl w:val="3"/>
      </w:pPr>
      <w:r>
        <w:rPr>
          <w:rFonts w:ascii="楷体_GB2312" w:hAnsi="楷体_GB2312" w:eastAsia="楷体_GB2312"/>
          <w:b/>
          <w:sz w:val="32"/>
        </w:rPr>
        <w:t>（三）国有资产占用情况说明</w:t>
      </w:r>
    </w:p>
    <w:p w14:paraId="605624C7">
      <w:pPr>
        <w:spacing w:line="580" w:lineRule="exact"/>
        <w:ind w:firstLine="640"/>
        <w:jc w:val="both"/>
      </w:pPr>
      <w:r>
        <w:rPr>
          <w:rFonts w:ascii="仿宋_GB2312" w:hAnsi="仿宋_GB2312" w:eastAsia="仿宋_GB2312"/>
          <w:b w:val="0"/>
          <w:sz w:val="32"/>
        </w:rPr>
        <w:t>截至2024年12月31日，房屋17,124.01平方米，价值1,107.14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ED455AE">
      <w:pPr>
        <w:spacing w:line="640" w:lineRule="exact"/>
        <w:ind w:firstLine="640"/>
        <w:jc w:val="both"/>
        <w:outlineLvl w:val="2"/>
      </w:pPr>
      <w:r>
        <w:rPr>
          <w:rFonts w:ascii="黑体" w:hAnsi="黑体" w:eastAsia="黑体"/>
          <w:sz w:val="32"/>
        </w:rPr>
        <w:t>十一、预算绩效的情况说明</w:t>
      </w:r>
    </w:p>
    <w:p w14:paraId="32852C4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4,281.04万元，实际执行总额4,265.03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2024年无项目绩效自评表。发现的问题及原因：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2024年无项目绩效自评表。下一步改进措施：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2024年无项目绩效自评表。具体附整体支出绩效自评表。</w:t>
      </w:r>
    </w:p>
    <w:p w14:paraId="097B295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8373533">
        <w:tblPrEx>
          <w:tblCellMar>
            <w:top w:w="0" w:type="dxa"/>
            <w:left w:w="108" w:type="dxa"/>
            <w:bottom w:w="0" w:type="dxa"/>
            <w:right w:w="108" w:type="dxa"/>
          </w:tblCellMar>
        </w:tblPrEx>
        <w:tc>
          <w:tcPr>
            <w:tcW w:w="8840" w:type="dxa"/>
            <w:gridSpan w:val="8"/>
            <w:vAlign w:val="center"/>
          </w:tcPr>
          <w:p w14:paraId="5A4CAA93">
            <w:pPr>
              <w:jc w:val="center"/>
            </w:pPr>
            <w:r>
              <w:rPr>
                <w:rFonts w:ascii="宋体" w:hAnsi="宋体" w:eastAsia="宋体"/>
                <w:sz w:val="24"/>
              </w:rPr>
              <w:t>单位整体支出绩效自评表</w:t>
            </w:r>
          </w:p>
        </w:tc>
      </w:tr>
      <w:tr w14:paraId="6ABB79FD">
        <w:tblPrEx>
          <w:tblCellMar>
            <w:top w:w="0" w:type="dxa"/>
            <w:left w:w="108" w:type="dxa"/>
            <w:bottom w:w="0" w:type="dxa"/>
            <w:right w:w="108" w:type="dxa"/>
          </w:tblCellMar>
        </w:tblPrEx>
        <w:tc>
          <w:tcPr>
            <w:tcW w:w="8840" w:type="dxa"/>
            <w:gridSpan w:val="8"/>
            <w:vAlign w:val="center"/>
          </w:tcPr>
          <w:p w14:paraId="7CC16581">
            <w:pPr>
              <w:jc w:val="center"/>
            </w:pPr>
            <w:r>
              <w:rPr>
                <w:rFonts w:ascii="宋体" w:hAnsi="宋体" w:eastAsia="宋体"/>
                <w:sz w:val="24"/>
              </w:rPr>
              <w:t>（2024年度）</w:t>
            </w:r>
          </w:p>
        </w:tc>
      </w:tr>
      <w:tr w14:paraId="759CAA6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7A97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AD776">
            <w:pPr>
              <w:jc w:val="center"/>
            </w:pPr>
            <w:r>
              <w:rPr>
                <w:rFonts w:ascii="宋体" w:hAnsi="宋体" w:eastAsia="宋体"/>
                <w:sz w:val="16"/>
              </w:rPr>
              <w:t>轮台县群巴克镇九年一贯制学校</w:t>
            </w:r>
          </w:p>
        </w:tc>
      </w:tr>
      <w:tr w14:paraId="4D12F86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7C39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7BA9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56A5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99DE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D891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9F05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1C66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DD7C3">
            <w:pPr>
              <w:jc w:val="center"/>
            </w:pPr>
            <w:r>
              <w:rPr>
                <w:rFonts w:ascii="宋体" w:hAnsi="宋体" w:eastAsia="宋体"/>
                <w:sz w:val="16"/>
              </w:rPr>
              <w:t>得分</w:t>
            </w:r>
          </w:p>
        </w:tc>
      </w:tr>
      <w:tr w14:paraId="7EF2CD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5D0A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8CAD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CB7AF">
            <w:pPr>
              <w:jc w:val="center"/>
            </w:pPr>
            <w:r>
              <w:rPr>
                <w:rFonts w:ascii="宋体" w:hAnsi="宋体" w:eastAsia="宋体"/>
                <w:sz w:val="16"/>
              </w:rPr>
              <w:t>4,267.18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6C166">
            <w:pPr>
              <w:jc w:val="center"/>
            </w:pPr>
            <w:r>
              <w:rPr>
                <w:rFonts w:ascii="宋体" w:hAnsi="宋体" w:eastAsia="宋体"/>
                <w:sz w:val="16"/>
              </w:rPr>
              <w:t>4,281.04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87F40">
            <w:pPr>
              <w:jc w:val="center"/>
            </w:pPr>
            <w:r>
              <w:rPr>
                <w:rFonts w:ascii="宋体" w:hAnsi="宋体" w:eastAsia="宋体"/>
                <w:sz w:val="16"/>
              </w:rPr>
              <w:t>4,265.03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624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02BC8">
            <w:pPr>
              <w:jc w:val="center"/>
            </w:pPr>
            <w:r>
              <w:rPr>
                <w:rFonts w:ascii="宋体" w:hAnsi="宋体" w:eastAsia="宋体"/>
                <w:sz w:val="16"/>
              </w:rPr>
              <w:t>99.63%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123AD">
            <w:pPr>
              <w:jc w:val="center"/>
            </w:pPr>
            <w:r>
              <w:rPr>
                <w:rFonts w:ascii="宋体" w:hAnsi="宋体" w:eastAsia="宋体"/>
                <w:sz w:val="16"/>
              </w:rPr>
              <w:t>9.96</w:t>
            </w:r>
          </w:p>
        </w:tc>
      </w:tr>
      <w:tr w14:paraId="2A9765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40B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A80B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6938D">
            <w:pPr>
              <w:jc w:val="center"/>
            </w:pPr>
            <w:r>
              <w:rPr>
                <w:rFonts w:ascii="宋体" w:hAnsi="宋体" w:eastAsia="宋体"/>
                <w:sz w:val="16"/>
              </w:rPr>
              <w:t>89.30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172F1">
            <w:pPr>
              <w:jc w:val="center"/>
            </w:pPr>
            <w:r>
              <w:rPr>
                <w:rFonts w:ascii="宋体" w:hAnsi="宋体" w:eastAsia="宋体"/>
                <w:sz w:val="16"/>
              </w:rPr>
              <w:t>729.85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2257E">
            <w:pPr>
              <w:jc w:val="center"/>
            </w:pPr>
            <w:r>
              <w:rPr>
                <w:rFonts w:ascii="宋体" w:hAnsi="宋体" w:eastAsia="宋体"/>
                <w:sz w:val="16"/>
              </w:rPr>
              <w:t>729.85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91E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189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4736C">
            <w:pPr>
              <w:jc w:val="center"/>
            </w:pPr>
            <w:r>
              <w:rPr>
                <w:rFonts w:ascii="宋体" w:hAnsi="宋体" w:eastAsia="宋体"/>
                <w:sz w:val="16"/>
              </w:rPr>
              <w:t>-</w:t>
            </w:r>
          </w:p>
        </w:tc>
      </w:tr>
      <w:tr w14:paraId="5653E9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5CF3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0585C">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3B245">
            <w:pPr>
              <w:jc w:val="center"/>
            </w:pPr>
            <w:r>
              <w:rPr>
                <w:rFonts w:ascii="宋体" w:hAnsi="宋体" w:eastAsia="宋体"/>
                <w:sz w:val="16"/>
              </w:rPr>
              <w:t>4,177.88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DF0D2">
            <w:pPr>
              <w:jc w:val="center"/>
            </w:pPr>
            <w:r>
              <w:rPr>
                <w:rFonts w:ascii="宋体" w:hAnsi="宋体" w:eastAsia="宋体"/>
                <w:sz w:val="16"/>
              </w:rPr>
              <w:t>3,524.79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5A1A6">
            <w:pPr>
              <w:jc w:val="center"/>
            </w:pPr>
            <w:r>
              <w:rPr>
                <w:rFonts w:ascii="宋体" w:hAnsi="宋体" w:eastAsia="宋体"/>
                <w:sz w:val="16"/>
              </w:rPr>
              <w:t>3,524.79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4F6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B23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F8B05">
            <w:pPr>
              <w:jc w:val="center"/>
            </w:pPr>
            <w:r>
              <w:rPr>
                <w:rFonts w:ascii="宋体" w:hAnsi="宋体" w:eastAsia="宋体"/>
                <w:sz w:val="16"/>
              </w:rPr>
              <w:t>-</w:t>
            </w:r>
          </w:p>
        </w:tc>
      </w:tr>
      <w:tr w14:paraId="3465C1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99BF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274FF">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BB6A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15134">
            <w:pPr>
              <w:jc w:val="center"/>
            </w:pPr>
            <w:r>
              <w:rPr>
                <w:rFonts w:ascii="宋体" w:hAnsi="宋体" w:eastAsia="宋体"/>
                <w:sz w:val="16"/>
              </w:rPr>
              <w:t>26.40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1AE42">
            <w:pPr>
              <w:jc w:val="center"/>
            </w:pPr>
            <w:r>
              <w:rPr>
                <w:rFonts w:ascii="宋体" w:hAnsi="宋体" w:eastAsia="宋体"/>
                <w:sz w:val="16"/>
              </w:rPr>
              <w:t>10.39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800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79E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C9921">
            <w:pPr>
              <w:jc w:val="center"/>
            </w:pPr>
            <w:r>
              <w:rPr>
                <w:rFonts w:ascii="宋体" w:hAnsi="宋体" w:eastAsia="宋体"/>
                <w:sz w:val="16"/>
              </w:rPr>
              <w:t>-</w:t>
            </w:r>
          </w:p>
        </w:tc>
      </w:tr>
      <w:tr w14:paraId="667860D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4050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28AEF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6682DB">
            <w:pPr>
              <w:jc w:val="center"/>
            </w:pPr>
            <w:r>
              <w:rPr>
                <w:rFonts w:ascii="宋体" w:hAnsi="宋体" w:eastAsia="宋体"/>
                <w:sz w:val="16"/>
              </w:rPr>
              <w:t>实际完成情况</w:t>
            </w:r>
          </w:p>
        </w:tc>
      </w:tr>
      <w:tr w14:paraId="1E6856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5D6F0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BBB9F7">
            <w:pPr>
              <w:jc w:val="both"/>
            </w:pPr>
            <w:r>
              <w:rPr>
                <w:rFonts w:ascii="宋体" w:hAnsi="宋体" w:eastAsia="宋体"/>
                <w:sz w:val="16"/>
              </w:rPr>
              <w:t>1.认真贯彻执行党的路线、方针和政策；坚持正确的办学方向，对学生实施德、智、体方面全面发展的教育，完成好上级下达的教学任务，确保适龄儿童入学率达到100%；控掇保学率达到100%；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2.落实享受资助补助政策学生数达到2060人，切实减轻学生学业负担，减轻家长经济负担；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3.严把发展党员关，落实“双培养”机制，组织开展教师专业知识培训次数8次，参加教师培训人数55人，激励教职工提高自身素质和教学能力，重视教研教改和教学常规工作，不断提高教育教学质量；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4.组织开展特色教育活动不少于8次，开展教师调研活动次数10次,开展学校主题教育课出勤率98%以上，教学计划抽查反馈率达到100%。强健学生体魄，丰富学生的校园生活，促进学生全面健康发展。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C6132B">
            <w:pPr>
              <w:jc w:val="both"/>
            </w:pPr>
            <w:r>
              <w:rPr>
                <w:rFonts w:ascii="宋体" w:hAnsi="宋体" w:eastAsia="宋体"/>
                <w:sz w:val="16"/>
              </w:rPr>
              <w:t>为了落实教育教学要求，2024年已完成: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w:t>
            </w:r>
            <w:r>
              <w:rPr>
                <w:rFonts w:hint="eastAsia" w:ascii="宋体" w:hAnsi="宋体"/>
                <w:sz w:val="16"/>
                <w:lang w:eastAsia="zh-CN"/>
              </w:rPr>
              <w:t>已</w:t>
            </w:r>
            <w:r>
              <w:rPr>
                <w:rFonts w:ascii="宋体" w:hAnsi="宋体" w:eastAsia="宋体"/>
                <w:sz w:val="16"/>
              </w:rPr>
              <w:t>完成2060名学生享受国家义务教育免费政策，加强感恩教育方面，以铸牢中华民族共同体意识为载体，根据小学的年龄特点以感恩教育为抓手创设环境，发挥环境的隐性教育，从多方面加强学生的感恩教育适龄义务教育入学率达到100%，提高学生全面发展和身心健康成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已</w:t>
            </w:r>
            <w:r>
              <w:rPr>
                <w:rFonts w:ascii="宋体" w:hAnsi="宋体" w:eastAsia="宋体"/>
                <w:sz w:val="16"/>
              </w:rPr>
              <w:t>完成教师专业知识培训工作，并开展10次教师调研工作，教学计划抽查反馈率100%，提升教师专业知识和能力，促进教师的个人发展和成长;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3.已完成10次主题教育，全方位渗透教学活动，持续开展主题环境及教育教学活动相结合，提高学生学习兴趣，提高学生的知识量。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4.每次节假日放学，安全日等日子，联合派出所，铁路局，消防部门对学生，家长及教职工进行安全教育，保证了师生在教学及生活过程中不出现各类安全问题，保证学生安全成长。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5.每年新学期开始时，我校对辖区内户口的适龄儿童进行摸排工作，联合其他学校，派出所对每位学生的入学情况进行收集佐证材料，保证每位适龄儿童入学。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6.我校每年联合公安机关，村委会，乡政府，残联等单位，对辖区内的适龄儿童进行摸排调查，通过送教上门等方式，保证每名适龄儿童接受教育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7.我校每学期对学生，家长通过家访，开家长会等方式对学生家长进行满意度测评，越来越完善了学校各项指标，使学生，家长满意度达到了95%以上。</w:t>
            </w:r>
          </w:p>
        </w:tc>
      </w:tr>
      <w:tr w14:paraId="0A6EFA6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BFEC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3BC9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D7C0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0F02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BB93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0A97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F6BD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4E3B6">
            <w:pPr>
              <w:jc w:val="center"/>
            </w:pPr>
            <w:r>
              <w:rPr>
                <w:rFonts w:ascii="宋体" w:hAnsi="宋体" w:eastAsia="宋体"/>
                <w:sz w:val="16"/>
              </w:rPr>
              <w:t>得分</w:t>
            </w:r>
          </w:p>
        </w:tc>
      </w:tr>
      <w:tr w14:paraId="14745D1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37DC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97A5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F959A">
            <w:pPr>
              <w:jc w:val="center"/>
            </w:pPr>
            <w:r>
              <w:rPr>
                <w:rFonts w:ascii="宋体" w:hAnsi="宋体" w:eastAsia="宋体"/>
                <w:sz w:val="16"/>
              </w:rPr>
              <w:t>教师专业知识培训次数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91C0C">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39D01">
            <w:pPr>
              <w:jc w:val="center"/>
            </w:pPr>
            <w:r>
              <w:rPr>
                <w:rFonts w:ascii="宋体" w:hAnsi="宋体" w:eastAsia="宋体"/>
                <w:sz w:val="16"/>
              </w:rPr>
              <w:t>轮台县群巴克镇九年一贯制学校2024年度工作计划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92BD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0C884">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84F9A">
            <w:pPr>
              <w:jc w:val="center"/>
            </w:pPr>
            <w:r>
              <w:rPr>
                <w:rFonts w:ascii="宋体" w:hAnsi="宋体" w:eastAsia="宋体"/>
                <w:sz w:val="16"/>
              </w:rPr>
              <w:t>10</w:t>
            </w:r>
          </w:p>
        </w:tc>
      </w:tr>
      <w:tr w14:paraId="221289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5801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6BEE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E576C">
            <w:pPr>
              <w:jc w:val="center"/>
            </w:pPr>
            <w:r>
              <w:rPr>
                <w:rFonts w:ascii="宋体" w:hAnsi="宋体" w:eastAsia="宋体"/>
                <w:sz w:val="16"/>
              </w:rPr>
              <w:t>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63BFB">
            <w:pPr>
              <w:jc w:val="center"/>
            </w:pPr>
            <w:r>
              <w:rPr>
                <w:rFonts w:ascii="宋体" w:hAnsi="宋体" w:eastAsia="宋体"/>
                <w:sz w:val="16"/>
              </w:rPr>
              <w:t>&gt;=2060人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AEA71">
            <w:pPr>
              <w:jc w:val="center"/>
            </w:pPr>
            <w:r>
              <w:rPr>
                <w:rFonts w:ascii="宋体" w:hAnsi="宋体" w:eastAsia="宋体"/>
                <w:sz w:val="16"/>
              </w:rPr>
              <w:t>轮台县群巴克镇九年一贯制学校2024年度工作计划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6F60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893C1">
            <w:pPr>
              <w:jc w:val="center"/>
            </w:pPr>
            <w:r>
              <w:rPr>
                <w:rFonts w:ascii="宋体" w:hAnsi="宋体" w:eastAsia="宋体"/>
                <w:sz w:val="16"/>
              </w:rPr>
              <w:t>2060人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FAB03">
            <w:pPr>
              <w:jc w:val="center"/>
            </w:pPr>
            <w:r>
              <w:rPr>
                <w:rFonts w:ascii="宋体" w:hAnsi="宋体" w:eastAsia="宋体"/>
                <w:sz w:val="16"/>
              </w:rPr>
              <w:t>15</w:t>
            </w:r>
          </w:p>
        </w:tc>
      </w:tr>
      <w:tr w14:paraId="0322CA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6E7A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90B0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78F80">
            <w:pPr>
              <w:jc w:val="center"/>
            </w:pPr>
            <w:r>
              <w:rPr>
                <w:rFonts w:ascii="宋体" w:hAnsi="宋体" w:eastAsia="宋体"/>
                <w:sz w:val="16"/>
              </w:rPr>
              <w:t>开展教师调研活动次数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2F5B4">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E8F27">
            <w:pPr>
              <w:jc w:val="center"/>
            </w:pPr>
            <w:r>
              <w:rPr>
                <w:rFonts w:ascii="宋体" w:hAnsi="宋体" w:eastAsia="宋体"/>
                <w:sz w:val="16"/>
              </w:rPr>
              <w:t>轮台县群巴克镇九年一贯制学校2024年度工作计划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2EC5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64821">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0C011">
            <w:pPr>
              <w:jc w:val="center"/>
            </w:pPr>
            <w:r>
              <w:rPr>
                <w:rFonts w:ascii="宋体" w:hAnsi="宋体" w:eastAsia="宋体"/>
                <w:sz w:val="16"/>
              </w:rPr>
              <w:t>10</w:t>
            </w:r>
          </w:p>
        </w:tc>
      </w:tr>
      <w:tr w14:paraId="5DDDE4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81BF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51EE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04DEF">
            <w:pPr>
              <w:jc w:val="center"/>
            </w:pPr>
            <w:r>
              <w:rPr>
                <w:rFonts w:ascii="宋体" w:hAnsi="宋体" w:eastAsia="宋体"/>
                <w:sz w:val="16"/>
              </w:rPr>
              <w:t>开展主</w:t>
            </w:r>
            <w:r>
              <w:rPr>
                <w:rFonts w:hint="eastAsia" w:ascii="宋体" w:hAnsi="宋体"/>
                <w:sz w:val="16"/>
                <w:lang w:eastAsia="zh-CN"/>
              </w:rPr>
              <w:t>题教育</w:t>
            </w:r>
            <w:r>
              <w:rPr>
                <w:rFonts w:ascii="宋体" w:hAnsi="宋体" w:eastAsia="宋体"/>
                <w:sz w:val="16"/>
              </w:rPr>
              <w:t>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CABD7">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BC7A1">
            <w:pPr>
              <w:jc w:val="center"/>
            </w:pPr>
            <w:r>
              <w:rPr>
                <w:rFonts w:ascii="宋体" w:hAnsi="宋体" w:eastAsia="宋体"/>
                <w:sz w:val="16"/>
              </w:rPr>
              <w:t>轮台县群巴克镇九年一贯制学校2024年度工作计划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602D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BCA2A">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59B0C">
            <w:pPr>
              <w:jc w:val="center"/>
            </w:pPr>
            <w:r>
              <w:rPr>
                <w:rFonts w:ascii="宋体" w:hAnsi="宋体" w:eastAsia="宋体"/>
                <w:sz w:val="16"/>
              </w:rPr>
              <w:t>10</w:t>
            </w:r>
          </w:p>
        </w:tc>
      </w:tr>
      <w:tr w14:paraId="6A7539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DE7F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5AB1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27336">
            <w:pPr>
              <w:jc w:val="center"/>
            </w:pPr>
            <w:r>
              <w:rPr>
                <w:rFonts w:ascii="宋体" w:hAnsi="宋体" w:eastAsia="宋体"/>
                <w:sz w:val="16"/>
              </w:rPr>
              <w:t>适龄学生教育入学率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6115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2CCC2">
            <w:pPr>
              <w:jc w:val="center"/>
            </w:pPr>
            <w:r>
              <w:rPr>
                <w:rFonts w:ascii="宋体" w:hAnsi="宋体" w:eastAsia="宋体"/>
                <w:sz w:val="16"/>
              </w:rPr>
              <w:t>轮台县群巴克镇九年一贯制学校2024年度工作计划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9909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9B07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DBB32">
            <w:pPr>
              <w:jc w:val="center"/>
            </w:pPr>
            <w:r>
              <w:rPr>
                <w:rFonts w:ascii="宋体" w:hAnsi="宋体" w:eastAsia="宋体"/>
                <w:sz w:val="16"/>
              </w:rPr>
              <w:t>15</w:t>
            </w:r>
          </w:p>
        </w:tc>
      </w:tr>
      <w:tr w14:paraId="5CB100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8D954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DB89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D6B8E">
            <w:pPr>
              <w:jc w:val="center"/>
            </w:pPr>
            <w:r>
              <w:rPr>
                <w:rFonts w:ascii="宋体" w:hAnsi="宋体" w:eastAsia="宋体"/>
                <w:sz w:val="16"/>
              </w:rPr>
              <w:t>开展学校主题教育课出勤率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FF86A">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7A4BB">
            <w:pPr>
              <w:jc w:val="center"/>
            </w:pPr>
            <w:r>
              <w:rPr>
                <w:rFonts w:ascii="宋体" w:hAnsi="宋体" w:eastAsia="宋体"/>
                <w:sz w:val="16"/>
              </w:rPr>
              <w:t>轮台县群巴克镇九年一贯制学校2024年度工作计划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E43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61E22">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9370C">
            <w:pPr>
              <w:jc w:val="center"/>
            </w:pPr>
            <w:r>
              <w:rPr>
                <w:rFonts w:ascii="宋体" w:hAnsi="宋体" w:eastAsia="宋体"/>
                <w:sz w:val="16"/>
              </w:rPr>
              <w:t>10</w:t>
            </w:r>
          </w:p>
        </w:tc>
      </w:tr>
      <w:tr w14:paraId="123E1D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1BCB1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C714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A0D6D">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79DB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AEB0F">
            <w:pPr>
              <w:jc w:val="center"/>
            </w:pPr>
            <w:r>
              <w:rPr>
                <w:rFonts w:ascii="宋体" w:hAnsi="宋体" w:eastAsia="宋体"/>
                <w:sz w:val="16"/>
              </w:rPr>
              <w:t>轮台县群巴克镇九年一贯制学校2024年度工作计划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B57D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DC88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52E80">
            <w:pPr>
              <w:jc w:val="center"/>
            </w:pPr>
            <w:r>
              <w:rPr>
                <w:rFonts w:ascii="宋体" w:hAnsi="宋体" w:eastAsia="宋体"/>
                <w:sz w:val="16"/>
              </w:rPr>
              <w:t>10</w:t>
            </w:r>
          </w:p>
        </w:tc>
      </w:tr>
      <w:tr w14:paraId="1826DD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F14D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F2A0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1E625">
            <w:pPr>
              <w:jc w:val="center"/>
            </w:pPr>
            <w:r>
              <w:rPr>
                <w:rFonts w:ascii="宋体" w:hAnsi="宋体" w:eastAsia="宋体"/>
                <w:sz w:val="16"/>
              </w:rPr>
              <w:t>教学计划抽查反馈率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5702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E401F">
            <w:pPr>
              <w:jc w:val="center"/>
            </w:pPr>
            <w:r>
              <w:rPr>
                <w:rFonts w:ascii="宋体" w:hAnsi="宋体" w:eastAsia="宋体"/>
                <w:sz w:val="16"/>
              </w:rPr>
              <w:t>轮台县群巴克镇九年一贯制学校2024年度工作计划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76B2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C012B">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C9342">
            <w:pPr>
              <w:jc w:val="center"/>
            </w:pPr>
            <w:r>
              <w:rPr>
                <w:rFonts w:ascii="宋体" w:hAnsi="宋体" w:eastAsia="宋体"/>
                <w:sz w:val="16"/>
              </w:rPr>
              <w:t>10</w:t>
            </w:r>
          </w:p>
        </w:tc>
      </w:tr>
    </w:tbl>
    <w:p w14:paraId="3F32147C">
      <w:r>
        <w:br w:type="page"/>
      </w:r>
    </w:p>
    <w:p w14:paraId="261512ED">
      <w:pPr>
        <w:spacing w:line="640" w:lineRule="exact"/>
        <w:ind w:firstLine="640"/>
        <w:jc w:val="both"/>
        <w:outlineLvl w:val="2"/>
      </w:pPr>
      <w:r>
        <w:rPr>
          <w:rFonts w:ascii="黑体" w:hAnsi="黑体" w:eastAsia="黑体"/>
          <w:sz w:val="32"/>
        </w:rPr>
        <w:t>十二、其他需说明的事项</w:t>
      </w:r>
    </w:p>
    <w:p w14:paraId="3A241C1F">
      <w:pPr>
        <w:spacing w:line="580" w:lineRule="exact"/>
        <w:ind w:firstLine="640"/>
        <w:jc w:val="both"/>
      </w:pPr>
      <w:r>
        <w:rPr>
          <w:rFonts w:ascii="仿宋_GB2312" w:hAnsi="仿宋_GB2312" w:eastAsia="仿宋_GB2312"/>
          <w:b w:val="0"/>
          <w:sz w:val="32"/>
        </w:rPr>
        <w:t>本单位无其他需说明的事项。</w:t>
      </w:r>
    </w:p>
    <w:p w14:paraId="1FE401FB">
      <w:r>
        <w:br w:type="page"/>
      </w:r>
    </w:p>
    <w:p w14:paraId="40CB9BED">
      <w:pPr>
        <w:spacing w:line="240" w:lineRule="auto"/>
        <w:jc w:val="center"/>
        <w:outlineLvl w:val="1"/>
      </w:pPr>
      <w:r>
        <w:rPr>
          <w:rFonts w:ascii="黑体" w:hAnsi="黑体" w:eastAsia="黑体"/>
          <w:sz w:val="32"/>
        </w:rPr>
        <w:t>第三部分 专业名词解释</w:t>
      </w:r>
    </w:p>
    <w:p w14:paraId="5ACF733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A6DED2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7F37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A89409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3DE47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344440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51856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8B671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5DDD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2ACE7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2FAC7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946EE8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DA46D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D0B52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98D95A">
      <w:r>
        <w:br w:type="page"/>
      </w:r>
    </w:p>
    <w:p w14:paraId="040A1C7F">
      <w:pPr>
        <w:spacing w:line="240" w:lineRule="auto"/>
        <w:jc w:val="center"/>
        <w:outlineLvl w:val="1"/>
      </w:pPr>
      <w:r>
        <w:rPr>
          <w:rFonts w:ascii="黑体" w:hAnsi="黑体" w:eastAsia="黑体"/>
          <w:sz w:val="32"/>
        </w:rPr>
        <w:t>第四部分 部门决算报表（见附表）</w:t>
      </w:r>
    </w:p>
    <w:p w14:paraId="2B271AB3">
      <w:pPr>
        <w:spacing w:line="240" w:lineRule="auto"/>
        <w:ind w:firstLine="640"/>
        <w:jc w:val="both"/>
      </w:pPr>
      <w:r>
        <w:rPr>
          <w:rFonts w:ascii="仿宋_GB2312" w:hAnsi="仿宋_GB2312" w:eastAsia="仿宋_GB2312"/>
          <w:b w:val="0"/>
          <w:sz w:val="32"/>
        </w:rPr>
        <w:t>一、《收入支出决算总表》</w:t>
      </w:r>
    </w:p>
    <w:p w14:paraId="594E1F48">
      <w:pPr>
        <w:spacing w:line="240" w:lineRule="auto"/>
        <w:ind w:firstLine="640"/>
        <w:jc w:val="both"/>
      </w:pPr>
      <w:r>
        <w:rPr>
          <w:rFonts w:ascii="仿宋_GB2312" w:hAnsi="仿宋_GB2312" w:eastAsia="仿宋_GB2312"/>
          <w:b w:val="0"/>
          <w:sz w:val="32"/>
        </w:rPr>
        <w:t>二、《收入决算表》</w:t>
      </w:r>
    </w:p>
    <w:p w14:paraId="6CBFBBD3">
      <w:pPr>
        <w:spacing w:line="240" w:lineRule="auto"/>
        <w:ind w:firstLine="640"/>
        <w:jc w:val="both"/>
      </w:pPr>
      <w:r>
        <w:rPr>
          <w:rFonts w:ascii="仿宋_GB2312" w:hAnsi="仿宋_GB2312" w:eastAsia="仿宋_GB2312"/>
          <w:b w:val="0"/>
          <w:sz w:val="32"/>
        </w:rPr>
        <w:t>三、《支出决算表》</w:t>
      </w:r>
    </w:p>
    <w:p w14:paraId="0E206E79">
      <w:pPr>
        <w:spacing w:line="240" w:lineRule="auto"/>
        <w:ind w:firstLine="640"/>
        <w:jc w:val="both"/>
      </w:pPr>
      <w:r>
        <w:rPr>
          <w:rFonts w:ascii="仿宋_GB2312" w:hAnsi="仿宋_GB2312" w:eastAsia="仿宋_GB2312"/>
          <w:b w:val="0"/>
          <w:sz w:val="32"/>
        </w:rPr>
        <w:t>四、《财政拨款收入支出决算总表》</w:t>
      </w:r>
    </w:p>
    <w:p w14:paraId="79660617">
      <w:pPr>
        <w:spacing w:line="240" w:lineRule="auto"/>
        <w:ind w:firstLine="640"/>
        <w:jc w:val="both"/>
      </w:pPr>
      <w:r>
        <w:rPr>
          <w:rFonts w:ascii="仿宋_GB2312" w:hAnsi="仿宋_GB2312" w:eastAsia="仿宋_GB2312"/>
          <w:b w:val="0"/>
          <w:sz w:val="32"/>
        </w:rPr>
        <w:t>五、《一般公共预算财政拨款支出决算表》</w:t>
      </w:r>
    </w:p>
    <w:p w14:paraId="5A2E34B8">
      <w:pPr>
        <w:spacing w:line="240" w:lineRule="auto"/>
        <w:ind w:firstLine="640"/>
        <w:jc w:val="both"/>
      </w:pPr>
      <w:r>
        <w:rPr>
          <w:rFonts w:ascii="仿宋_GB2312" w:hAnsi="仿宋_GB2312" w:eastAsia="仿宋_GB2312"/>
          <w:b w:val="0"/>
          <w:sz w:val="32"/>
        </w:rPr>
        <w:t>六、《一般公共预算财政拨款基本支出决算表》</w:t>
      </w:r>
    </w:p>
    <w:p w14:paraId="0595B904">
      <w:pPr>
        <w:spacing w:line="240" w:lineRule="auto"/>
        <w:ind w:firstLine="640"/>
        <w:jc w:val="both"/>
      </w:pPr>
      <w:r>
        <w:rPr>
          <w:rFonts w:ascii="仿宋_GB2312" w:hAnsi="仿宋_GB2312" w:eastAsia="仿宋_GB2312"/>
          <w:b w:val="0"/>
          <w:sz w:val="32"/>
        </w:rPr>
        <w:t>七、《政府性基金预算财政拨款收入支出决算表》</w:t>
      </w:r>
    </w:p>
    <w:p w14:paraId="3154B810">
      <w:pPr>
        <w:spacing w:line="240" w:lineRule="auto"/>
        <w:ind w:firstLine="640"/>
        <w:jc w:val="both"/>
      </w:pPr>
      <w:r>
        <w:rPr>
          <w:rFonts w:ascii="仿宋_GB2312" w:hAnsi="仿宋_GB2312" w:eastAsia="仿宋_GB2312"/>
          <w:b w:val="0"/>
          <w:sz w:val="32"/>
        </w:rPr>
        <w:t>八、《国有资本经营预算财政拨款收入支出决算表》</w:t>
      </w:r>
    </w:p>
    <w:p w14:paraId="6D70218E">
      <w:pPr>
        <w:spacing w:line="240" w:lineRule="auto"/>
        <w:ind w:firstLine="640"/>
        <w:jc w:val="both"/>
      </w:pPr>
      <w:r>
        <w:rPr>
          <w:rFonts w:ascii="仿宋_GB2312" w:hAnsi="仿宋_GB2312" w:eastAsia="仿宋_GB2312"/>
          <w:b w:val="0"/>
          <w:sz w:val="32"/>
        </w:rPr>
        <w:t>九、《财政拨款“三公”经费支出决算表》</w:t>
      </w:r>
    </w:p>
    <w:p w14:paraId="35317F19">
      <w:pPr>
        <w:spacing w:line="240" w:lineRule="auto"/>
        <w:ind w:firstLine="640"/>
        <w:jc w:val="both"/>
      </w:pPr>
    </w:p>
    <w:p w14:paraId="0311806B">
      <w:pPr>
        <w:spacing w:line="240" w:lineRule="auto"/>
        <w:ind w:firstLine="640"/>
        <w:jc w:val="both"/>
      </w:pPr>
    </w:p>
    <w:p w14:paraId="2B2F78E9">
      <w:pPr>
        <w:spacing w:line="240" w:lineRule="auto"/>
        <w:ind w:firstLine="640"/>
        <w:jc w:val="both"/>
      </w:pPr>
    </w:p>
    <w:p w14:paraId="022D8BE3">
      <w:pPr>
        <w:spacing w:line="240" w:lineRule="auto"/>
        <w:ind w:firstLine="640"/>
        <w:jc w:val="both"/>
      </w:pPr>
    </w:p>
    <w:p w14:paraId="1EC744A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3D1FA0"/>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DB3EC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38290E"/>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3801</Words>
  <Characters>4447</Characters>
  <Lines>0</Lines>
  <Paragraphs>0</Paragraphs>
  <TotalTime>2</TotalTime>
  <ScaleCrop>false</ScaleCrop>
  <LinksUpToDate>false</LinksUpToDate>
  <CharactersWithSpaces>4455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2025-09-16T03:20:27Z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