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轮台县职业技术学校2024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BD5817">
      <w:r>
        <w:br w:type="page"/>
      </w:r>
    </w:p>
    <w:p w14:paraId="05F36923">
      <w:pPr>
        <w:spacing w:line="640" w:lineRule="exact"/>
        <w:jc w:val="center"/>
        <w:outlineLvl w:val="1"/>
      </w:pPr>
      <w:r>
        <w:rPr>
          <w:rFonts w:ascii="黑体" w:hAnsi="黑体" w:eastAsia="黑体"/>
          <w:sz w:val="32"/>
        </w:rPr>
        <w:t>第一部分 单位概况</w:t>
      </w:r>
    </w:p>
    <w:p w14:paraId="7C76371C">
      <w:pPr>
        <w:spacing w:line="640" w:lineRule="exact"/>
        <w:ind w:firstLine="640"/>
        <w:jc w:val="both"/>
        <w:outlineLvl w:val="2"/>
      </w:pPr>
      <w:r>
        <w:rPr>
          <w:rFonts w:ascii="黑体" w:hAnsi="黑体" w:eastAsia="黑体"/>
          <w:sz w:val="32"/>
        </w:rPr>
        <w:t>一、主要职能</w:t>
      </w:r>
    </w:p>
    <w:p w14:paraId="1260B01A">
      <w:pPr>
        <w:spacing w:line="580" w:lineRule="exact"/>
        <w:ind w:firstLine="640"/>
        <w:jc w:val="both"/>
      </w:pPr>
      <w:r>
        <w:rPr>
          <w:rFonts w:ascii="仿宋_GB2312" w:hAnsi="仿宋_GB2312" w:eastAsia="仿宋_GB2312"/>
          <w:sz w:val="32"/>
        </w:rPr>
        <w:t>全面</w:t>
      </w:r>
      <w:r>
        <w:rPr>
          <w:rFonts w:hint="eastAsia" w:ascii="仿宋_GB2312" w:hAnsi="仿宋_GB2312" w:eastAsia="仿宋_GB2312"/>
          <w:sz w:val="32"/>
          <w:lang w:eastAsia="zh-CN"/>
        </w:rPr>
        <w:t>贯彻</w:t>
      </w:r>
      <w:r>
        <w:rPr>
          <w:rFonts w:ascii="仿宋_GB2312" w:hAnsi="仿宋_GB2312" w:eastAsia="仿宋_GB2312"/>
          <w:sz w:val="32"/>
        </w:rPr>
        <w:t>党和国家的教育方针、政策、法规，自觉抵制各种违反教育方针、政策法规的倾向，实施素质教育。坚持社会主义办学方向，努力培养德、智、体全面发展的社会主义事业的建设者和接班人。按教育规律办学，不断提高教育质量。培养高中和初中学历技术应用人才，提高社会职业素质。</w:t>
      </w:r>
    </w:p>
    <w:p w14:paraId="798E2A09">
      <w:pPr>
        <w:spacing w:line="640" w:lineRule="exact"/>
        <w:ind w:firstLine="640"/>
        <w:jc w:val="both"/>
        <w:outlineLvl w:val="2"/>
      </w:pPr>
      <w:r>
        <w:rPr>
          <w:rFonts w:ascii="黑体" w:hAnsi="黑体" w:eastAsia="黑体"/>
          <w:sz w:val="32"/>
        </w:rPr>
        <w:t>二、机构设置及人员情况</w:t>
      </w:r>
    </w:p>
    <w:p w14:paraId="506B5633">
      <w:pPr>
        <w:spacing w:line="580" w:lineRule="exact"/>
        <w:ind w:firstLine="640"/>
        <w:jc w:val="both"/>
      </w:pPr>
      <w:r>
        <w:rPr>
          <w:rFonts w:ascii="仿宋_GB2312" w:hAnsi="仿宋_GB2312" w:eastAsia="仿宋_GB2312"/>
          <w:sz w:val="32"/>
        </w:rPr>
        <w:t>轮台县职业技术学校2024年度，实有人数40人，其中：在职人员15人，减少3人；离休人员0人，增加0人；退休人员25人,增加3人。</w:t>
      </w:r>
    </w:p>
    <w:p w14:paraId="5D1132CF">
      <w:pPr>
        <w:spacing w:line="580" w:lineRule="exact"/>
        <w:ind w:firstLine="640"/>
        <w:jc w:val="both"/>
      </w:pPr>
      <w:r>
        <w:rPr>
          <w:rFonts w:ascii="仿宋_GB2312" w:hAnsi="仿宋_GB2312" w:eastAsia="仿宋_GB2312"/>
          <w:sz w:val="32"/>
        </w:rPr>
        <w:t>轮台县职业技术学校无下属预算单位，下设11个科室，分别是：校长办公室、行政办公室、党政办、教务处、电大办公室、德育处、财务室、总务处、安全保卫处、多媒体会议室、学生宿舍管理处。</w:t>
      </w:r>
    </w:p>
    <w:p w14:paraId="432AECDE">
      <w:r>
        <w:br w:type="page"/>
      </w:r>
    </w:p>
    <w:p w14:paraId="533BD99D">
      <w:pPr>
        <w:spacing w:line="240" w:lineRule="auto"/>
        <w:jc w:val="center"/>
        <w:outlineLvl w:val="1"/>
      </w:pPr>
      <w:r>
        <w:rPr>
          <w:rFonts w:ascii="黑体" w:hAnsi="黑体" w:eastAsia="黑体"/>
          <w:sz w:val="32"/>
        </w:rPr>
        <w:t>第二部分 部门决算情况说明</w:t>
      </w:r>
    </w:p>
    <w:p w14:paraId="10B9C630">
      <w:pPr>
        <w:spacing w:line="640" w:lineRule="exact"/>
        <w:ind w:firstLine="640"/>
        <w:jc w:val="both"/>
        <w:outlineLvl w:val="2"/>
      </w:pPr>
      <w:r>
        <w:rPr>
          <w:rFonts w:ascii="黑体" w:hAnsi="黑体" w:eastAsia="黑体"/>
          <w:sz w:val="32"/>
        </w:rPr>
        <w:t>一、收入支出决算总体情况说明</w:t>
      </w:r>
    </w:p>
    <w:p w14:paraId="6002A486">
      <w:pPr>
        <w:spacing w:line="580" w:lineRule="exact"/>
        <w:ind w:firstLine="640"/>
        <w:jc w:val="both"/>
      </w:pPr>
      <w:r>
        <w:rPr>
          <w:rFonts w:ascii="仿宋_GB2312" w:hAnsi="仿宋_GB2312" w:eastAsia="仿宋_GB2312"/>
          <w:b/>
          <w:sz w:val="32"/>
        </w:rPr>
        <w:t>2024年度收入总计1,812.06万元，</w:t>
      </w:r>
      <w:r>
        <w:rPr>
          <w:rFonts w:ascii="仿宋_GB2312" w:hAnsi="仿宋_GB2312" w:eastAsia="仿宋_GB2312"/>
          <w:b w:val="0"/>
          <w:sz w:val="32"/>
        </w:rPr>
        <w:t>其中：本年收入合计1,784.08万元，使用非财政拨款结余（含专用结余）0.00万元，年初结转和结余27.98万元。</w:t>
      </w:r>
    </w:p>
    <w:p w14:paraId="360C5BF0">
      <w:pPr>
        <w:spacing w:line="580" w:lineRule="exact"/>
        <w:ind w:firstLine="640"/>
        <w:jc w:val="both"/>
      </w:pPr>
      <w:r>
        <w:rPr>
          <w:rFonts w:ascii="仿宋_GB2312" w:hAnsi="仿宋_GB2312" w:eastAsia="仿宋_GB2312"/>
          <w:b/>
          <w:sz w:val="32"/>
        </w:rPr>
        <w:t>2024年度支出总计1,812.06万元，</w:t>
      </w:r>
      <w:r>
        <w:rPr>
          <w:rFonts w:ascii="仿宋_GB2312" w:hAnsi="仿宋_GB2312" w:eastAsia="仿宋_GB2312"/>
          <w:b w:val="0"/>
          <w:sz w:val="32"/>
        </w:rPr>
        <w:t>其中：本年支出合计1,783.13万元，结余分配0.00万元，年末结转和结余28.93万元。</w:t>
      </w:r>
    </w:p>
    <w:p w14:paraId="788712EB">
      <w:pPr>
        <w:spacing w:line="580" w:lineRule="exact"/>
        <w:ind w:firstLine="640"/>
        <w:jc w:val="both"/>
      </w:pPr>
      <w:r>
        <w:rPr>
          <w:rFonts w:ascii="仿宋_GB2312" w:hAnsi="仿宋_GB2312" w:eastAsia="仿宋_GB2312"/>
          <w:b w:val="0"/>
          <w:sz w:val="32"/>
        </w:rPr>
        <w:t>收入支出总体与上年相比，减少2,108.26万元，下降53.78%，主要原因是：本年度</w:t>
      </w:r>
      <w:r>
        <w:rPr>
          <w:rFonts w:hint="eastAsia" w:ascii="仿宋_GB2312" w:hAnsi="仿宋_GB2312" w:eastAsia="仿宋_GB2312"/>
          <w:b w:val="0"/>
          <w:sz w:val="32"/>
          <w:lang w:val="en-US" w:eastAsia="zh-CN"/>
        </w:rPr>
        <w:t>减少职中改扩建项目三标工程款，教学设备采购款，印刷款，</w:t>
      </w:r>
      <w:r>
        <w:rPr>
          <w:rFonts w:ascii="仿宋_GB2312" w:hAnsi="仿宋_GB2312" w:eastAsia="仿宋_GB2312"/>
          <w:b w:val="0"/>
          <w:sz w:val="32"/>
        </w:rPr>
        <w:t>职中改扩建设项目及现代职业教育质量提升计划资金，导致经费较上年减少。</w:t>
      </w:r>
    </w:p>
    <w:p w14:paraId="5D6AD301">
      <w:pPr>
        <w:spacing w:line="640" w:lineRule="exact"/>
        <w:ind w:firstLine="640"/>
        <w:jc w:val="both"/>
        <w:outlineLvl w:val="2"/>
      </w:pPr>
      <w:r>
        <w:rPr>
          <w:rFonts w:ascii="黑体" w:hAnsi="黑体" w:eastAsia="黑体"/>
          <w:sz w:val="32"/>
        </w:rPr>
        <w:t>二、收入决算情况说明</w:t>
      </w:r>
    </w:p>
    <w:p w14:paraId="05581D08">
      <w:pPr>
        <w:spacing w:line="580" w:lineRule="exact"/>
        <w:ind w:firstLine="640"/>
        <w:jc w:val="both"/>
      </w:pPr>
      <w:r>
        <w:rPr>
          <w:rFonts w:ascii="仿宋_GB2312" w:hAnsi="仿宋_GB2312" w:eastAsia="仿宋_GB2312"/>
          <w:b/>
          <w:sz w:val="32"/>
        </w:rPr>
        <w:t>本年收入1,784.08万元，</w:t>
      </w:r>
      <w:r>
        <w:rPr>
          <w:rFonts w:ascii="仿宋_GB2312" w:hAnsi="仿宋_GB2312" w:eastAsia="仿宋_GB2312"/>
          <w:b w:val="0"/>
          <w:sz w:val="32"/>
        </w:rPr>
        <w:t>其中：财政拨款收入945.94万元，占53.02%；上级补助收入0.00万元，占0.00%；事业收入0.00万元，占0.00%；经营收入0.00万元，占0.00%；附属单位上缴收入0.00万元，占0.00%；其他收入838.14万元，占46.98%。</w:t>
      </w:r>
    </w:p>
    <w:p w14:paraId="39675A76">
      <w:pPr>
        <w:spacing w:line="640" w:lineRule="exact"/>
        <w:ind w:firstLine="640"/>
        <w:jc w:val="both"/>
        <w:outlineLvl w:val="2"/>
      </w:pPr>
      <w:r>
        <w:rPr>
          <w:rFonts w:ascii="黑体" w:hAnsi="黑体" w:eastAsia="黑体"/>
          <w:sz w:val="32"/>
        </w:rPr>
        <w:t>三、支出决算情况说明</w:t>
      </w:r>
    </w:p>
    <w:p w14:paraId="1C747F06">
      <w:pPr>
        <w:spacing w:line="580" w:lineRule="exact"/>
        <w:ind w:firstLine="640"/>
        <w:jc w:val="both"/>
      </w:pPr>
      <w:r>
        <w:rPr>
          <w:rFonts w:ascii="仿宋_GB2312" w:hAnsi="仿宋_GB2312" w:eastAsia="仿宋_GB2312"/>
          <w:b/>
          <w:sz w:val="32"/>
        </w:rPr>
        <w:t>本年支出1,783.13万元，</w:t>
      </w:r>
      <w:r>
        <w:rPr>
          <w:rFonts w:ascii="仿宋_GB2312" w:hAnsi="仿宋_GB2312" w:eastAsia="仿宋_GB2312"/>
          <w:b w:val="0"/>
          <w:sz w:val="32"/>
        </w:rPr>
        <w:t>其中：基本支出1,055.63万元，占59.20%；项目支出727.50万元，占40.80%；上缴上级支出0.00万元，占0.00%；经营支出0.00万元，占0.00%；对附属单位补助支出0.00万元，占0.00%。</w:t>
      </w:r>
    </w:p>
    <w:p w14:paraId="60623291">
      <w:pPr>
        <w:spacing w:line="640" w:lineRule="exact"/>
        <w:ind w:firstLine="640"/>
        <w:jc w:val="both"/>
        <w:outlineLvl w:val="2"/>
      </w:pPr>
      <w:r>
        <w:rPr>
          <w:rFonts w:ascii="黑体" w:hAnsi="黑体" w:eastAsia="黑体"/>
          <w:sz w:val="32"/>
        </w:rPr>
        <w:t>四、财政拨款收入支出决算总体情况说明</w:t>
      </w:r>
    </w:p>
    <w:p w14:paraId="41A00A81">
      <w:pPr>
        <w:spacing w:line="580" w:lineRule="exact"/>
        <w:ind w:firstLine="640"/>
        <w:jc w:val="both"/>
      </w:pPr>
      <w:r>
        <w:rPr>
          <w:rFonts w:ascii="仿宋_GB2312" w:hAnsi="仿宋_GB2312" w:eastAsia="仿宋_GB2312"/>
          <w:b/>
          <w:sz w:val="32"/>
        </w:rPr>
        <w:t>2024年度财政拨款收入总计945.94万元，</w:t>
      </w:r>
      <w:r>
        <w:rPr>
          <w:rFonts w:ascii="仿宋_GB2312" w:hAnsi="仿宋_GB2312" w:eastAsia="仿宋_GB2312"/>
          <w:b w:val="0"/>
          <w:sz w:val="32"/>
        </w:rPr>
        <w:t>其中：年初财政拨款结转和结余0.00万元，本年财政拨款收入945.94万元。</w:t>
      </w:r>
      <w:r>
        <w:rPr>
          <w:rFonts w:ascii="仿宋_GB2312" w:hAnsi="仿宋_GB2312" w:eastAsia="仿宋_GB2312"/>
          <w:b/>
          <w:sz w:val="32"/>
        </w:rPr>
        <w:t>财政拨款支出总计945.94万元，</w:t>
      </w:r>
      <w:r>
        <w:rPr>
          <w:rFonts w:ascii="仿宋_GB2312" w:hAnsi="仿宋_GB2312" w:eastAsia="仿宋_GB2312"/>
          <w:b w:val="0"/>
          <w:sz w:val="32"/>
        </w:rPr>
        <w:t>其中：年末财政拨款结转和结余0.00万元，本年财政拨款支出945.94万元。</w:t>
      </w:r>
    </w:p>
    <w:p w14:paraId="15D960B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减少478.23万元，下降33.58%，主要原因是：本年度职中改扩建设项目及现代职业教育质量提升计划资金较上年减少，导致经费较上年减少。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年初预算数621.87万元，决算数945.94万元，预决算差异率52.11%，主要原因是：本年年中追加教学设备采购款，导致预决算存在差异。</w:t>
      </w:r>
    </w:p>
    <w:p w14:paraId="2D2E789D">
      <w:pPr>
        <w:spacing w:line="640" w:lineRule="exact"/>
        <w:ind w:firstLine="640"/>
        <w:jc w:val="both"/>
        <w:outlineLvl w:val="2"/>
      </w:pPr>
      <w:r>
        <w:rPr>
          <w:rFonts w:ascii="黑体" w:hAnsi="黑体" w:eastAsia="黑体"/>
          <w:sz w:val="32"/>
        </w:rPr>
        <w:t>五、一般公共预算财政拨款支出决算情况说明</w:t>
      </w:r>
    </w:p>
    <w:p w14:paraId="7E4EE800">
      <w:pPr>
        <w:spacing w:line="640" w:lineRule="exact"/>
        <w:ind w:firstLine="640"/>
        <w:jc w:val="both"/>
        <w:outlineLvl w:val="3"/>
      </w:pPr>
      <w:r>
        <w:rPr>
          <w:rFonts w:ascii="楷体_GB2312" w:hAnsi="楷体_GB2312" w:eastAsia="楷体_GB2312"/>
          <w:b/>
          <w:sz w:val="32"/>
        </w:rPr>
        <w:t>（一）一般公共预算财政拨款支出决算总体情况</w:t>
      </w:r>
    </w:p>
    <w:p w14:paraId="2AAFC918">
      <w:pPr>
        <w:spacing w:line="580" w:lineRule="exact"/>
        <w:ind w:firstLine="640"/>
        <w:jc w:val="both"/>
      </w:pPr>
      <w:r>
        <w:rPr>
          <w:rFonts w:ascii="仿宋_GB2312" w:hAnsi="仿宋_GB2312" w:eastAsia="仿宋_GB2312"/>
          <w:b/>
          <w:sz w:val="32"/>
        </w:rPr>
        <w:t>2024年度一般公共预算财政拨款支出945.94万元，</w:t>
      </w:r>
      <w:r>
        <w:rPr>
          <w:rFonts w:ascii="仿宋_GB2312" w:hAnsi="仿宋_GB2312" w:eastAsia="仿宋_GB2312"/>
          <w:b w:val="0"/>
          <w:sz w:val="32"/>
        </w:rPr>
        <w:t>占本年支出合计的53.05%。</w:t>
      </w:r>
      <w:r>
        <w:rPr>
          <w:rFonts w:ascii="仿宋_GB2312" w:hAnsi="仿宋_GB2312" w:eastAsia="仿宋_GB2312"/>
          <w:b/>
          <w:sz w:val="32"/>
        </w:rPr>
        <w:t>与上年相比，</w:t>
      </w:r>
      <w:r>
        <w:rPr>
          <w:rFonts w:ascii="仿宋_GB2312" w:hAnsi="仿宋_GB2312" w:eastAsia="仿宋_GB2312"/>
          <w:b w:val="0"/>
          <w:sz w:val="32"/>
        </w:rPr>
        <w:t>减少478.23万元，下降33.58%，主要原因是：本年度职中改扩建设项目及现代职业教育质量提升计划资金较上年减少，导致经费较上年减少。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年初预算数621.87万元，决算数945.94万元，预决算差异率52.11%，主要原因是：本年年中追加教学设备采购款，导致预决算存在差异。</w:t>
      </w:r>
    </w:p>
    <w:p w14:paraId="1F74783A">
      <w:pPr>
        <w:spacing w:line="640" w:lineRule="exact"/>
        <w:ind w:firstLine="640"/>
        <w:jc w:val="both"/>
        <w:outlineLvl w:val="3"/>
      </w:pPr>
      <w:r>
        <w:rPr>
          <w:rFonts w:ascii="楷体_GB2312" w:hAnsi="楷体_GB2312" w:eastAsia="楷体_GB2312"/>
          <w:b/>
          <w:sz w:val="32"/>
        </w:rPr>
        <w:t>（二）一般公共预算财政拨款支出决算结构情况</w:t>
      </w:r>
    </w:p>
    <w:p w14:paraId="23B0C54E">
      <w:pPr>
        <w:spacing w:line="580" w:lineRule="exact"/>
        <w:ind w:firstLine="640"/>
        <w:jc w:val="both"/>
      </w:pPr>
      <w:r>
        <w:rPr>
          <w:rFonts w:ascii="仿宋_GB2312" w:hAnsi="仿宋_GB2312" w:eastAsia="仿宋_GB2312"/>
          <w:b w:val="0"/>
          <w:sz w:val="32"/>
        </w:rPr>
        <w:t>1.教育支出(类)945.94万元,占100.00%。</w:t>
      </w:r>
    </w:p>
    <w:p w14:paraId="77DC10B6">
      <w:pPr>
        <w:spacing w:line="640" w:lineRule="exact"/>
        <w:ind w:firstLine="640"/>
        <w:jc w:val="both"/>
        <w:outlineLvl w:val="3"/>
      </w:pPr>
      <w:r>
        <w:rPr>
          <w:rFonts w:ascii="楷体_GB2312" w:hAnsi="楷体_GB2312" w:eastAsia="楷体_GB2312"/>
          <w:b/>
          <w:sz w:val="32"/>
        </w:rPr>
        <w:t>（三）一般公共预算财政拨款支出决算具体情况</w:t>
      </w:r>
    </w:p>
    <w:p w14:paraId="78408DBB">
      <w:pPr>
        <w:spacing w:line="580" w:lineRule="exact"/>
        <w:ind w:firstLine="640"/>
        <w:jc w:val="both"/>
      </w:pPr>
      <w:r>
        <w:rPr>
          <w:rFonts w:ascii="仿宋_GB2312" w:hAnsi="仿宋_GB2312" w:eastAsia="仿宋_GB2312"/>
          <w:b w:val="0"/>
          <w:sz w:val="32"/>
        </w:rPr>
        <w:t>1.教育支出(类)职业教育(款)中等职业教育(项):支出决算数为920.16万元，比上年决算减少474.61万元，下降34.03%,主要原因是：本年度职中改扩建设项目及现代职业教育质量提升计划资金较上年减少，导致经费较上年减少。</w:t>
      </w:r>
    </w:p>
    <w:p w14:paraId="5661EBB8">
      <w:pPr>
        <w:spacing w:line="580" w:lineRule="exact"/>
        <w:ind w:firstLine="640"/>
        <w:jc w:val="both"/>
      </w:pPr>
      <w:r>
        <w:rPr>
          <w:rFonts w:ascii="仿宋_GB2312" w:hAnsi="仿宋_GB2312" w:eastAsia="仿宋_GB2312"/>
          <w:b w:val="0"/>
          <w:sz w:val="32"/>
        </w:rPr>
        <w:t>2.教育支出(类)职业教育(款)技校教育(项):支出决算数为15.79万元，比上年决算减少13.61万元，下降46.29%,主要原因是：本年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监控维修费及校园下水道，防护栏等维修费</w:t>
      </w:r>
      <w:r>
        <w:rPr>
          <w:rFonts w:hint="eastAsia" w:ascii="仿宋_GB2312" w:hAnsi="仿宋_GB2312" w:eastAsia="仿宋_GB2312"/>
          <w:b w:val="0"/>
          <w:sz w:val="32"/>
          <w:lang w:eastAsia="zh-CN"/>
        </w:rPr>
        <w:t>，</w:t>
      </w:r>
      <w:r>
        <w:rPr>
          <w:rFonts w:ascii="仿宋_GB2312" w:hAnsi="仿宋_GB2312" w:eastAsia="仿宋_GB2312"/>
          <w:b w:val="0"/>
          <w:sz w:val="32"/>
        </w:rPr>
        <w:t>春季技工助学金，导致经费较上年减少。</w:t>
      </w:r>
    </w:p>
    <w:p w14:paraId="378EFA40">
      <w:pPr>
        <w:spacing w:line="580" w:lineRule="exact"/>
        <w:ind w:firstLine="640"/>
        <w:jc w:val="both"/>
      </w:pPr>
      <w:r>
        <w:rPr>
          <w:rFonts w:ascii="仿宋_GB2312" w:hAnsi="仿宋_GB2312" w:eastAsia="仿宋_GB2312"/>
          <w:b w:val="0"/>
          <w:sz w:val="32"/>
        </w:rPr>
        <w:t>3.教育支出(类)职业教育(款)其他职业教育支出(项):支出决算数为10.00万元，比上年决算增加10.00万元，增长100.00%,主要原因是：本年度增加校园监控设备款经费。</w:t>
      </w:r>
    </w:p>
    <w:p w14:paraId="2528D3A1">
      <w:pPr>
        <w:spacing w:line="640" w:lineRule="exact"/>
        <w:ind w:firstLine="640"/>
        <w:jc w:val="both"/>
        <w:outlineLvl w:val="2"/>
      </w:pPr>
      <w:r>
        <w:rPr>
          <w:rFonts w:ascii="黑体" w:hAnsi="黑体" w:eastAsia="黑体"/>
          <w:sz w:val="32"/>
        </w:rPr>
        <w:t>六、一般公共预算财政拨款基本支出决算情况说明</w:t>
      </w:r>
    </w:p>
    <w:p w14:paraId="488B623A">
      <w:pPr>
        <w:spacing w:line="580" w:lineRule="exact"/>
        <w:ind w:firstLine="640"/>
        <w:jc w:val="both"/>
      </w:pPr>
      <w:r>
        <w:rPr>
          <w:rFonts w:ascii="仿宋_GB2312" w:hAnsi="仿宋_GB2312" w:eastAsia="仿宋_GB2312"/>
          <w:b w:val="0"/>
          <w:sz w:val="32"/>
        </w:rPr>
        <w:t>2024年度一般公共预算财政拨款基本支出935.39万元，其中：</w:t>
      </w:r>
      <w:r>
        <w:rPr>
          <w:rFonts w:ascii="仿宋_GB2312" w:hAnsi="仿宋_GB2312" w:eastAsia="仿宋_GB2312"/>
          <w:b/>
          <w:sz w:val="32"/>
        </w:rPr>
        <w:t>人员经费570.89万元，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14:paraId="598D2C09">
      <w:pPr>
        <w:spacing w:line="580" w:lineRule="exact"/>
        <w:ind w:firstLine="640"/>
        <w:jc w:val="both"/>
      </w:pPr>
      <w:r>
        <w:rPr>
          <w:rFonts w:ascii="仿宋_GB2312" w:hAnsi="仿宋_GB2312" w:eastAsia="仿宋_GB2312"/>
          <w:b/>
          <w:sz w:val="32"/>
        </w:rPr>
        <w:t>公用经费364.50万元，</w:t>
      </w:r>
      <w:r>
        <w:rPr>
          <w:rFonts w:ascii="仿宋_GB2312" w:hAnsi="仿宋_GB2312" w:eastAsia="仿宋_GB2312"/>
          <w:b w:val="0"/>
          <w:sz w:val="32"/>
        </w:rPr>
        <w:t>包括：办公费、电费、邮电费、取暖费、差旅费、维修（护）费、培训费、专用材料费、委托业务费、税金及附加费用、办公设备购置、专用设备购置、信息网络及软件购置更新。</w:t>
      </w:r>
    </w:p>
    <w:p w14:paraId="7E0C047C">
      <w:pPr>
        <w:spacing w:line="640" w:lineRule="exact"/>
        <w:ind w:firstLine="640"/>
        <w:jc w:val="both"/>
        <w:outlineLvl w:val="2"/>
      </w:pPr>
      <w:r>
        <w:rPr>
          <w:rFonts w:ascii="黑体" w:hAnsi="黑体" w:eastAsia="黑体"/>
          <w:sz w:val="32"/>
        </w:rPr>
        <w:t>七、政府性基金预算财政拨款收入支出决算情况说明</w:t>
      </w:r>
    </w:p>
    <w:p w14:paraId="302E68A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80AE698">
      <w:pPr>
        <w:spacing w:line="640" w:lineRule="exact"/>
        <w:ind w:firstLine="640"/>
        <w:jc w:val="both"/>
        <w:outlineLvl w:val="2"/>
      </w:pPr>
      <w:r>
        <w:rPr>
          <w:rFonts w:ascii="黑体" w:hAnsi="黑体" w:eastAsia="黑体"/>
          <w:sz w:val="32"/>
        </w:rPr>
        <w:t>八、国有资本经营预算财政拨款收入支出决算情况说明</w:t>
      </w:r>
    </w:p>
    <w:p w14:paraId="201F94A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E166ED8">
      <w:pPr>
        <w:spacing w:line="640" w:lineRule="exact"/>
        <w:ind w:firstLine="640"/>
        <w:jc w:val="both"/>
        <w:outlineLvl w:val="2"/>
      </w:pPr>
      <w:r>
        <w:rPr>
          <w:rFonts w:ascii="黑体" w:hAnsi="黑体" w:eastAsia="黑体"/>
          <w:sz w:val="32"/>
        </w:rPr>
        <w:t>九、财政拨款“三公”经费支出决算情况说明</w:t>
      </w:r>
    </w:p>
    <w:p w14:paraId="73338EB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63ADD2F">
      <w:pPr>
        <w:spacing w:line="580" w:lineRule="exact"/>
        <w:ind w:firstLine="640"/>
        <w:jc w:val="both"/>
      </w:pPr>
      <w:r>
        <w:rPr>
          <w:rFonts w:ascii="仿宋_GB2312" w:hAnsi="仿宋_GB2312" w:eastAsia="仿宋_GB2312"/>
          <w:b/>
          <w:sz w:val="32"/>
        </w:rPr>
        <w:t>具体情况如下：</w:t>
      </w:r>
    </w:p>
    <w:p w14:paraId="534FFD6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49F9B1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差异车辆1辆，为业务用车，未使用财政拨款公务用车运行维护费。</w:t>
      </w:r>
    </w:p>
    <w:p w14:paraId="5835E23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ECBC96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B136F7A">
      <w:pPr>
        <w:spacing w:line="640" w:lineRule="exact"/>
        <w:ind w:firstLine="640"/>
        <w:jc w:val="both"/>
        <w:outlineLvl w:val="2"/>
      </w:pPr>
      <w:r>
        <w:rPr>
          <w:rFonts w:ascii="黑体" w:hAnsi="黑体" w:eastAsia="黑体"/>
          <w:sz w:val="32"/>
        </w:rPr>
        <w:t>十、其他重要事项的情况说明</w:t>
      </w:r>
    </w:p>
    <w:p w14:paraId="17D8520F">
      <w:pPr>
        <w:spacing w:line="640" w:lineRule="exact"/>
        <w:ind w:firstLine="640"/>
        <w:jc w:val="both"/>
        <w:outlineLvl w:val="3"/>
      </w:pPr>
      <w:r>
        <w:rPr>
          <w:rFonts w:ascii="楷体_GB2312" w:hAnsi="楷体_GB2312" w:eastAsia="楷体_GB2312"/>
          <w:b/>
          <w:sz w:val="32"/>
        </w:rPr>
        <w:t>（一）机关运行经费及公用经费支出情况</w:t>
      </w:r>
    </w:p>
    <w:p w14:paraId="5BB97EAB">
      <w:pPr>
        <w:spacing w:line="580" w:lineRule="exact"/>
        <w:ind w:firstLine="640"/>
        <w:jc w:val="both"/>
      </w:pPr>
      <w:r>
        <w:rPr>
          <w:rFonts w:ascii="仿宋_GB2312" w:hAnsi="仿宋_GB2312" w:eastAsia="仿宋_GB2312"/>
          <w:b w:val="0"/>
          <w:sz w:val="32"/>
        </w:rPr>
        <w:t>2024年度轮台县职业技术学校（事业单位）公用经费支出364.50万元，比上年减少7.66万元，下降2.06%，主要原因是：本年减少改造提升及学生宿舍维护费，相应支出减少。</w:t>
      </w:r>
    </w:p>
    <w:p w14:paraId="7A41363D">
      <w:pPr>
        <w:spacing w:line="640" w:lineRule="exact"/>
        <w:ind w:firstLine="640"/>
        <w:jc w:val="both"/>
        <w:outlineLvl w:val="3"/>
      </w:pPr>
      <w:r>
        <w:rPr>
          <w:rFonts w:ascii="楷体_GB2312" w:hAnsi="楷体_GB2312" w:eastAsia="楷体_GB2312"/>
          <w:b/>
          <w:sz w:val="32"/>
        </w:rPr>
        <w:t>（二）政府采购情况</w:t>
      </w:r>
    </w:p>
    <w:p w14:paraId="7890353A">
      <w:pPr>
        <w:spacing w:line="580" w:lineRule="exact"/>
        <w:ind w:firstLine="640"/>
        <w:jc w:val="both"/>
      </w:pPr>
      <w:r>
        <w:rPr>
          <w:rFonts w:ascii="仿宋_GB2312" w:hAnsi="仿宋_GB2312" w:eastAsia="仿宋_GB2312"/>
          <w:b w:val="0"/>
          <w:sz w:val="32"/>
        </w:rPr>
        <w:t>2024年度政府采购支出总额154.60万元，其中：政府采购货物支出98.22万元、政府采购工程支出10.98万元、政府采购服务支出45.40万元。</w:t>
      </w:r>
    </w:p>
    <w:p w14:paraId="6F342F56">
      <w:pPr>
        <w:spacing w:line="580" w:lineRule="exact"/>
        <w:ind w:firstLine="640"/>
        <w:jc w:val="both"/>
      </w:pPr>
      <w:r>
        <w:rPr>
          <w:rFonts w:ascii="仿宋_GB2312" w:hAnsi="仿宋_GB2312" w:eastAsia="仿宋_GB2312"/>
          <w:b w:val="0"/>
          <w:sz w:val="32"/>
        </w:rPr>
        <w:t>授予中小企业合同金额154.20万元，占政府采购支出总额的99.74%，其中：授予小微企业合同金额153.38万元，占政府采购支出总额的99.21%。</w:t>
      </w:r>
    </w:p>
    <w:p w14:paraId="1152BFEE">
      <w:pPr>
        <w:spacing w:line="640" w:lineRule="exact"/>
        <w:ind w:firstLine="640"/>
        <w:jc w:val="both"/>
        <w:outlineLvl w:val="3"/>
      </w:pPr>
      <w:r>
        <w:rPr>
          <w:rFonts w:ascii="楷体_GB2312" w:hAnsi="楷体_GB2312" w:eastAsia="楷体_GB2312"/>
          <w:b/>
          <w:sz w:val="32"/>
        </w:rPr>
        <w:t>（三）国有资产占用情况说明</w:t>
      </w:r>
    </w:p>
    <w:p w14:paraId="137FE339">
      <w:pPr>
        <w:spacing w:line="580" w:lineRule="exact"/>
        <w:ind w:firstLine="640"/>
        <w:jc w:val="both"/>
      </w:pPr>
      <w:r>
        <w:rPr>
          <w:rFonts w:ascii="仿宋_GB2312" w:hAnsi="仿宋_GB2312" w:eastAsia="仿宋_GB2312"/>
          <w:b w:val="0"/>
          <w:sz w:val="32"/>
        </w:rPr>
        <w:t>截至2024年12月31日，房屋129,758.20平方米，价值2,849.70万元。车辆1辆，价值9.80万元，其中：副部（省）级及以上领导用车0辆、主要负责人用车0辆、机要通信用车0辆、应急保障用车0辆、执法执勤用车0辆、特种专业技术用车0辆、离退休干部服务用车0辆、其他用车1辆，其他用车主要是：一般业务用车。单价100万元（含）以上设备（不含车辆）0台（套）。</w:t>
      </w:r>
    </w:p>
    <w:p w14:paraId="15D55965">
      <w:pPr>
        <w:spacing w:line="640" w:lineRule="exact"/>
        <w:ind w:firstLine="640"/>
        <w:jc w:val="both"/>
        <w:outlineLvl w:val="2"/>
      </w:pPr>
      <w:r>
        <w:rPr>
          <w:rFonts w:ascii="黑体" w:hAnsi="黑体" w:eastAsia="黑体"/>
          <w:sz w:val="32"/>
        </w:rPr>
        <w:t>十一、预算绩效的情况说明</w:t>
      </w:r>
    </w:p>
    <w:p w14:paraId="6A1AD03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1,812.06万元，实际执行总额1,783.13万元；预算绩效评价项目3个，全年预算数36.96万元，全年执行数36.83万元。预算绩效管理取得的成效：一是已达到“双师型”教师占比20%，使职业教育体系现代化，切实增强职业教育的适应性；二是已完成全年教师培训次数4次</w:t>
      </w:r>
      <w:r>
        <w:rPr>
          <w:rFonts w:hint="eastAsia" w:ascii="仿宋_GB2312" w:hAnsi="仿宋_GB2312" w:eastAsia="仿宋_GB2312"/>
          <w:b w:val="0"/>
          <w:sz w:val="32"/>
          <w:lang w:eastAsia="zh-CN"/>
        </w:rPr>
        <w:t>，</w:t>
      </w:r>
      <w:r>
        <w:rPr>
          <w:rFonts w:ascii="仿宋_GB2312" w:hAnsi="仿宋_GB2312" w:eastAsia="仿宋_GB2312"/>
          <w:b w:val="0"/>
          <w:sz w:val="32"/>
        </w:rPr>
        <w:t>提高了教师队伍的建设及提高了教学质量。发现的问题及原因：一是相关绩效管理方面专业知识的系统性学习有待加强。各项指标的设置要进一步优化、完善，主要在细化、量化上改进。在绩效自评过程中，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促进学校整体良好发展，抓好教学教育工作，不断提高教育质量，抓好教师队伍建设，打造德才兼备的教师队伍，保证教师专业知识培训次数8次以上，参加培训教师人数45人以上；二是保证享受补助学生人数2493人，保证适龄儿童入学率，控掇保学率达到100%，学生、家长对学校教育教学工作的满意度达到95%以上。具体附整体支出绩效自评表，项目支出绩效自评表。</w:t>
      </w:r>
    </w:p>
    <w:p w14:paraId="0C83E00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142430B">
        <w:tc>
          <w:tcPr>
            <w:tcW w:w="8840" w:type="dxa"/>
            <w:gridSpan w:val="8"/>
            <w:vAlign w:val="center"/>
          </w:tcPr>
          <w:p w14:paraId="2B122403">
            <w:pPr>
              <w:jc w:val="center"/>
            </w:pPr>
            <w:r>
              <w:rPr>
                <w:rFonts w:ascii="宋体" w:hAnsi="宋体" w:eastAsia="宋体"/>
                <w:sz w:val="24"/>
              </w:rPr>
              <w:t>单位整体支出绩效自评表</w:t>
            </w:r>
          </w:p>
        </w:tc>
      </w:tr>
      <w:tr w14:paraId="129EEE56">
        <w:tblPrEx>
          <w:tblCellMar>
            <w:top w:w="0" w:type="dxa"/>
            <w:left w:w="108" w:type="dxa"/>
            <w:bottom w:w="0" w:type="dxa"/>
            <w:right w:w="108" w:type="dxa"/>
          </w:tblCellMar>
        </w:tblPrEx>
        <w:tc>
          <w:tcPr>
            <w:tcW w:w="8840" w:type="dxa"/>
            <w:gridSpan w:val="8"/>
            <w:vAlign w:val="center"/>
          </w:tcPr>
          <w:p w14:paraId="689CD598">
            <w:pPr>
              <w:jc w:val="center"/>
            </w:pPr>
            <w:r>
              <w:rPr>
                <w:rFonts w:ascii="宋体" w:hAnsi="宋体" w:eastAsia="宋体"/>
                <w:sz w:val="24"/>
              </w:rPr>
              <w:t>（2024年度）</w:t>
            </w:r>
          </w:p>
        </w:tc>
      </w:tr>
      <w:tr w14:paraId="17B782C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FE39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7AD365">
            <w:pPr>
              <w:jc w:val="center"/>
            </w:pPr>
            <w:r>
              <w:rPr>
                <w:rFonts w:ascii="宋体" w:hAnsi="宋体" w:eastAsia="宋体"/>
                <w:sz w:val="16"/>
              </w:rPr>
              <w:t>轮台县职业技术学校</w:t>
            </w:r>
          </w:p>
        </w:tc>
      </w:tr>
      <w:tr w14:paraId="2C6ACDB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1DB2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A8D3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8845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EF935">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52155">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C51D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4F00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860E0">
            <w:pPr>
              <w:jc w:val="center"/>
            </w:pPr>
            <w:r>
              <w:rPr>
                <w:rFonts w:ascii="宋体" w:hAnsi="宋体" w:eastAsia="宋体"/>
                <w:sz w:val="16"/>
              </w:rPr>
              <w:t>得分</w:t>
            </w:r>
          </w:p>
        </w:tc>
      </w:tr>
      <w:tr w14:paraId="3CFB5C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B6474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14D5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D4151">
            <w:pPr>
              <w:jc w:val="center"/>
            </w:pPr>
            <w:r>
              <w:rPr>
                <w:rFonts w:ascii="宋体" w:hAnsi="宋体" w:eastAsia="宋体"/>
                <w:sz w:val="16"/>
              </w:rPr>
              <w:t>621.87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20CFC">
            <w:pPr>
              <w:jc w:val="center"/>
            </w:pPr>
            <w:r>
              <w:rPr>
                <w:rFonts w:ascii="宋体" w:hAnsi="宋体" w:eastAsia="宋体"/>
                <w:sz w:val="16"/>
              </w:rPr>
              <w:t>1,812.06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EE30D">
            <w:pPr>
              <w:jc w:val="center"/>
            </w:pPr>
            <w:r>
              <w:rPr>
                <w:rFonts w:ascii="宋体" w:hAnsi="宋体" w:eastAsia="宋体"/>
                <w:sz w:val="16"/>
              </w:rPr>
              <w:t>1,783.13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D957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361DD">
            <w:pPr>
              <w:jc w:val="center"/>
            </w:pPr>
            <w:r>
              <w:rPr>
                <w:rFonts w:ascii="宋体" w:hAnsi="宋体" w:eastAsia="宋体"/>
                <w:sz w:val="16"/>
              </w:rPr>
              <w:t>98.4%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003B4">
            <w:pPr>
              <w:jc w:val="center"/>
            </w:pPr>
            <w:r>
              <w:rPr>
                <w:rFonts w:ascii="宋体" w:hAnsi="宋体" w:eastAsia="宋体"/>
                <w:sz w:val="16"/>
              </w:rPr>
              <w:t>9.84</w:t>
            </w:r>
          </w:p>
        </w:tc>
      </w:tr>
      <w:tr w14:paraId="51D411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68848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73A59">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A963C">
            <w:pPr>
              <w:jc w:val="center"/>
            </w:pPr>
            <w:r>
              <w:rPr>
                <w:rFonts w:ascii="宋体" w:hAnsi="宋体" w:eastAsia="宋体"/>
                <w:sz w:val="16"/>
              </w:rPr>
              <w:t>10.50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FBFFF5">
            <w:pPr>
              <w:jc w:val="center"/>
            </w:pPr>
            <w:r>
              <w:rPr>
                <w:rFonts w:ascii="宋体" w:hAnsi="宋体" w:eastAsia="宋体"/>
                <w:sz w:val="16"/>
              </w:rPr>
              <w:t>170.23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F5205">
            <w:pPr>
              <w:jc w:val="center"/>
            </w:pPr>
            <w:r>
              <w:rPr>
                <w:rFonts w:ascii="宋体" w:hAnsi="宋体" w:eastAsia="宋体"/>
                <w:sz w:val="16"/>
              </w:rPr>
              <w:t>170.23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4FA7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2AD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EBD52">
            <w:pPr>
              <w:jc w:val="center"/>
            </w:pPr>
            <w:r>
              <w:rPr>
                <w:rFonts w:ascii="宋体" w:hAnsi="宋体" w:eastAsia="宋体"/>
                <w:sz w:val="16"/>
              </w:rPr>
              <w:t>-</w:t>
            </w:r>
          </w:p>
        </w:tc>
      </w:tr>
      <w:tr w14:paraId="108BF2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D321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18F21">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29CCE">
            <w:pPr>
              <w:jc w:val="center"/>
            </w:pPr>
            <w:r>
              <w:rPr>
                <w:rFonts w:ascii="宋体" w:hAnsi="宋体" w:eastAsia="宋体"/>
                <w:sz w:val="16"/>
              </w:rPr>
              <w:t>611.37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75AF1">
            <w:pPr>
              <w:jc w:val="center"/>
            </w:pPr>
            <w:r>
              <w:rPr>
                <w:rFonts w:ascii="宋体" w:hAnsi="宋体" w:eastAsia="宋体"/>
                <w:sz w:val="16"/>
              </w:rPr>
              <w:t>775.71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9D7AE">
            <w:pPr>
              <w:jc w:val="center"/>
            </w:pPr>
            <w:r>
              <w:rPr>
                <w:rFonts w:ascii="宋体" w:hAnsi="宋体" w:eastAsia="宋体"/>
                <w:sz w:val="16"/>
              </w:rPr>
              <w:t>775.71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25D5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653C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F27DB">
            <w:pPr>
              <w:jc w:val="center"/>
            </w:pPr>
            <w:r>
              <w:rPr>
                <w:rFonts w:ascii="宋体" w:hAnsi="宋体" w:eastAsia="宋体"/>
                <w:sz w:val="16"/>
              </w:rPr>
              <w:t>-</w:t>
            </w:r>
          </w:p>
        </w:tc>
      </w:tr>
      <w:tr w14:paraId="4B4E819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A9C8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62E18">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BABC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6A5622">
            <w:pPr>
              <w:jc w:val="center"/>
            </w:pPr>
            <w:r>
              <w:rPr>
                <w:rFonts w:ascii="宋体" w:hAnsi="宋体" w:eastAsia="宋体"/>
                <w:sz w:val="16"/>
              </w:rPr>
              <w:t>866.12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E3955">
            <w:pPr>
              <w:jc w:val="center"/>
            </w:pPr>
            <w:r>
              <w:rPr>
                <w:rFonts w:ascii="宋体" w:hAnsi="宋体" w:eastAsia="宋体"/>
                <w:sz w:val="16"/>
              </w:rPr>
              <w:t>837.19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56E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653A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080BDF">
            <w:pPr>
              <w:jc w:val="center"/>
            </w:pPr>
            <w:r>
              <w:rPr>
                <w:rFonts w:ascii="宋体" w:hAnsi="宋体" w:eastAsia="宋体"/>
                <w:sz w:val="16"/>
              </w:rPr>
              <w:t>-</w:t>
            </w:r>
          </w:p>
        </w:tc>
      </w:tr>
      <w:tr w14:paraId="2708477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BE0F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E2295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616488">
            <w:pPr>
              <w:jc w:val="center"/>
            </w:pPr>
            <w:r>
              <w:rPr>
                <w:rFonts w:ascii="宋体" w:hAnsi="宋体" w:eastAsia="宋体"/>
                <w:sz w:val="16"/>
              </w:rPr>
              <w:t>实际完成情况</w:t>
            </w:r>
          </w:p>
        </w:tc>
      </w:tr>
      <w:tr w14:paraId="484FA2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07725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1DFD85">
            <w:pPr>
              <w:jc w:val="both"/>
            </w:pPr>
            <w:r>
              <w:rPr>
                <w:rFonts w:ascii="宋体" w:hAnsi="宋体" w:eastAsia="宋体"/>
                <w:sz w:val="16"/>
              </w:rPr>
              <w:t>1.抓好教师队伍建设，打造德才兼备的教师队伍，使“双师型”教师占比达到20%，从而引领学校教育事业高质量发展；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2.加强现有教师的培训力度，全年培训教师次数不得少于4次，从而提高教师的业务水平和教育教学能力；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3.举办不少于10次各类主题教育，加强学生安全教育，提高学生交通安全、心理健康、事故应急、自护自救等方面的应急自救能力；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4.稳步推进产教融合，本年度争取与3家企业达成产教融合实训基地，为学生提供实习实训场所，提高专业能力；                                                                                                  5.按照中职教育惠民政策，做好学生资助补助工作，确保本学期822名在籍在校学生全覆盖享受免学费资助政策，从而减轻学生经济负担，为国家培养一批优秀的技能型人才；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6.确保</w:t>
            </w:r>
            <w:r>
              <w:rPr>
                <w:rFonts w:hint="eastAsia" w:ascii="宋体" w:hAnsi="宋体"/>
                <w:sz w:val="16"/>
                <w:lang w:eastAsia="zh-CN"/>
              </w:rPr>
              <w:t>一、二年级</w:t>
            </w:r>
            <w:r>
              <w:rPr>
                <w:rFonts w:ascii="宋体" w:hAnsi="宋体" w:eastAsia="宋体"/>
                <w:sz w:val="16"/>
              </w:rPr>
              <w:t>在籍在校105名学生享受发放助学金，使家庭经济困难学生感受到国家带去的温暖，使教育公平显著提升；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7.全覆盖实施免学费资助政策，为在籍在校学生免除学费，提升教育公平；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8.按20%的比例为学生发放助学金，减轻学生的家庭经济负担；培养更多高素质技术技能人才，提升学校办学质量。</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505EF4">
            <w:pPr>
              <w:jc w:val="both"/>
            </w:pPr>
            <w:r>
              <w:rPr>
                <w:rFonts w:ascii="宋体" w:hAnsi="宋体" w:eastAsia="宋体"/>
                <w:sz w:val="16"/>
              </w:rPr>
              <w:t>本项目为落实中等职业学校和技工学校教育资助惠民政策，努力提升职业教育能力，提高职业教育发展水平，促进职业教育更好</w:t>
            </w:r>
            <w:r>
              <w:rPr>
                <w:rFonts w:hint="eastAsia" w:ascii="宋体" w:hAnsi="宋体"/>
                <w:sz w:val="16"/>
                <w:lang w:eastAsia="zh-CN"/>
              </w:rPr>
              <w:t>地</w:t>
            </w:r>
            <w:r>
              <w:rPr>
                <w:rFonts w:ascii="宋体" w:hAnsi="宋体" w:eastAsia="宋体"/>
                <w:sz w:val="16"/>
              </w:rPr>
              <w:t>服务学生，2024年已完成：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1.已达到“双师型”教师占比20%，使职业教育体系现代化，切实增强职业教育的适应性；</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2.已完成全年教师培训次数4次</w:t>
            </w:r>
            <w:r>
              <w:rPr>
                <w:rFonts w:hint="eastAsia" w:ascii="宋体" w:hAnsi="宋体"/>
                <w:sz w:val="16"/>
                <w:lang w:eastAsia="zh-CN"/>
              </w:rPr>
              <w:t>，</w:t>
            </w:r>
            <w:r>
              <w:rPr>
                <w:rFonts w:ascii="宋体" w:hAnsi="宋体" w:eastAsia="宋体"/>
                <w:sz w:val="16"/>
              </w:rPr>
              <w:t>提高了教师队伍的建设及提高了教学质量。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3.已完成举办主题教育10场次，使学生的德智体美劳全面发展，有效提高了师生的思想认识。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4.已完成与3家产教融合实训基地的合作，达到了夯实校企合作基础，切实增强职业教育的适应性；</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5.已完成822名学生免学费资助政策，学生和家长的满意度达到95%，一定程度上减轻了学生家庭经济负担，促进了教育公平，有效提升家长和学生对学生满意度；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6.已完成10名学生的助学金发放工作，满足了家庭经济困难学生的基本生活需求，帮助学生更好</w:t>
            </w:r>
            <w:r>
              <w:rPr>
                <w:rFonts w:hint="eastAsia" w:ascii="宋体" w:hAnsi="宋体"/>
                <w:sz w:val="16"/>
                <w:lang w:eastAsia="zh-CN"/>
              </w:rPr>
              <w:t>地</w:t>
            </w:r>
            <w:r>
              <w:rPr>
                <w:rFonts w:ascii="宋体" w:hAnsi="宋体" w:eastAsia="宋体"/>
                <w:sz w:val="16"/>
              </w:rPr>
              <w:t>完成本年度学业。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7.已达到免学费政策、助学金政策享受覆盖率100%，满足了学生的上学需求</w:t>
            </w:r>
            <w:r>
              <w:rPr>
                <w:rFonts w:hint="eastAsia" w:ascii="宋体" w:hAnsi="宋体"/>
                <w:sz w:val="16"/>
                <w:lang w:eastAsia="zh-CN"/>
              </w:rPr>
              <w:t>，</w:t>
            </w:r>
            <w:r>
              <w:rPr>
                <w:rFonts w:ascii="宋体" w:hAnsi="宋体" w:eastAsia="宋体"/>
                <w:sz w:val="16"/>
              </w:rPr>
              <w:t>有效提升了建设技能型社会的脚步。</w:t>
            </w:r>
          </w:p>
        </w:tc>
      </w:tr>
      <w:tr w14:paraId="0FA447E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1D65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288B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8107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6AD7A">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7B57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BBFE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2AC5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4A1C0">
            <w:pPr>
              <w:jc w:val="center"/>
            </w:pPr>
            <w:r>
              <w:rPr>
                <w:rFonts w:ascii="宋体" w:hAnsi="宋体" w:eastAsia="宋体"/>
                <w:sz w:val="16"/>
              </w:rPr>
              <w:t>得分</w:t>
            </w:r>
          </w:p>
        </w:tc>
      </w:tr>
      <w:tr w14:paraId="1C923A5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3DE8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2754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3710A3">
            <w:pPr>
              <w:jc w:val="center"/>
            </w:pPr>
            <w:r>
              <w:rPr>
                <w:rFonts w:ascii="宋体" w:hAnsi="宋体" w:eastAsia="宋体"/>
                <w:sz w:val="16"/>
              </w:rPr>
              <w:t>“双师型”教师占比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6B92C">
            <w:pPr>
              <w:jc w:val="center"/>
            </w:pPr>
            <w:r>
              <w:rPr>
                <w:rFonts w:ascii="宋体" w:hAnsi="宋体" w:eastAsia="宋体"/>
                <w:sz w:val="16"/>
              </w:rPr>
              <w:t>&gt;=20%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B8ED8">
            <w:pPr>
              <w:jc w:val="center"/>
            </w:pPr>
            <w:r>
              <w:rPr>
                <w:rFonts w:ascii="宋体" w:hAnsi="宋体" w:eastAsia="宋体"/>
                <w:sz w:val="16"/>
              </w:rPr>
              <w:t>轮台县职业技术学校2024年工作计划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EF49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8AA1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B41E2">
            <w:pPr>
              <w:jc w:val="center"/>
            </w:pPr>
            <w:r>
              <w:rPr>
                <w:rFonts w:ascii="宋体" w:hAnsi="宋体" w:eastAsia="宋体"/>
                <w:sz w:val="16"/>
              </w:rPr>
              <w:t>10</w:t>
            </w:r>
          </w:p>
        </w:tc>
      </w:tr>
      <w:tr w14:paraId="48F790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66FB8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EE14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E67EF">
            <w:pPr>
              <w:jc w:val="center"/>
            </w:pPr>
            <w:r>
              <w:rPr>
                <w:rFonts w:ascii="宋体" w:hAnsi="宋体" w:eastAsia="宋体"/>
                <w:sz w:val="16"/>
              </w:rPr>
              <w:t>全年培训教师次数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B1DB2">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386EE">
            <w:pPr>
              <w:jc w:val="center"/>
            </w:pPr>
            <w:r>
              <w:rPr>
                <w:rFonts w:ascii="宋体" w:hAnsi="宋体" w:eastAsia="宋体"/>
                <w:sz w:val="16"/>
              </w:rPr>
              <w:t>轮台县职业技术学校2024年工作计划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2C01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FE1C4">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8EE2F">
            <w:pPr>
              <w:jc w:val="center"/>
            </w:pPr>
            <w:r>
              <w:rPr>
                <w:rFonts w:ascii="宋体" w:hAnsi="宋体" w:eastAsia="宋体"/>
                <w:sz w:val="16"/>
              </w:rPr>
              <w:t>10</w:t>
            </w:r>
          </w:p>
        </w:tc>
      </w:tr>
      <w:tr w14:paraId="425904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4B916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D7CB8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2F06E">
            <w:pPr>
              <w:jc w:val="center"/>
            </w:pPr>
            <w:r>
              <w:rPr>
                <w:rFonts w:ascii="宋体" w:hAnsi="宋体" w:eastAsia="宋体"/>
                <w:sz w:val="16"/>
              </w:rPr>
              <w:t>举办主</w:t>
            </w:r>
            <w:bookmarkStart w:id="0" w:name="_GoBack"/>
            <w:r>
              <w:rPr>
                <w:rFonts w:ascii="宋体" w:hAnsi="宋体" w:eastAsia="宋体"/>
                <w:sz w:val="16"/>
              </w:rPr>
              <w:t>题教育活动</w:t>
            </w:r>
            <w:bookmarkEnd w:id="0"/>
            <w:r>
              <w:rPr>
                <w:rFonts w:ascii="宋体" w:hAnsi="宋体" w:eastAsia="宋体"/>
                <w:sz w:val="16"/>
              </w:rPr>
              <w:t>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06D89">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F04E6">
            <w:pPr>
              <w:jc w:val="center"/>
            </w:pPr>
            <w:r>
              <w:rPr>
                <w:rFonts w:ascii="宋体" w:hAnsi="宋体" w:eastAsia="宋体"/>
                <w:sz w:val="16"/>
              </w:rPr>
              <w:t>轮台县职业技术学校2024年工作计划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6A3D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80C8E">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6E480">
            <w:pPr>
              <w:jc w:val="center"/>
            </w:pPr>
            <w:r>
              <w:rPr>
                <w:rFonts w:ascii="宋体" w:hAnsi="宋体" w:eastAsia="宋体"/>
                <w:sz w:val="16"/>
              </w:rPr>
              <w:t>10</w:t>
            </w:r>
          </w:p>
        </w:tc>
      </w:tr>
      <w:tr w14:paraId="5574B0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EA3D9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0358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F5664">
            <w:pPr>
              <w:jc w:val="center"/>
            </w:pPr>
            <w:r>
              <w:rPr>
                <w:rFonts w:ascii="宋体" w:hAnsi="宋体" w:eastAsia="宋体"/>
                <w:sz w:val="16"/>
              </w:rPr>
              <w:t>新建产教融合实训基地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4F3F26">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F28DD">
            <w:pPr>
              <w:jc w:val="center"/>
            </w:pPr>
            <w:r>
              <w:rPr>
                <w:rFonts w:ascii="宋体" w:hAnsi="宋体" w:eastAsia="宋体"/>
                <w:sz w:val="16"/>
              </w:rPr>
              <w:t>轮台县职业技术学校2024年工作计划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EE5D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2621C">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2EC74">
            <w:pPr>
              <w:jc w:val="center"/>
            </w:pPr>
            <w:r>
              <w:rPr>
                <w:rFonts w:ascii="宋体" w:hAnsi="宋体" w:eastAsia="宋体"/>
                <w:sz w:val="16"/>
              </w:rPr>
              <w:t>10</w:t>
            </w:r>
          </w:p>
        </w:tc>
      </w:tr>
      <w:tr w14:paraId="256C41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DD6CA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EA38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29281">
            <w:pPr>
              <w:jc w:val="center"/>
            </w:pPr>
            <w:r>
              <w:rPr>
                <w:rFonts w:ascii="宋体" w:hAnsi="宋体" w:eastAsia="宋体"/>
                <w:sz w:val="16"/>
              </w:rPr>
              <w:t>每学期享受免学费学生人数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C0F5B">
            <w:pPr>
              <w:jc w:val="center"/>
            </w:pPr>
            <w:r>
              <w:rPr>
                <w:rFonts w:ascii="宋体" w:hAnsi="宋体" w:eastAsia="宋体"/>
                <w:sz w:val="16"/>
              </w:rPr>
              <w:t>&gt;=822人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092D0">
            <w:pPr>
              <w:jc w:val="center"/>
            </w:pPr>
            <w:r>
              <w:rPr>
                <w:rFonts w:ascii="宋体" w:hAnsi="宋体" w:eastAsia="宋体"/>
                <w:sz w:val="16"/>
              </w:rPr>
              <w:t>免学费资助政策</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6F09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78DF6">
            <w:pPr>
              <w:jc w:val="center"/>
            </w:pPr>
            <w:r>
              <w:rPr>
                <w:rFonts w:ascii="宋体" w:hAnsi="宋体" w:eastAsia="宋体"/>
                <w:sz w:val="16"/>
              </w:rPr>
              <w:t>822人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21816">
            <w:pPr>
              <w:jc w:val="center"/>
            </w:pPr>
            <w:r>
              <w:rPr>
                <w:rFonts w:ascii="宋体" w:hAnsi="宋体" w:eastAsia="宋体"/>
                <w:sz w:val="16"/>
              </w:rPr>
              <w:t>10</w:t>
            </w:r>
          </w:p>
        </w:tc>
      </w:tr>
      <w:tr w14:paraId="5D3D48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541BA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B667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863E4">
            <w:pPr>
              <w:jc w:val="center"/>
            </w:pPr>
            <w:r>
              <w:rPr>
                <w:rFonts w:ascii="宋体" w:hAnsi="宋体" w:eastAsia="宋体"/>
                <w:sz w:val="16"/>
              </w:rPr>
              <w:t>每学期享受助学金学生人数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0B02D">
            <w:pPr>
              <w:jc w:val="center"/>
            </w:pPr>
            <w:r>
              <w:rPr>
                <w:rFonts w:ascii="宋体" w:hAnsi="宋体" w:eastAsia="宋体"/>
                <w:sz w:val="16"/>
              </w:rPr>
              <w:t>&gt;=105人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03BA5">
            <w:pPr>
              <w:jc w:val="center"/>
            </w:pPr>
            <w:r>
              <w:rPr>
                <w:rFonts w:ascii="宋体" w:hAnsi="宋体" w:eastAsia="宋体"/>
                <w:sz w:val="16"/>
              </w:rPr>
              <w:t>助学金资助政策</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EF4D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59A63">
            <w:pPr>
              <w:jc w:val="center"/>
            </w:pPr>
            <w:r>
              <w:rPr>
                <w:rFonts w:ascii="宋体" w:hAnsi="宋体" w:eastAsia="宋体"/>
                <w:sz w:val="16"/>
              </w:rPr>
              <w:t>143人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C79E8">
            <w:pPr>
              <w:jc w:val="center"/>
            </w:pPr>
            <w:r>
              <w:rPr>
                <w:rFonts w:ascii="宋体" w:hAnsi="宋体" w:eastAsia="宋体"/>
                <w:sz w:val="16"/>
              </w:rPr>
              <w:t>10</w:t>
            </w:r>
          </w:p>
        </w:tc>
      </w:tr>
      <w:tr w14:paraId="495469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7974B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23F4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4ED08">
            <w:pPr>
              <w:jc w:val="center"/>
            </w:pPr>
            <w:r>
              <w:rPr>
                <w:rFonts w:ascii="宋体" w:hAnsi="宋体" w:eastAsia="宋体"/>
                <w:sz w:val="16"/>
              </w:rPr>
              <w:t>免学费政策享受覆盖率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2DA4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50021">
            <w:pPr>
              <w:jc w:val="center"/>
            </w:pPr>
            <w:r>
              <w:rPr>
                <w:rFonts w:ascii="宋体" w:hAnsi="宋体" w:eastAsia="宋体"/>
                <w:sz w:val="16"/>
              </w:rPr>
              <w:t>免学费资助政策</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B67B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800F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DB64A">
            <w:pPr>
              <w:jc w:val="center"/>
            </w:pPr>
            <w:r>
              <w:rPr>
                <w:rFonts w:ascii="宋体" w:hAnsi="宋体" w:eastAsia="宋体"/>
                <w:sz w:val="16"/>
              </w:rPr>
              <w:t>10</w:t>
            </w:r>
          </w:p>
        </w:tc>
      </w:tr>
      <w:tr w14:paraId="59C56A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9FEC6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8BE4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46AB1">
            <w:pPr>
              <w:jc w:val="center"/>
            </w:pPr>
            <w:r>
              <w:rPr>
                <w:rFonts w:ascii="宋体" w:hAnsi="宋体" w:eastAsia="宋体"/>
                <w:sz w:val="16"/>
              </w:rPr>
              <w:t>助学金政策享受覆盖率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A00C9">
            <w:pPr>
              <w:jc w:val="center"/>
            </w:pPr>
            <w:r>
              <w:rPr>
                <w:rFonts w:ascii="宋体" w:hAnsi="宋体" w:eastAsia="宋体"/>
                <w:sz w:val="16"/>
              </w:rPr>
              <w:t>&gt;=20%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B386D">
            <w:pPr>
              <w:jc w:val="center"/>
            </w:pPr>
            <w:r>
              <w:rPr>
                <w:rFonts w:ascii="宋体" w:hAnsi="宋体" w:eastAsia="宋体"/>
                <w:sz w:val="16"/>
              </w:rPr>
              <w:t>助学金资助政策</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45E2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2613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7257A">
            <w:pPr>
              <w:jc w:val="center"/>
            </w:pPr>
            <w:r>
              <w:rPr>
                <w:rFonts w:ascii="宋体" w:hAnsi="宋体" w:eastAsia="宋体"/>
                <w:sz w:val="16"/>
              </w:rPr>
              <w:t>10</w:t>
            </w:r>
          </w:p>
        </w:tc>
      </w:tr>
      <w:tr w14:paraId="6EF6782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ECAB9">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DC7A4">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7C64A">
            <w:pPr>
              <w:jc w:val="center"/>
            </w:pPr>
            <w:r>
              <w:rPr>
                <w:rFonts w:ascii="宋体" w:hAnsi="宋体" w:eastAsia="宋体"/>
                <w:sz w:val="16"/>
              </w:rPr>
              <w:t>学生及家长满意度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7DFBC">
            <w:pPr>
              <w:jc w:val="center"/>
            </w:pPr>
            <w:r>
              <w:rPr>
                <w:rFonts w:ascii="宋体" w:hAnsi="宋体" w:eastAsia="宋体"/>
                <w:sz w:val="16"/>
              </w:rPr>
              <w:t>&gt;=96%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5E3B3">
            <w:pPr>
              <w:jc w:val="center"/>
            </w:pPr>
            <w:r>
              <w:rPr>
                <w:rFonts w:ascii="宋体" w:hAnsi="宋体" w:eastAsia="宋体"/>
                <w:sz w:val="16"/>
              </w:rPr>
              <w:t>轮台县职业技术学校2024年工作计划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4F81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528D6">
            <w:pPr>
              <w:jc w:val="center"/>
            </w:pPr>
            <w:r>
              <w:rPr>
                <w:rFonts w:ascii="宋体" w:hAnsi="宋体" w:eastAsia="宋体"/>
                <w:sz w:val="16"/>
              </w:rPr>
              <w: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36540">
            <w:pPr>
              <w:jc w:val="center"/>
            </w:pPr>
            <w:r>
              <w:rPr>
                <w:rFonts w:ascii="宋体" w:hAnsi="宋体" w:eastAsia="宋体"/>
                <w:sz w:val="16"/>
              </w:rPr>
              <w:t>10</w:t>
            </w:r>
          </w:p>
        </w:tc>
      </w:tr>
    </w:tbl>
    <w:p w14:paraId="4032E7F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A3D5A32">
        <w:tblPrEx>
          <w:tblCellMar>
            <w:top w:w="0" w:type="dxa"/>
            <w:left w:w="108" w:type="dxa"/>
            <w:bottom w:w="0" w:type="dxa"/>
            <w:right w:w="108" w:type="dxa"/>
          </w:tblCellMar>
        </w:tblPrEx>
        <w:tc>
          <w:tcPr>
            <w:tcW w:w="8848" w:type="dxa"/>
            <w:gridSpan w:val="14"/>
            <w:vAlign w:val="center"/>
          </w:tcPr>
          <w:p w14:paraId="0B4707F7">
            <w:pPr>
              <w:jc w:val="center"/>
            </w:pPr>
            <w:r>
              <w:rPr>
                <w:rFonts w:ascii="宋体" w:hAnsi="宋体" w:eastAsia="宋体"/>
                <w:sz w:val="24"/>
              </w:rPr>
              <w:t>项目支出绩效自评表</w:t>
            </w:r>
          </w:p>
        </w:tc>
      </w:tr>
      <w:tr w14:paraId="27836E93">
        <w:tblPrEx>
          <w:tblCellMar>
            <w:top w:w="0" w:type="dxa"/>
            <w:left w:w="108" w:type="dxa"/>
            <w:bottom w:w="0" w:type="dxa"/>
            <w:right w:w="108" w:type="dxa"/>
          </w:tblCellMar>
        </w:tblPrEx>
        <w:tc>
          <w:tcPr>
            <w:tcW w:w="8848" w:type="dxa"/>
            <w:gridSpan w:val="14"/>
            <w:vAlign w:val="center"/>
          </w:tcPr>
          <w:p w14:paraId="6AFC7460">
            <w:pPr>
              <w:jc w:val="center"/>
            </w:pPr>
            <w:r>
              <w:rPr>
                <w:rFonts w:ascii="宋体" w:hAnsi="宋体" w:eastAsia="宋体"/>
                <w:sz w:val="24"/>
              </w:rPr>
              <w:t>(2024年度)</w:t>
            </w:r>
          </w:p>
        </w:tc>
      </w:tr>
      <w:tr w14:paraId="7CF7E2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44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4CD53F">
            <w:pPr>
              <w:jc w:val="center"/>
            </w:pPr>
            <w:r>
              <w:rPr>
                <w:rFonts w:ascii="宋体" w:hAnsi="宋体" w:eastAsia="宋体"/>
                <w:sz w:val="16"/>
              </w:rPr>
              <w:t>巴财教</w:t>
            </w:r>
            <w:r>
              <w:rPr>
                <w:rFonts w:hint="eastAsia" w:ascii="宋体" w:hAnsi="宋体"/>
                <w:sz w:val="16"/>
                <w:lang w:eastAsia="zh-CN"/>
              </w:rPr>
              <w:t>〔2024〕14号</w:t>
            </w:r>
            <w:r>
              <w:rPr>
                <w:rFonts w:ascii="宋体" w:hAnsi="宋体" w:eastAsia="宋体"/>
                <w:sz w:val="16"/>
              </w:rPr>
              <w:t>关于下达2024年学生资助补助经费预算[第二批]中央直达资金的通知（中等职业-国家奖学金）</w:t>
            </w:r>
          </w:p>
        </w:tc>
      </w:tr>
      <w:tr w14:paraId="284896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42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6DADEB">
            <w:pPr>
              <w:jc w:val="center"/>
            </w:pPr>
            <w:r>
              <w:rPr>
                <w:rFonts w:ascii="宋体" w:hAnsi="宋体" w:eastAsia="宋体"/>
                <w:sz w:val="16"/>
              </w:rPr>
              <w:t>轮台县职业技术学校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16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3E207B">
            <w:pPr>
              <w:jc w:val="center"/>
            </w:pPr>
            <w:r>
              <w:rPr>
                <w:rFonts w:ascii="宋体" w:hAnsi="宋体" w:eastAsia="宋体"/>
                <w:sz w:val="16"/>
              </w:rPr>
              <w:t>轮台县职业技术学校</w:t>
            </w:r>
          </w:p>
        </w:tc>
      </w:tr>
      <w:tr w14:paraId="77D4A4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B312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A33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9B5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B95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32F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B424F">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553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33F3">
            <w:pPr>
              <w:jc w:val="center"/>
            </w:pPr>
            <w:r>
              <w:rPr>
                <w:rFonts w:ascii="宋体" w:hAnsi="宋体" w:eastAsia="宋体"/>
                <w:sz w:val="16"/>
              </w:rPr>
              <w:t>得分</w:t>
            </w:r>
          </w:p>
        </w:tc>
      </w:tr>
      <w:tr w14:paraId="54E6F6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3CE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8E3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5D3FA">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7DB68">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F64AC">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F96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7CF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340F">
            <w:pPr>
              <w:jc w:val="center"/>
            </w:pPr>
            <w:r>
              <w:rPr>
                <w:rFonts w:ascii="宋体" w:hAnsi="宋体" w:eastAsia="宋体"/>
                <w:sz w:val="16"/>
              </w:rPr>
              <w:t>10.00</w:t>
            </w:r>
          </w:p>
        </w:tc>
      </w:tr>
      <w:tr w14:paraId="136BF6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D1D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B21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73244">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7873A">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82ED4">
            <w:pPr>
              <w:jc w:val="center"/>
            </w:pPr>
            <w:r>
              <w:rPr>
                <w:rFonts w:ascii="宋体" w:hAnsi="宋体" w:eastAsia="宋体"/>
                <w:sz w:val="16"/>
              </w:rPr>
              <w:t>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4DD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C84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ED9B7">
            <w:pPr>
              <w:jc w:val="center"/>
            </w:pPr>
            <w:r>
              <w:rPr>
                <w:rFonts w:ascii="宋体" w:hAnsi="宋体" w:eastAsia="宋体"/>
                <w:sz w:val="16"/>
              </w:rPr>
              <w:t>-</w:t>
            </w:r>
          </w:p>
        </w:tc>
      </w:tr>
      <w:tr w14:paraId="36E32D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B8B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0DD36">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4BB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595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663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513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509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17D4">
            <w:pPr>
              <w:jc w:val="center"/>
            </w:pPr>
            <w:r>
              <w:rPr>
                <w:rFonts w:ascii="宋体" w:hAnsi="宋体" w:eastAsia="宋体"/>
                <w:sz w:val="16"/>
              </w:rPr>
              <w:t>-</w:t>
            </w:r>
          </w:p>
        </w:tc>
      </w:tr>
      <w:tr w14:paraId="26410C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E055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F1A97D">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0B2B12">
            <w:pPr>
              <w:jc w:val="center"/>
            </w:pPr>
            <w:r>
              <w:rPr>
                <w:rFonts w:ascii="宋体" w:hAnsi="宋体" w:eastAsia="宋体"/>
                <w:sz w:val="16"/>
              </w:rPr>
              <w:t>总体目标完成情况</w:t>
            </w:r>
          </w:p>
        </w:tc>
      </w:tr>
      <w:tr w14:paraId="1DBDE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7F8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3C24ED">
            <w:pPr>
              <w:jc w:val="both"/>
            </w:pPr>
            <w:r>
              <w:rPr>
                <w:rFonts w:ascii="宋体" w:hAnsi="宋体" w:eastAsia="宋体"/>
                <w:sz w:val="16"/>
              </w:rPr>
              <w:t>根据《财政部教育部人力资源和社会保障部关于调整高等教育阶段和高中阶段国家奖助学金政策的通知财</w:t>
            </w:r>
            <w:r>
              <w:rPr>
                <w:rFonts w:hint="eastAsia" w:ascii="宋体" w:hAnsi="宋体"/>
                <w:sz w:val="16"/>
                <w:lang w:eastAsia="zh-CN"/>
              </w:rPr>
              <w:t>〔2024〕181号</w:t>
            </w:r>
            <w:r>
              <w:rPr>
                <w:rFonts w:ascii="宋体" w:hAnsi="宋体" w:eastAsia="宋体"/>
                <w:sz w:val="16"/>
              </w:rPr>
              <w:t xml:space="preserve">》文件要求 ，为落实承担教育教学与学生资助管理的单位职能：                                                                                                                               </w:t>
            </w:r>
            <w:r>
              <w:rPr>
                <w:rFonts w:ascii="宋体" w:hAnsi="宋体" w:eastAsia="宋体"/>
                <w:sz w:val="16"/>
              </w:rPr>
              <w:br w:type="textWrapping"/>
            </w:r>
            <w:r>
              <w:rPr>
                <w:rFonts w:ascii="宋体" w:hAnsi="宋体" w:eastAsia="宋体"/>
                <w:sz w:val="16"/>
              </w:rPr>
              <w:t>目标1：落实中等职业学校和技工学校助学金政策，使教育公平显著提升，确保不少于1名学生享受中等职业学校奖学金，满足家庭经济困难学生基本生活需求，帮助学生更好</w:t>
            </w:r>
            <w:r>
              <w:rPr>
                <w:rFonts w:hint="eastAsia" w:ascii="宋体" w:hAnsi="宋体"/>
                <w:sz w:val="16"/>
                <w:lang w:eastAsia="zh-CN"/>
              </w:rPr>
              <w:t>地</w:t>
            </w:r>
            <w:r>
              <w:rPr>
                <w:rFonts w:ascii="宋体" w:hAnsi="宋体" w:eastAsia="宋体"/>
                <w:sz w:val="16"/>
              </w:rPr>
              <w:t>完成学业。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48B413">
            <w:pPr>
              <w:jc w:val="both"/>
            </w:pPr>
            <w:r>
              <w:rPr>
                <w:rFonts w:hint="eastAsia" w:ascii="宋体" w:hAnsi="宋体"/>
                <w:sz w:val="16"/>
                <w:lang w:eastAsia="zh-CN"/>
              </w:rPr>
              <w:t>本单位</w:t>
            </w:r>
            <w:r>
              <w:rPr>
                <w:rFonts w:ascii="宋体" w:hAnsi="宋体" w:eastAsia="宋体"/>
                <w:sz w:val="16"/>
              </w:rPr>
              <w:t>本年度严格执行《财政部教育部人力资源和社会保障部关于调整高等教育阶段和高中阶段国家奖助学金政策的通知财</w:t>
            </w:r>
            <w:r>
              <w:rPr>
                <w:rFonts w:hint="eastAsia" w:ascii="宋体" w:hAnsi="宋体"/>
                <w:sz w:val="16"/>
                <w:lang w:eastAsia="zh-CN"/>
              </w:rPr>
              <w:t>〔2024〕181号</w:t>
            </w:r>
            <w:r>
              <w:rPr>
                <w:rFonts w:ascii="宋体" w:hAnsi="宋体" w:eastAsia="宋体"/>
                <w:sz w:val="16"/>
              </w:rPr>
              <w:t>》政策文件，已完成确保1名学生享受中等职业学校奖学金；满足了家庭经济困难学生基本生活需求，帮助了学生更好</w:t>
            </w:r>
            <w:r>
              <w:rPr>
                <w:rFonts w:hint="eastAsia" w:ascii="宋体" w:hAnsi="宋体"/>
                <w:sz w:val="16"/>
                <w:lang w:eastAsia="zh-CN"/>
              </w:rPr>
              <w:t>地</w:t>
            </w:r>
            <w:r>
              <w:rPr>
                <w:rFonts w:ascii="宋体" w:hAnsi="宋体" w:eastAsia="宋体"/>
                <w:sz w:val="16"/>
              </w:rPr>
              <w:t>完成学业。</w:t>
            </w:r>
            <w:r>
              <w:rPr>
                <w:rFonts w:ascii="宋体" w:hAnsi="宋体" w:eastAsia="宋体"/>
                <w:sz w:val="16"/>
              </w:rPr>
              <w:br w:type="textWrapping"/>
            </w:r>
          </w:p>
        </w:tc>
      </w:tr>
      <w:tr w14:paraId="4E4B8A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D96F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44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36B4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81E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D65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D8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152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A4BB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1AF1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64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078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224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1F7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BCEF">
            <w:pPr>
              <w:jc w:val="center"/>
            </w:pPr>
            <w:r>
              <w:rPr>
                <w:rFonts w:ascii="宋体" w:hAnsi="宋体" w:eastAsia="宋体"/>
                <w:sz w:val="16"/>
              </w:rPr>
              <w:t>偏差原因分析及改进措施</w:t>
            </w:r>
          </w:p>
        </w:tc>
      </w:tr>
      <w:tr w14:paraId="46C30D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A82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92CA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F25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79FC">
            <w:pPr>
              <w:jc w:val="center"/>
            </w:pPr>
            <w:r>
              <w:rPr>
                <w:rFonts w:ascii="宋体" w:hAnsi="宋体" w:eastAsia="宋体"/>
                <w:sz w:val="16"/>
              </w:rPr>
              <w:t>享受奖学金补助学生数量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54C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8A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16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D56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D9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0CF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594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54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FD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369A1">
            <w:pPr>
              <w:jc w:val="center"/>
            </w:pPr>
          </w:p>
        </w:tc>
      </w:tr>
      <w:tr w14:paraId="0A7DD6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859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E9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C7F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5FF0">
            <w:pPr>
              <w:jc w:val="center"/>
            </w:pPr>
            <w:r>
              <w:rPr>
                <w:rFonts w:ascii="宋体" w:hAnsi="宋体" w:eastAsia="宋体"/>
                <w:sz w:val="16"/>
              </w:rPr>
              <w:t>中职、技工国家助学金补助准确率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58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C7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0B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3C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12D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31D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0D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A3C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E9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1B9B">
            <w:pPr>
              <w:jc w:val="center"/>
            </w:pPr>
          </w:p>
        </w:tc>
      </w:tr>
      <w:tr w14:paraId="33DC0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4DC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6D4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48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0D73D">
            <w:pPr>
              <w:jc w:val="center"/>
            </w:pPr>
            <w:r>
              <w:rPr>
                <w:rFonts w:ascii="宋体" w:hAnsi="宋体" w:eastAsia="宋体"/>
                <w:sz w:val="16"/>
              </w:rPr>
              <w:t>助学金资金按规定及时发放率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35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93E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B03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CA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B4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D6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657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66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76E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03DF">
            <w:pPr>
              <w:jc w:val="center"/>
            </w:pPr>
          </w:p>
        </w:tc>
      </w:tr>
      <w:tr w14:paraId="44DAB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54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BD92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9EE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5E53">
            <w:pPr>
              <w:jc w:val="center"/>
            </w:pPr>
            <w:r>
              <w:rPr>
                <w:rFonts w:ascii="宋体" w:hAnsi="宋体" w:eastAsia="宋体"/>
                <w:sz w:val="16"/>
              </w:rPr>
              <w:t>助学金资助政策标准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31DD">
            <w:pPr>
              <w:jc w:val="center"/>
            </w:pPr>
            <w:r>
              <w:rPr>
                <w:rFonts w:ascii="宋体" w:hAnsi="宋体" w:eastAsia="宋体"/>
                <w:sz w:val="16"/>
              </w:rPr>
              <w:t>=6000元/人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47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EAA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46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05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03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9C43">
            <w:pPr>
              <w:jc w:val="center"/>
            </w:pPr>
            <w:r>
              <w:rPr>
                <w:rFonts w:ascii="宋体" w:hAnsi="宋体" w:eastAsia="宋体"/>
                <w:sz w:val="16"/>
              </w:rPr>
              <w:t>=6000元/人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D1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4D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9433">
            <w:pPr>
              <w:jc w:val="center"/>
            </w:pPr>
          </w:p>
        </w:tc>
      </w:tr>
      <w:tr w14:paraId="39AC4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50E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CC34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F2CA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D2523">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D1E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55B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B7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B5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35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5EA5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6CD7">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CD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05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A05D">
            <w:pPr>
              <w:jc w:val="center"/>
            </w:pPr>
          </w:p>
        </w:tc>
      </w:tr>
      <w:tr w14:paraId="60C50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59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DB2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C0D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04B9">
            <w:pPr>
              <w:jc w:val="center"/>
            </w:pPr>
            <w:r>
              <w:rPr>
                <w:rFonts w:ascii="宋体" w:hAnsi="宋体" w:eastAsia="宋体"/>
                <w:sz w:val="16"/>
              </w:rPr>
              <w:t>使教育公平显著提升，提升家长、学生幸福感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21F9">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F4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C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95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DB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998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7935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136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CB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ACC3">
            <w:pPr>
              <w:jc w:val="center"/>
            </w:pPr>
          </w:p>
        </w:tc>
      </w:tr>
      <w:tr w14:paraId="59721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3F3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89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A21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0ECD">
            <w:pPr>
              <w:jc w:val="center"/>
            </w:pPr>
            <w:r>
              <w:rPr>
                <w:rFonts w:ascii="宋体" w:hAnsi="宋体" w:eastAsia="宋体"/>
                <w:sz w:val="16"/>
              </w:rPr>
              <w:t>家长、学生满意度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01A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B4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7B1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F3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1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6D2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E33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F4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90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873C">
            <w:pPr>
              <w:jc w:val="center"/>
            </w:pPr>
          </w:p>
        </w:tc>
      </w:tr>
      <w:tr w14:paraId="2CCAEC1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28FA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172B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5C22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5D27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DF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25FB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2ED6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B7CC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D8A7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54E9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2A540C"/>
        </w:tc>
      </w:tr>
    </w:tbl>
    <w:p w14:paraId="4BF6D14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25670FC">
        <w:tblPrEx>
          <w:tblCellMar>
            <w:top w:w="0" w:type="dxa"/>
            <w:left w:w="108" w:type="dxa"/>
            <w:bottom w:w="0" w:type="dxa"/>
            <w:right w:w="108" w:type="dxa"/>
          </w:tblCellMar>
        </w:tblPrEx>
        <w:tc>
          <w:tcPr>
            <w:tcW w:w="8848" w:type="dxa"/>
            <w:gridSpan w:val="14"/>
            <w:vAlign w:val="center"/>
          </w:tcPr>
          <w:p w14:paraId="6AC75B91">
            <w:pPr>
              <w:jc w:val="center"/>
            </w:pPr>
            <w:r>
              <w:rPr>
                <w:rFonts w:ascii="宋体" w:hAnsi="宋体" w:eastAsia="宋体"/>
                <w:sz w:val="24"/>
              </w:rPr>
              <w:t>项目支出绩效自评表</w:t>
            </w:r>
          </w:p>
        </w:tc>
      </w:tr>
      <w:tr w14:paraId="5276A288">
        <w:tblPrEx>
          <w:tblCellMar>
            <w:top w:w="0" w:type="dxa"/>
            <w:left w:w="108" w:type="dxa"/>
            <w:bottom w:w="0" w:type="dxa"/>
            <w:right w:w="108" w:type="dxa"/>
          </w:tblCellMar>
        </w:tblPrEx>
        <w:tc>
          <w:tcPr>
            <w:tcW w:w="8848" w:type="dxa"/>
            <w:gridSpan w:val="14"/>
            <w:vAlign w:val="center"/>
          </w:tcPr>
          <w:p w14:paraId="75CE84F6">
            <w:pPr>
              <w:jc w:val="center"/>
            </w:pPr>
            <w:r>
              <w:rPr>
                <w:rFonts w:ascii="宋体" w:hAnsi="宋体" w:eastAsia="宋体"/>
                <w:sz w:val="24"/>
              </w:rPr>
              <w:t>(2024年度)</w:t>
            </w:r>
          </w:p>
        </w:tc>
      </w:tr>
      <w:tr w14:paraId="327268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3B6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1A047C">
            <w:pPr>
              <w:jc w:val="center"/>
            </w:pPr>
            <w:r>
              <w:rPr>
                <w:rFonts w:ascii="宋体" w:hAnsi="宋体" w:eastAsia="宋体"/>
                <w:sz w:val="16"/>
              </w:rPr>
              <w:t>职业中学：巴财教</w:t>
            </w:r>
            <w:r>
              <w:rPr>
                <w:rFonts w:hint="eastAsia" w:ascii="宋体" w:hAnsi="宋体"/>
                <w:sz w:val="16"/>
                <w:lang w:eastAsia="zh-CN"/>
              </w:rPr>
              <w:t>〔2024〕14号</w:t>
            </w:r>
            <w:r>
              <w:rPr>
                <w:rFonts w:ascii="宋体" w:hAnsi="宋体" w:eastAsia="宋体"/>
                <w:sz w:val="16"/>
              </w:rPr>
              <w:t>关于下达2024年学生资助补助经费预算[第二批]中央直达资金的通知--中央学生资助[中等职业-助学金]、职业中学：巴财教</w:t>
            </w:r>
            <w:r>
              <w:rPr>
                <w:rFonts w:hint="eastAsia" w:ascii="宋体" w:hAnsi="宋体"/>
                <w:sz w:val="16"/>
                <w:lang w:eastAsia="zh-CN"/>
              </w:rPr>
              <w:t>〔2023〕73号</w:t>
            </w:r>
            <w:r>
              <w:rPr>
                <w:rFonts w:ascii="宋体" w:hAnsi="宋体" w:eastAsia="宋体"/>
                <w:sz w:val="16"/>
              </w:rPr>
              <w:t>关于提前下达2024年学生资助补助经费预算[自治区直达资金]的通知（中等职业-助学金）</w:t>
            </w:r>
          </w:p>
        </w:tc>
      </w:tr>
      <w:tr w14:paraId="5CD466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A3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3A4360">
            <w:pPr>
              <w:jc w:val="center"/>
            </w:pPr>
            <w:r>
              <w:rPr>
                <w:rFonts w:ascii="宋体" w:hAnsi="宋体" w:eastAsia="宋体"/>
                <w:sz w:val="16"/>
              </w:rPr>
              <w:t>轮台县职业技术学校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79F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C5438A">
            <w:pPr>
              <w:jc w:val="center"/>
            </w:pPr>
            <w:r>
              <w:rPr>
                <w:rFonts w:ascii="宋体" w:hAnsi="宋体" w:eastAsia="宋体"/>
                <w:sz w:val="16"/>
              </w:rPr>
              <w:t>轮台县职业技术学校</w:t>
            </w:r>
          </w:p>
        </w:tc>
      </w:tr>
      <w:tr w14:paraId="13369B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BE85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81A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DE7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80F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9EB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ECE5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35A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B9F4">
            <w:pPr>
              <w:jc w:val="center"/>
            </w:pPr>
            <w:r>
              <w:rPr>
                <w:rFonts w:ascii="宋体" w:hAnsi="宋体" w:eastAsia="宋体"/>
                <w:sz w:val="16"/>
              </w:rPr>
              <w:t>得分</w:t>
            </w:r>
          </w:p>
        </w:tc>
      </w:tr>
      <w:tr w14:paraId="4960D9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70F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555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5DD9E">
            <w:pPr>
              <w:jc w:val="center"/>
            </w:pPr>
            <w:r>
              <w:rPr>
                <w:rFonts w:ascii="宋体" w:hAnsi="宋体" w:eastAsia="宋体"/>
                <w:sz w:val="16"/>
              </w:rPr>
              <w:t>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53F1C">
            <w:pPr>
              <w:jc w:val="center"/>
            </w:pPr>
            <w:r>
              <w:rPr>
                <w:rFonts w:ascii="宋体" w:hAnsi="宋体" w:eastAsia="宋体"/>
                <w:sz w:val="16"/>
              </w:rPr>
              <w:t>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87A47">
            <w:pPr>
              <w:jc w:val="center"/>
            </w:pPr>
            <w:r>
              <w:rPr>
                <w:rFonts w:ascii="宋体" w:hAnsi="宋体" w:eastAsia="宋体"/>
                <w:sz w:val="16"/>
              </w:rPr>
              <w:t>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25C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BE2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99DF">
            <w:pPr>
              <w:jc w:val="center"/>
            </w:pPr>
            <w:r>
              <w:rPr>
                <w:rFonts w:ascii="宋体" w:hAnsi="宋体" w:eastAsia="宋体"/>
                <w:sz w:val="16"/>
              </w:rPr>
              <w:t>10.00</w:t>
            </w:r>
          </w:p>
        </w:tc>
      </w:tr>
      <w:tr w14:paraId="15EB54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E0B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943E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CE9BD">
            <w:pPr>
              <w:jc w:val="center"/>
            </w:pPr>
            <w:r>
              <w:rPr>
                <w:rFonts w:ascii="宋体" w:hAnsi="宋体" w:eastAsia="宋体"/>
                <w:sz w:val="16"/>
              </w:rPr>
              <w:t>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90644">
            <w:pPr>
              <w:jc w:val="center"/>
            </w:pPr>
            <w:r>
              <w:rPr>
                <w:rFonts w:ascii="宋体" w:hAnsi="宋体" w:eastAsia="宋体"/>
                <w:sz w:val="16"/>
              </w:rPr>
              <w:t>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270F6">
            <w:pPr>
              <w:jc w:val="center"/>
            </w:pPr>
            <w:r>
              <w:rPr>
                <w:rFonts w:ascii="宋体" w:hAnsi="宋体" w:eastAsia="宋体"/>
                <w:sz w:val="16"/>
              </w:rPr>
              <w:t>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41C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959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218A4">
            <w:pPr>
              <w:jc w:val="center"/>
            </w:pPr>
            <w:r>
              <w:rPr>
                <w:rFonts w:ascii="宋体" w:hAnsi="宋体" w:eastAsia="宋体"/>
                <w:sz w:val="16"/>
              </w:rPr>
              <w:t>-</w:t>
            </w:r>
          </w:p>
        </w:tc>
      </w:tr>
      <w:tr w14:paraId="1D685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7E9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BE1FD">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8DF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28B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1EC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4AA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ADF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509CE">
            <w:pPr>
              <w:jc w:val="center"/>
            </w:pPr>
            <w:r>
              <w:rPr>
                <w:rFonts w:ascii="宋体" w:hAnsi="宋体" w:eastAsia="宋体"/>
                <w:sz w:val="16"/>
              </w:rPr>
              <w:t>-</w:t>
            </w:r>
          </w:p>
        </w:tc>
      </w:tr>
      <w:tr w14:paraId="686D14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89EE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FF42F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DCF289">
            <w:pPr>
              <w:jc w:val="center"/>
            </w:pPr>
            <w:r>
              <w:rPr>
                <w:rFonts w:ascii="宋体" w:hAnsi="宋体" w:eastAsia="宋体"/>
                <w:sz w:val="16"/>
              </w:rPr>
              <w:t>总体目标完成情况</w:t>
            </w:r>
          </w:p>
        </w:tc>
      </w:tr>
      <w:tr w14:paraId="02B48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41A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DEBFD1">
            <w:pPr>
              <w:jc w:val="both"/>
            </w:pPr>
            <w:r>
              <w:rPr>
                <w:rFonts w:ascii="宋体" w:hAnsi="宋体" w:eastAsia="宋体"/>
                <w:sz w:val="16"/>
              </w:rPr>
              <w:t>根据《财政部教育部人力资源和社会保障部关于调整高等教育阶段和高中阶段国家奖助学金政策的通知财</w:t>
            </w:r>
            <w:r>
              <w:rPr>
                <w:rFonts w:hint="eastAsia" w:ascii="宋体" w:hAnsi="宋体"/>
                <w:sz w:val="16"/>
                <w:lang w:eastAsia="zh-CN"/>
              </w:rPr>
              <w:t>〔2024〕181号</w:t>
            </w:r>
            <w:r>
              <w:rPr>
                <w:rFonts w:ascii="宋体" w:hAnsi="宋体" w:eastAsia="宋体"/>
                <w:sz w:val="16"/>
              </w:rPr>
              <w:t xml:space="preserve">》文件要求 ，为落实承担教育教学与学生资助管理的单位职能：                                                                                                                               </w:t>
            </w:r>
            <w:r>
              <w:rPr>
                <w:rFonts w:ascii="宋体" w:hAnsi="宋体" w:eastAsia="宋体"/>
                <w:sz w:val="16"/>
              </w:rPr>
              <w:br w:type="textWrapping"/>
            </w:r>
            <w:r>
              <w:rPr>
                <w:rFonts w:ascii="宋体" w:hAnsi="宋体" w:eastAsia="宋体"/>
                <w:sz w:val="16"/>
              </w:rPr>
              <w:t>目标1：落实中等职业学校和技工学校助学金政策，使教育公平显著提升，确保不少于31名学生享受中等职业学校助学金，满足家庭经济困难学生基本生活需求，帮助学生更好</w:t>
            </w:r>
            <w:r>
              <w:rPr>
                <w:rFonts w:hint="eastAsia" w:ascii="宋体" w:hAnsi="宋体"/>
                <w:sz w:val="16"/>
                <w:lang w:eastAsia="zh-CN"/>
              </w:rPr>
              <w:t>地</w:t>
            </w:r>
            <w:r>
              <w:rPr>
                <w:rFonts w:ascii="宋体" w:hAnsi="宋体" w:eastAsia="宋体"/>
                <w:sz w:val="16"/>
              </w:rPr>
              <w:t>完成学业。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4EFBF4">
            <w:pPr>
              <w:jc w:val="both"/>
            </w:pPr>
            <w:r>
              <w:rPr>
                <w:rFonts w:hint="eastAsia" w:ascii="宋体" w:hAnsi="宋体"/>
                <w:sz w:val="16"/>
                <w:lang w:eastAsia="zh-CN"/>
              </w:rPr>
              <w:t>本单位</w:t>
            </w:r>
            <w:r>
              <w:rPr>
                <w:rFonts w:ascii="宋体" w:hAnsi="宋体" w:eastAsia="宋体"/>
                <w:sz w:val="16"/>
              </w:rPr>
              <w:t>本年度严格执行《财政部教育部人力资源和社会保障部关于调整高等教育阶段和高中阶段国家奖助学金政策的通知财</w:t>
            </w:r>
            <w:r>
              <w:rPr>
                <w:rFonts w:hint="eastAsia" w:ascii="宋体" w:hAnsi="宋体"/>
                <w:sz w:val="16"/>
                <w:lang w:eastAsia="zh-CN"/>
              </w:rPr>
              <w:t>〔2024〕181号</w:t>
            </w:r>
            <w:r>
              <w:rPr>
                <w:rFonts w:ascii="宋体" w:hAnsi="宋体" w:eastAsia="宋体"/>
                <w:sz w:val="16"/>
              </w:rPr>
              <w:t>》政策文件，已完成31名学生享受中等职业学校助学金；满足家庭经济困难学生基本生活需求，帮助学生更好</w:t>
            </w:r>
            <w:r>
              <w:rPr>
                <w:rFonts w:hint="eastAsia" w:ascii="宋体" w:hAnsi="宋体"/>
                <w:sz w:val="16"/>
                <w:lang w:eastAsia="zh-CN"/>
              </w:rPr>
              <w:t>地</w:t>
            </w:r>
            <w:r>
              <w:rPr>
                <w:rFonts w:ascii="宋体" w:hAnsi="宋体" w:eastAsia="宋体"/>
                <w:sz w:val="16"/>
              </w:rPr>
              <w:t>完成学业。</w:t>
            </w:r>
            <w:r>
              <w:rPr>
                <w:rFonts w:ascii="宋体" w:hAnsi="宋体" w:eastAsia="宋体"/>
                <w:sz w:val="16"/>
              </w:rPr>
              <w:br w:type="textWrapping"/>
            </w:r>
          </w:p>
        </w:tc>
      </w:tr>
      <w:tr w14:paraId="14C591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A374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34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D6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509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F1A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58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7689">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658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732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BFA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40B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B86F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07C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EE49A">
            <w:pPr>
              <w:jc w:val="center"/>
            </w:pPr>
            <w:r>
              <w:rPr>
                <w:rFonts w:ascii="宋体" w:hAnsi="宋体" w:eastAsia="宋体"/>
                <w:sz w:val="16"/>
              </w:rPr>
              <w:t>偏差原因分析及改进措施</w:t>
            </w:r>
          </w:p>
        </w:tc>
      </w:tr>
      <w:tr w14:paraId="572AED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55D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5DA6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67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40C59">
            <w:pPr>
              <w:jc w:val="center"/>
            </w:pPr>
            <w:r>
              <w:rPr>
                <w:rFonts w:ascii="宋体" w:hAnsi="宋体" w:eastAsia="宋体"/>
                <w:sz w:val="16"/>
              </w:rPr>
              <w:t>享受助学金补助学生数量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19BB">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95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63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08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AD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AE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9179">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F5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31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4A8C">
            <w:pPr>
              <w:jc w:val="center"/>
            </w:pPr>
          </w:p>
        </w:tc>
      </w:tr>
      <w:tr w14:paraId="3FA948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00B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C84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8D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81A1">
            <w:pPr>
              <w:jc w:val="center"/>
            </w:pPr>
            <w:r>
              <w:rPr>
                <w:rFonts w:ascii="宋体" w:hAnsi="宋体" w:eastAsia="宋体"/>
                <w:sz w:val="16"/>
              </w:rPr>
              <w:t>中职、技工国家助学金补助准确率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C5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61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48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95A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83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80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4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45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39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0825">
            <w:pPr>
              <w:jc w:val="center"/>
            </w:pPr>
          </w:p>
        </w:tc>
      </w:tr>
      <w:tr w14:paraId="7918E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91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D57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1AA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3079">
            <w:pPr>
              <w:jc w:val="center"/>
            </w:pPr>
            <w:r>
              <w:rPr>
                <w:rFonts w:ascii="宋体" w:hAnsi="宋体" w:eastAsia="宋体"/>
                <w:sz w:val="16"/>
              </w:rPr>
              <w:t>助学金资金按规定及时发放率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E2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46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DF3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D9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5A8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C6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F5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47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D1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621F">
            <w:pPr>
              <w:jc w:val="center"/>
            </w:pPr>
          </w:p>
        </w:tc>
      </w:tr>
      <w:tr w14:paraId="79A85F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A7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F2C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D7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F2C4">
            <w:pPr>
              <w:jc w:val="center"/>
            </w:pPr>
            <w:r>
              <w:rPr>
                <w:rFonts w:ascii="宋体" w:hAnsi="宋体" w:eastAsia="宋体"/>
                <w:sz w:val="16"/>
              </w:rPr>
              <w:t>助学金资助政策标准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29AB">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25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D1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61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B8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CA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9064">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FC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38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6DF0">
            <w:pPr>
              <w:jc w:val="center"/>
            </w:pPr>
          </w:p>
        </w:tc>
      </w:tr>
      <w:tr w14:paraId="6ECE81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779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394D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C5A8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12EE">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3FD3">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B5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DD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AE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C1F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5BF4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243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2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D89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6F8B">
            <w:pPr>
              <w:jc w:val="center"/>
            </w:pPr>
          </w:p>
        </w:tc>
      </w:tr>
      <w:tr w14:paraId="1D204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533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C81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32E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72492">
            <w:pPr>
              <w:jc w:val="center"/>
            </w:pPr>
            <w:r>
              <w:rPr>
                <w:rFonts w:ascii="宋体" w:hAnsi="宋体" w:eastAsia="宋体"/>
                <w:sz w:val="16"/>
              </w:rPr>
              <w:t>使教育公平显著提升，提升家长、学生幸福感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D0D8">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D9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8F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0D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5F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0AF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4A2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B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7C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CC066">
            <w:pPr>
              <w:jc w:val="center"/>
            </w:pPr>
          </w:p>
        </w:tc>
      </w:tr>
      <w:tr w14:paraId="41AF40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79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94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87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8294">
            <w:pPr>
              <w:jc w:val="center"/>
            </w:pPr>
            <w:r>
              <w:rPr>
                <w:rFonts w:ascii="宋体" w:hAnsi="宋体" w:eastAsia="宋体"/>
                <w:sz w:val="16"/>
              </w:rPr>
              <w:t>家长、学生满意度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C6E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4D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36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CF6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3F9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62B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6F4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0FC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768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DEE0">
            <w:pPr>
              <w:jc w:val="center"/>
            </w:pPr>
          </w:p>
        </w:tc>
      </w:tr>
      <w:tr w14:paraId="49D3BE0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3822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F67B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01C4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785D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3F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D89F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69E9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56B5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4B99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096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7B25C0"/>
        </w:tc>
      </w:tr>
    </w:tbl>
    <w:p w14:paraId="029F7ECC">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30"/>
        <w:gridCol w:w="856"/>
        <w:gridCol w:w="603"/>
        <w:gridCol w:w="603"/>
        <w:gridCol w:w="612"/>
        <w:gridCol w:w="603"/>
        <w:gridCol w:w="603"/>
        <w:gridCol w:w="776"/>
        <w:gridCol w:w="696"/>
        <w:gridCol w:w="630"/>
        <w:gridCol w:w="621"/>
      </w:tblGrid>
      <w:tr w14:paraId="5CDF4668">
        <w:tblPrEx>
          <w:tblCellMar>
            <w:top w:w="0" w:type="dxa"/>
            <w:left w:w="108" w:type="dxa"/>
            <w:bottom w:w="0" w:type="dxa"/>
            <w:right w:w="108" w:type="dxa"/>
          </w:tblCellMar>
        </w:tblPrEx>
        <w:tc>
          <w:tcPr>
            <w:tcW w:w="8848" w:type="dxa"/>
            <w:gridSpan w:val="14"/>
            <w:vAlign w:val="center"/>
          </w:tcPr>
          <w:p w14:paraId="4B35D367">
            <w:pPr>
              <w:jc w:val="center"/>
            </w:pPr>
            <w:r>
              <w:rPr>
                <w:rFonts w:ascii="宋体" w:hAnsi="宋体" w:eastAsia="宋体"/>
                <w:sz w:val="24"/>
              </w:rPr>
              <w:t>项目支出绩效自评表</w:t>
            </w:r>
          </w:p>
        </w:tc>
      </w:tr>
      <w:tr w14:paraId="1601501C">
        <w:tblPrEx>
          <w:tblCellMar>
            <w:top w:w="0" w:type="dxa"/>
            <w:left w:w="108" w:type="dxa"/>
            <w:bottom w:w="0" w:type="dxa"/>
            <w:right w:w="108" w:type="dxa"/>
          </w:tblCellMar>
        </w:tblPrEx>
        <w:tc>
          <w:tcPr>
            <w:tcW w:w="8848" w:type="dxa"/>
            <w:gridSpan w:val="14"/>
            <w:vAlign w:val="center"/>
          </w:tcPr>
          <w:p w14:paraId="12ED14D6">
            <w:pPr>
              <w:jc w:val="center"/>
            </w:pPr>
            <w:r>
              <w:rPr>
                <w:rFonts w:ascii="宋体" w:hAnsi="宋体" w:eastAsia="宋体"/>
                <w:sz w:val="24"/>
              </w:rPr>
              <w:t>(2024年度)</w:t>
            </w:r>
          </w:p>
        </w:tc>
      </w:tr>
      <w:tr w14:paraId="722B77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FB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D0546F">
            <w:pPr>
              <w:jc w:val="center"/>
            </w:pPr>
            <w:r>
              <w:rPr>
                <w:rFonts w:ascii="宋体" w:hAnsi="宋体" w:eastAsia="宋体"/>
                <w:sz w:val="16"/>
              </w:rPr>
              <w:t>巴财教</w:t>
            </w:r>
            <w:r>
              <w:rPr>
                <w:rFonts w:hint="eastAsia" w:ascii="宋体" w:hAnsi="宋体"/>
                <w:sz w:val="16"/>
                <w:lang w:eastAsia="zh-CN"/>
              </w:rPr>
              <w:t>〔2024〕14号</w:t>
            </w:r>
            <w:r>
              <w:rPr>
                <w:rFonts w:ascii="宋体" w:hAnsi="宋体" w:eastAsia="宋体"/>
                <w:sz w:val="16"/>
              </w:rPr>
              <w:t>关于下达2024年学生资助补助经费预算[第二批]中央直达资金的通知（中等职业-免学费）、巴财教</w:t>
            </w:r>
            <w:r>
              <w:rPr>
                <w:rFonts w:hint="eastAsia" w:ascii="宋体" w:hAnsi="宋体"/>
                <w:sz w:val="16"/>
                <w:lang w:eastAsia="zh-CN"/>
              </w:rPr>
              <w:t>〔2024〕14号</w:t>
            </w:r>
            <w:r>
              <w:rPr>
                <w:rFonts w:ascii="宋体" w:hAnsi="宋体" w:eastAsia="宋体"/>
                <w:sz w:val="16"/>
              </w:rPr>
              <w:t>关于下达2024年学生资助补助经费预算[第二批]中央直达资金的通知（技工-免学费）</w:t>
            </w:r>
          </w:p>
        </w:tc>
      </w:tr>
      <w:tr w14:paraId="1CF937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3B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437FD8">
            <w:pPr>
              <w:jc w:val="center"/>
            </w:pPr>
            <w:r>
              <w:rPr>
                <w:rFonts w:ascii="宋体" w:hAnsi="宋体" w:eastAsia="宋体"/>
                <w:sz w:val="16"/>
              </w:rPr>
              <w:t>轮台县职业技术学校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9D3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3B0587">
            <w:pPr>
              <w:jc w:val="center"/>
            </w:pPr>
            <w:r>
              <w:rPr>
                <w:rFonts w:ascii="宋体" w:hAnsi="宋体" w:eastAsia="宋体"/>
                <w:sz w:val="16"/>
              </w:rPr>
              <w:t>轮台县职业技术学校</w:t>
            </w:r>
          </w:p>
        </w:tc>
      </w:tr>
      <w:tr w14:paraId="6FE00E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FA5C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F51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290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599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DA7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0180E">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DF4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2627">
            <w:pPr>
              <w:jc w:val="center"/>
            </w:pPr>
            <w:r>
              <w:rPr>
                <w:rFonts w:ascii="宋体" w:hAnsi="宋体" w:eastAsia="宋体"/>
                <w:sz w:val="16"/>
              </w:rPr>
              <w:t>得分</w:t>
            </w:r>
          </w:p>
        </w:tc>
      </w:tr>
      <w:tr w14:paraId="5B27C6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0DE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D23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78103">
            <w:pPr>
              <w:jc w:val="center"/>
            </w:pPr>
            <w:r>
              <w:rPr>
                <w:rFonts w:ascii="宋体" w:hAnsi="宋体" w:eastAsia="宋体"/>
                <w:sz w:val="16"/>
              </w:rPr>
              <w:t>30.03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413B6">
            <w:pPr>
              <w:jc w:val="center"/>
            </w:pPr>
            <w:r>
              <w:rPr>
                <w:rFonts w:ascii="宋体" w:hAnsi="宋体" w:eastAsia="宋体"/>
                <w:sz w:val="16"/>
              </w:rPr>
              <w:t>30.03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0D8F8">
            <w:pPr>
              <w:jc w:val="center"/>
            </w:pPr>
            <w:r>
              <w:rPr>
                <w:rFonts w:ascii="宋体" w:hAnsi="宋体" w:eastAsia="宋体"/>
                <w:sz w:val="16"/>
              </w:rPr>
              <w:t>29.90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AD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DC5F8">
            <w:pPr>
              <w:jc w:val="center"/>
            </w:pPr>
            <w:r>
              <w:rPr>
                <w:rFonts w:ascii="宋体" w:hAnsi="宋体" w:eastAsia="宋体"/>
                <w:sz w:val="16"/>
              </w:rPr>
              <w:t>99.57%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C3ED">
            <w:pPr>
              <w:jc w:val="center"/>
            </w:pPr>
            <w:r>
              <w:rPr>
                <w:rFonts w:ascii="宋体" w:hAnsi="宋体" w:eastAsia="宋体"/>
                <w:sz w:val="16"/>
              </w:rPr>
              <w:t>9.89</w:t>
            </w:r>
          </w:p>
        </w:tc>
      </w:tr>
      <w:tr w14:paraId="7EA1D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669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9A6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51462">
            <w:pPr>
              <w:jc w:val="center"/>
            </w:pPr>
            <w:r>
              <w:rPr>
                <w:rFonts w:ascii="宋体" w:hAnsi="宋体" w:eastAsia="宋体"/>
                <w:sz w:val="16"/>
              </w:rPr>
              <w:t>30.03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D48AD">
            <w:pPr>
              <w:jc w:val="center"/>
            </w:pPr>
            <w:r>
              <w:rPr>
                <w:rFonts w:ascii="宋体" w:hAnsi="宋体" w:eastAsia="宋体"/>
                <w:sz w:val="16"/>
              </w:rPr>
              <w:t>30.03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6FE2C">
            <w:pPr>
              <w:jc w:val="center"/>
            </w:pPr>
            <w:r>
              <w:rPr>
                <w:rFonts w:ascii="宋体" w:hAnsi="宋体" w:eastAsia="宋体"/>
                <w:sz w:val="16"/>
              </w:rPr>
              <w:t>29.90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9CF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8E1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2DA2">
            <w:pPr>
              <w:jc w:val="center"/>
            </w:pPr>
            <w:r>
              <w:rPr>
                <w:rFonts w:ascii="宋体" w:hAnsi="宋体" w:eastAsia="宋体"/>
                <w:sz w:val="16"/>
              </w:rPr>
              <w:t>-</w:t>
            </w:r>
          </w:p>
        </w:tc>
      </w:tr>
      <w:tr w14:paraId="25F5D5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8FE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2967B">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B89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80D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643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50A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070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56E1">
            <w:pPr>
              <w:jc w:val="center"/>
            </w:pPr>
            <w:r>
              <w:rPr>
                <w:rFonts w:ascii="宋体" w:hAnsi="宋体" w:eastAsia="宋体"/>
                <w:sz w:val="16"/>
              </w:rPr>
              <w:t>-</w:t>
            </w:r>
          </w:p>
        </w:tc>
      </w:tr>
      <w:tr w14:paraId="0A4B19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9F93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2282D1">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6B2C92">
            <w:pPr>
              <w:jc w:val="center"/>
            </w:pPr>
            <w:r>
              <w:rPr>
                <w:rFonts w:ascii="宋体" w:hAnsi="宋体" w:eastAsia="宋体"/>
                <w:sz w:val="16"/>
              </w:rPr>
              <w:t>总体目标完成情况</w:t>
            </w:r>
          </w:p>
        </w:tc>
      </w:tr>
      <w:tr w14:paraId="554B5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BD0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A78FA6">
            <w:pPr>
              <w:jc w:val="both"/>
            </w:pPr>
            <w:r>
              <w:rPr>
                <w:rFonts w:ascii="宋体" w:hAnsi="宋体" w:eastAsia="宋体"/>
                <w:sz w:val="16"/>
              </w:rPr>
              <w:t>根据关于印发《新疆维吾尔自治区学生资助资金管理办法》的通知新财规</w:t>
            </w:r>
            <w:r>
              <w:rPr>
                <w:rFonts w:hint="eastAsia" w:ascii="宋体" w:hAnsi="宋体"/>
                <w:sz w:val="16"/>
                <w:lang w:eastAsia="zh-CN"/>
              </w:rPr>
              <w:t>〔2021〕13号</w:t>
            </w:r>
            <w:r>
              <w:rPr>
                <w:rFonts w:ascii="宋体" w:hAnsi="宋体" w:eastAsia="宋体"/>
                <w:sz w:val="16"/>
              </w:rPr>
              <w:t>文件要求 ，为落实承担教育教学与学生资助管理的单位职能：                                                                                                                                目标1：落实中等职业学校家庭经济困难学生免除学杂费政策，保障不少于699名学生享受免学费政策，减轻学生家庭经济负担，使教育公平显著提升，提升家长、学生幸福感。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185BF9">
            <w:pPr>
              <w:jc w:val="both"/>
            </w:pPr>
            <w:r>
              <w:rPr>
                <w:rFonts w:hint="eastAsia" w:ascii="宋体" w:hAnsi="宋体"/>
                <w:sz w:val="16"/>
                <w:lang w:eastAsia="zh-CN"/>
              </w:rPr>
              <w:t>本单位</w:t>
            </w:r>
            <w:r>
              <w:rPr>
                <w:rFonts w:ascii="宋体" w:hAnsi="宋体" w:eastAsia="宋体"/>
                <w:sz w:val="16"/>
              </w:rPr>
              <w:t>本年度严格</w:t>
            </w:r>
            <w:r>
              <w:rPr>
                <w:rFonts w:hint="eastAsia" w:ascii="宋体" w:hAnsi="宋体"/>
                <w:sz w:val="16"/>
                <w:lang w:eastAsia="zh-CN"/>
              </w:rPr>
              <w:t>执行</w:t>
            </w:r>
            <w:r>
              <w:rPr>
                <w:rFonts w:ascii="宋体" w:hAnsi="宋体" w:eastAsia="宋体"/>
                <w:sz w:val="16"/>
              </w:rPr>
              <w:t>根据关于印发《新疆维吾尔自治区学生资助资金管理办法》的通知新财规</w:t>
            </w:r>
            <w:r>
              <w:rPr>
                <w:rFonts w:hint="eastAsia" w:ascii="宋体" w:hAnsi="宋体"/>
                <w:sz w:val="16"/>
                <w:lang w:eastAsia="zh-CN"/>
              </w:rPr>
              <w:t>〔2021〕13号</w:t>
            </w:r>
            <w:r>
              <w:rPr>
                <w:rFonts w:ascii="宋体" w:hAnsi="宋体" w:eastAsia="宋体"/>
                <w:sz w:val="16"/>
              </w:rPr>
              <w:t>政策文件，已完成保障699名学生享受免学费政策，减轻了学生家庭经济负担，使教育公平显著提升，提升家长、学生幸福感。</w:t>
            </w:r>
          </w:p>
        </w:tc>
      </w:tr>
      <w:tr w14:paraId="697410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A73C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D76B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C57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7F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06A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A3B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D514">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521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D6A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D9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E8A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6E8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37F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B03A">
            <w:pPr>
              <w:jc w:val="center"/>
            </w:pPr>
            <w:r>
              <w:rPr>
                <w:rFonts w:ascii="宋体" w:hAnsi="宋体" w:eastAsia="宋体"/>
                <w:sz w:val="16"/>
              </w:rPr>
              <w:t>偏差原因分析及改进措施</w:t>
            </w:r>
          </w:p>
        </w:tc>
      </w:tr>
      <w:tr w14:paraId="4C2611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C5D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5E14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28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DF46">
            <w:pPr>
              <w:jc w:val="center"/>
            </w:pPr>
            <w:r>
              <w:rPr>
                <w:rFonts w:ascii="宋体" w:hAnsi="宋体" w:eastAsia="宋体"/>
                <w:sz w:val="16"/>
              </w:rPr>
              <w:t>享受免学费补助学生数量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764F">
            <w:pPr>
              <w:jc w:val="center"/>
            </w:pPr>
            <w:r>
              <w:rPr>
                <w:rFonts w:ascii="宋体" w:hAnsi="宋体" w:eastAsia="宋体"/>
                <w:sz w:val="16"/>
              </w:rPr>
              <w:t>&gt;=699人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B45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055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88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CAF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66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68C2">
            <w:pPr>
              <w:jc w:val="center"/>
            </w:pPr>
            <w:r>
              <w:rPr>
                <w:rFonts w:ascii="宋体" w:hAnsi="宋体" w:eastAsia="宋体"/>
                <w:sz w:val="16"/>
              </w:rPr>
              <w:t>=699人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82B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CAD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2348">
            <w:pPr>
              <w:jc w:val="center"/>
            </w:pPr>
          </w:p>
        </w:tc>
      </w:tr>
      <w:tr w14:paraId="42938F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49D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F8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A3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053B">
            <w:pPr>
              <w:jc w:val="center"/>
            </w:pPr>
            <w:r>
              <w:rPr>
                <w:rFonts w:ascii="宋体" w:hAnsi="宋体" w:eastAsia="宋体"/>
                <w:sz w:val="16"/>
              </w:rPr>
              <w:t>国家免学费资助比例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EA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84E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E0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31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F4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38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7C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B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02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0CE7">
            <w:pPr>
              <w:jc w:val="center"/>
            </w:pPr>
          </w:p>
        </w:tc>
      </w:tr>
      <w:tr w14:paraId="39EA1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2B7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7DA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B7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05AC">
            <w:pPr>
              <w:jc w:val="center"/>
            </w:pPr>
            <w:r>
              <w:rPr>
                <w:rFonts w:ascii="宋体" w:hAnsi="宋体" w:eastAsia="宋体"/>
                <w:sz w:val="16"/>
              </w:rPr>
              <w:t>免学费资金按规定及时发放率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39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59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99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1D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A6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36E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4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2C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C42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1276">
            <w:pPr>
              <w:jc w:val="center"/>
            </w:pPr>
          </w:p>
        </w:tc>
      </w:tr>
      <w:tr w14:paraId="2AB47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012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3B02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D1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7E6C">
            <w:pPr>
              <w:jc w:val="center"/>
            </w:pPr>
            <w:r>
              <w:rPr>
                <w:rFonts w:ascii="宋体" w:hAnsi="宋体" w:eastAsia="宋体"/>
                <w:sz w:val="16"/>
              </w:rPr>
              <w:t>免学费资助政策标准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42F1">
            <w:pPr>
              <w:jc w:val="center"/>
            </w:pPr>
            <w:r>
              <w:rPr>
                <w:rFonts w:ascii="宋体" w:hAnsi="宋体" w:eastAsia="宋体"/>
                <w:sz w:val="16"/>
              </w:rPr>
              <w:t>&lt;=429.61元/人/学期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0E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C03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AB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37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BE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0779">
            <w:pPr>
              <w:jc w:val="center"/>
            </w:pPr>
            <w:r>
              <w:rPr>
                <w:rFonts w:ascii="宋体" w:hAnsi="宋体" w:eastAsia="宋体"/>
                <w:sz w:val="16"/>
              </w:rPr>
              <w:t>=427.78元/人/学期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796F">
            <w:pPr>
              <w:jc w:val="center"/>
            </w:pPr>
            <w:r>
              <w:rPr>
                <w:rFonts w:ascii="宋体" w:hAnsi="宋体" w:eastAsia="宋体"/>
                <w:sz w:val="16"/>
              </w:rPr>
              <w:t>99.57%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B9BB8">
            <w:pPr>
              <w:jc w:val="center"/>
            </w:pPr>
            <w:r>
              <w:rPr>
                <w:rFonts w:ascii="宋体" w:hAnsi="宋体" w:eastAsia="宋体"/>
                <w:sz w:val="16"/>
              </w:rPr>
              <w:t>19.78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E5052">
            <w:pPr>
              <w:jc w:val="center"/>
            </w:pPr>
            <w:r>
              <w:rPr>
                <w:rFonts w:ascii="宋体" w:hAnsi="宋体" w:eastAsia="宋体"/>
                <w:sz w:val="16"/>
              </w:rPr>
              <w:t>偏差原因：年初计划支付到年底与实际支付不符，因此出现偏差；改进措施：做好年初预算，严格按计划规范资金。</w:t>
            </w:r>
          </w:p>
        </w:tc>
      </w:tr>
      <w:tr w14:paraId="2A172E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9A9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05C0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E04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F45F">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CDEA">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03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D33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77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B7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BBC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C3A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A1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40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FF58">
            <w:pPr>
              <w:jc w:val="center"/>
            </w:pPr>
          </w:p>
        </w:tc>
      </w:tr>
      <w:tr w14:paraId="75961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224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CEC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6C2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EE52">
            <w:pPr>
              <w:jc w:val="center"/>
            </w:pPr>
            <w:r>
              <w:rPr>
                <w:rFonts w:ascii="宋体" w:hAnsi="宋体" w:eastAsia="宋体"/>
                <w:sz w:val="16"/>
              </w:rPr>
              <w:t>使教育公平显著提升，提升家长、学生幸福感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0E93D">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727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96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EA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AC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E60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C68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A1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A6A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D818">
            <w:pPr>
              <w:jc w:val="center"/>
            </w:pPr>
          </w:p>
        </w:tc>
      </w:tr>
      <w:tr w14:paraId="233740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18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D0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D9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5F13">
            <w:pPr>
              <w:jc w:val="center"/>
            </w:pPr>
            <w:r>
              <w:rPr>
                <w:rFonts w:ascii="宋体" w:hAnsi="宋体" w:eastAsia="宋体"/>
                <w:sz w:val="16"/>
              </w:rPr>
              <w:t>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D4F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F8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51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9B7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A33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21BB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613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32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8D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6735">
            <w:pPr>
              <w:jc w:val="center"/>
            </w:pPr>
          </w:p>
        </w:tc>
      </w:tr>
      <w:tr w14:paraId="5DD2430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A620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1CEA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B2B1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192D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A7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9689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C5D0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AD00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7A03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E485">
            <w:pPr>
              <w:jc w:val="center"/>
            </w:pPr>
            <w:r>
              <w:rPr>
                <w:rFonts w:ascii="宋体" w:hAnsi="宋体" w:eastAsia="宋体"/>
                <w:sz w:val="16"/>
              </w:rPr>
              <w:t>99.67分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FEC4C8"/>
        </w:tc>
      </w:tr>
    </w:tbl>
    <w:p w14:paraId="7300822B">
      <w:r>
        <w:br w:type="page"/>
      </w:r>
    </w:p>
    <w:p w14:paraId="424E36E0">
      <w:pPr>
        <w:spacing w:line="640" w:lineRule="exact"/>
        <w:ind w:firstLine="640"/>
        <w:jc w:val="both"/>
        <w:outlineLvl w:val="2"/>
      </w:pPr>
      <w:r>
        <w:rPr>
          <w:rFonts w:ascii="黑体" w:hAnsi="黑体" w:eastAsia="黑体"/>
          <w:sz w:val="32"/>
        </w:rPr>
        <w:t>十二、其他需说明的事项</w:t>
      </w:r>
    </w:p>
    <w:p w14:paraId="188E0F16">
      <w:pPr>
        <w:spacing w:line="580" w:lineRule="exact"/>
        <w:ind w:firstLine="640"/>
        <w:jc w:val="both"/>
      </w:pPr>
      <w:r>
        <w:rPr>
          <w:rFonts w:ascii="仿宋_GB2312" w:hAnsi="仿宋_GB2312" w:eastAsia="仿宋_GB2312"/>
          <w:b w:val="0"/>
          <w:sz w:val="32"/>
        </w:rPr>
        <w:t>本单位无其他需说明的事项。</w:t>
      </w:r>
    </w:p>
    <w:p w14:paraId="66BF32C0">
      <w:r>
        <w:br w:type="page"/>
      </w:r>
    </w:p>
    <w:p w14:paraId="301B62FE">
      <w:pPr>
        <w:spacing w:line="240" w:lineRule="auto"/>
        <w:jc w:val="center"/>
        <w:outlineLvl w:val="1"/>
      </w:pPr>
      <w:r>
        <w:rPr>
          <w:rFonts w:ascii="黑体" w:hAnsi="黑体" w:eastAsia="黑体"/>
          <w:sz w:val="32"/>
        </w:rPr>
        <w:t>第三部分 专业名词解释</w:t>
      </w:r>
    </w:p>
    <w:p w14:paraId="107C147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5C3DC2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3F2CB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04F36F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9D46C2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93DD14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BB703A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2E92CF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85BB0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92382C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BAE4DF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DF7E7C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FCA806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CD7E6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35B9318">
      <w:r>
        <w:br w:type="page"/>
      </w:r>
    </w:p>
    <w:p w14:paraId="2DB538A5">
      <w:pPr>
        <w:spacing w:line="240" w:lineRule="auto"/>
        <w:jc w:val="center"/>
        <w:outlineLvl w:val="1"/>
      </w:pPr>
      <w:r>
        <w:rPr>
          <w:rFonts w:ascii="黑体" w:hAnsi="黑体" w:eastAsia="黑体"/>
          <w:sz w:val="32"/>
        </w:rPr>
        <w:t>第四部分 部门决算报表（见附表）</w:t>
      </w:r>
    </w:p>
    <w:p w14:paraId="35AFA02D">
      <w:pPr>
        <w:spacing w:line="240" w:lineRule="auto"/>
        <w:ind w:firstLine="640"/>
        <w:jc w:val="both"/>
      </w:pPr>
      <w:r>
        <w:rPr>
          <w:rFonts w:ascii="仿宋_GB2312" w:hAnsi="仿宋_GB2312" w:eastAsia="仿宋_GB2312"/>
          <w:b w:val="0"/>
          <w:sz w:val="32"/>
        </w:rPr>
        <w:t>一、《收入支出决算总表》</w:t>
      </w:r>
    </w:p>
    <w:p w14:paraId="3DC13C60">
      <w:pPr>
        <w:spacing w:line="240" w:lineRule="auto"/>
        <w:ind w:firstLine="640"/>
        <w:jc w:val="both"/>
      </w:pPr>
      <w:r>
        <w:rPr>
          <w:rFonts w:ascii="仿宋_GB2312" w:hAnsi="仿宋_GB2312" w:eastAsia="仿宋_GB2312"/>
          <w:b w:val="0"/>
          <w:sz w:val="32"/>
        </w:rPr>
        <w:t>二、《收入决算表》</w:t>
      </w:r>
    </w:p>
    <w:p w14:paraId="1DBD6CD4">
      <w:pPr>
        <w:spacing w:line="240" w:lineRule="auto"/>
        <w:ind w:firstLine="640"/>
        <w:jc w:val="both"/>
      </w:pPr>
      <w:r>
        <w:rPr>
          <w:rFonts w:ascii="仿宋_GB2312" w:hAnsi="仿宋_GB2312" w:eastAsia="仿宋_GB2312"/>
          <w:b w:val="0"/>
          <w:sz w:val="32"/>
        </w:rPr>
        <w:t>三、《支出决算表》</w:t>
      </w:r>
    </w:p>
    <w:p w14:paraId="79C17253">
      <w:pPr>
        <w:spacing w:line="240" w:lineRule="auto"/>
        <w:ind w:firstLine="640"/>
        <w:jc w:val="both"/>
      </w:pPr>
      <w:r>
        <w:rPr>
          <w:rFonts w:ascii="仿宋_GB2312" w:hAnsi="仿宋_GB2312" w:eastAsia="仿宋_GB2312"/>
          <w:b w:val="0"/>
          <w:sz w:val="32"/>
        </w:rPr>
        <w:t>四、《财政拨款收入支出决算总表》</w:t>
      </w:r>
    </w:p>
    <w:p w14:paraId="504F93D6">
      <w:pPr>
        <w:spacing w:line="240" w:lineRule="auto"/>
        <w:ind w:firstLine="640"/>
        <w:jc w:val="both"/>
      </w:pPr>
      <w:r>
        <w:rPr>
          <w:rFonts w:ascii="仿宋_GB2312" w:hAnsi="仿宋_GB2312" w:eastAsia="仿宋_GB2312"/>
          <w:b w:val="0"/>
          <w:sz w:val="32"/>
        </w:rPr>
        <w:t>五、《一般公共预算财政拨款支出决算表》</w:t>
      </w:r>
    </w:p>
    <w:p w14:paraId="42727E28">
      <w:pPr>
        <w:spacing w:line="240" w:lineRule="auto"/>
        <w:ind w:firstLine="640"/>
        <w:jc w:val="both"/>
      </w:pPr>
      <w:r>
        <w:rPr>
          <w:rFonts w:ascii="仿宋_GB2312" w:hAnsi="仿宋_GB2312" w:eastAsia="仿宋_GB2312"/>
          <w:b w:val="0"/>
          <w:sz w:val="32"/>
        </w:rPr>
        <w:t>六、《一般公共预算财政拨款基本支出决算表》</w:t>
      </w:r>
    </w:p>
    <w:p w14:paraId="58CB1433">
      <w:pPr>
        <w:spacing w:line="240" w:lineRule="auto"/>
        <w:ind w:firstLine="640"/>
        <w:jc w:val="both"/>
      </w:pPr>
      <w:r>
        <w:rPr>
          <w:rFonts w:ascii="仿宋_GB2312" w:hAnsi="仿宋_GB2312" w:eastAsia="仿宋_GB2312"/>
          <w:b w:val="0"/>
          <w:sz w:val="32"/>
        </w:rPr>
        <w:t>七、《政府性基金预算财政拨款收入支出决算表》</w:t>
      </w:r>
    </w:p>
    <w:p w14:paraId="128D5E7D">
      <w:pPr>
        <w:spacing w:line="240" w:lineRule="auto"/>
        <w:ind w:firstLine="640"/>
        <w:jc w:val="both"/>
      </w:pPr>
      <w:r>
        <w:rPr>
          <w:rFonts w:ascii="仿宋_GB2312" w:hAnsi="仿宋_GB2312" w:eastAsia="仿宋_GB2312"/>
          <w:b w:val="0"/>
          <w:sz w:val="32"/>
        </w:rPr>
        <w:t>八、《国有资本经营预算财政拨款收入支出决算表》</w:t>
      </w:r>
    </w:p>
    <w:p w14:paraId="2DD86307">
      <w:pPr>
        <w:spacing w:line="240" w:lineRule="auto"/>
        <w:ind w:firstLine="640"/>
        <w:jc w:val="both"/>
      </w:pPr>
      <w:r>
        <w:rPr>
          <w:rFonts w:ascii="仿宋_GB2312" w:hAnsi="仿宋_GB2312" w:eastAsia="仿宋_GB2312"/>
          <w:b w:val="0"/>
          <w:sz w:val="32"/>
        </w:rPr>
        <w:t>九、《财政拨款“三公”经费支出决算表》</w:t>
      </w:r>
    </w:p>
    <w:p w14:paraId="4D826F19">
      <w:pPr>
        <w:spacing w:line="240" w:lineRule="auto"/>
        <w:ind w:firstLine="640"/>
        <w:jc w:val="both"/>
      </w:pPr>
    </w:p>
    <w:p w14:paraId="24259DA6">
      <w:pPr>
        <w:spacing w:line="240" w:lineRule="auto"/>
        <w:ind w:firstLine="640"/>
        <w:jc w:val="both"/>
      </w:pPr>
    </w:p>
    <w:p w14:paraId="05D9D292">
      <w:pPr>
        <w:spacing w:line="240" w:lineRule="auto"/>
        <w:ind w:firstLine="640"/>
        <w:jc w:val="both"/>
      </w:pPr>
    </w:p>
    <w:p w14:paraId="526A85ED">
      <w:pPr>
        <w:spacing w:line="240" w:lineRule="auto"/>
        <w:ind w:firstLine="640"/>
        <w:jc w:val="both"/>
      </w:pPr>
    </w:p>
    <w:p w14:paraId="5835B53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9F5C40-9D40-4446-BC8E-2D28B99529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CB67540-408C-4684-AFC9-EF08391C5825}"/>
  </w:font>
  <w:font w:name="仿宋_GB2312">
    <w:panose1 w:val="02010609030101010101"/>
    <w:charset w:val="86"/>
    <w:family w:val="modern"/>
    <w:pitch w:val="default"/>
    <w:sig w:usb0="00000001" w:usb1="080E0000" w:usb2="00000000" w:usb3="00000000" w:csb0="00040000" w:csb1="00000000"/>
    <w:embedRegular r:id="rId3" w:fontKey="{CFBD7AB6-DFD0-46B9-971B-6C65444F8895}"/>
  </w:font>
  <w:font w:name="楷体_GB2312">
    <w:panose1 w:val="02010609030101010101"/>
    <w:charset w:val="86"/>
    <w:family w:val="auto"/>
    <w:pitch w:val="default"/>
    <w:sig w:usb0="00000001" w:usb1="080E0000" w:usb2="00000000" w:usb3="00000000" w:csb0="00040000" w:csb1="00000000"/>
    <w:embedRegular r:id="rId4" w:fontKey="{6F7C11F2-8D85-4693-9431-0B80829E86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552BB"/>
    <w:rsid w:val="469C74D2"/>
    <w:rsid w:val="47445515"/>
    <w:rsid w:val="4B4C0111"/>
    <w:rsid w:val="4BB23021"/>
    <w:rsid w:val="4F3F074E"/>
    <w:rsid w:val="50DB5F45"/>
    <w:rsid w:val="52F92565"/>
    <w:rsid w:val="543D17CB"/>
    <w:rsid w:val="55DA564E"/>
    <w:rsid w:val="56E07045"/>
    <w:rsid w:val="583059FA"/>
    <w:rsid w:val="587E6212"/>
    <w:rsid w:val="5AFC6609"/>
    <w:rsid w:val="5E110C66"/>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4068</Words>
  <Characters>4681</Characters>
  <Lines>0</Lines>
  <Paragraphs>0</Paragraphs>
  <TotalTime>5</TotalTime>
  <ScaleCrop>false</ScaleCrop>
  <LinksUpToDate>false</LinksUpToDate>
  <CharactersWithSpaces>4689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2025-09-16T07:51:27Z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