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轮台县胡杨林管护站2024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C3034A6">
      <w:r>
        <w:br w:type="page"/>
      </w:r>
    </w:p>
    <w:p w14:paraId="5E1447F2">
      <w:pPr>
        <w:spacing w:line="640" w:lineRule="exact"/>
        <w:jc w:val="center"/>
        <w:outlineLvl w:val="1"/>
      </w:pPr>
      <w:r>
        <w:rPr>
          <w:rFonts w:ascii="黑体" w:hAnsi="黑体" w:eastAsia="黑体"/>
          <w:sz w:val="32"/>
        </w:rPr>
        <w:t>第一部分 单位概况</w:t>
      </w:r>
    </w:p>
    <w:p w14:paraId="09D3A820">
      <w:pPr>
        <w:spacing w:line="640" w:lineRule="exact"/>
        <w:ind w:firstLine="640"/>
        <w:jc w:val="both"/>
        <w:outlineLvl w:val="2"/>
      </w:pPr>
      <w:r>
        <w:rPr>
          <w:rFonts w:ascii="黑体" w:hAnsi="黑体" w:eastAsia="黑体"/>
          <w:sz w:val="32"/>
        </w:rPr>
        <w:t>一、主要职能</w:t>
      </w:r>
    </w:p>
    <w:p w14:paraId="5D5D5884">
      <w:pPr>
        <w:spacing w:line="580" w:lineRule="exact"/>
        <w:ind w:firstLine="640"/>
        <w:jc w:val="both"/>
      </w:pPr>
      <w:r>
        <w:rPr>
          <w:rFonts w:ascii="仿宋_GB2312" w:hAnsi="仿宋_GB2312" w:eastAsia="仿宋_GB2312"/>
          <w:sz w:val="32"/>
        </w:rPr>
        <w:t>新疆巴州轮台县胡杨林管护站负责做好全县（伴行公路以南）所有天然林（主要是天然胡杨林）的管护工作，宣传贯彻执行林业政策、法律法规，提高群众的知法、懂法、守法的自觉性；配合有关部门管理与指导林区（伴行公路以南）的森林资源、林政管理；指导、协调抓好胡杨林区的森林防火、病虫害防治、野生动植物保护和林政执法工作；负责全县胡杨林区护林员工作的指导与宏观管理。</w:t>
      </w:r>
    </w:p>
    <w:p w14:paraId="52DBF768">
      <w:pPr>
        <w:spacing w:line="640" w:lineRule="exact"/>
        <w:ind w:firstLine="640"/>
        <w:jc w:val="both"/>
        <w:outlineLvl w:val="2"/>
      </w:pPr>
      <w:r>
        <w:rPr>
          <w:rFonts w:ascii="黑体" w:hAnsi="黑体" w:eastAsia="黑体"/>
          <w:sz w:val="32"/>
        </w:rPr>
        <w:t>二、机构设置及人员情况</w:t>
      </w:r>
    </w:p>
    <w:p w14:paraId="7723F1EA">
      <w:pPr>
        <w:spacing w:line="580" w:lineRule="exact"/>
        <w:ind w:firstLine="640"/>
        <w:jc w:val="both"/>
      </w:pPr>
      <w:r>
        <w:rPr>
          <w:rFonts w:ascii="仿宋_GB2312" w:hAnsi="仿宋_GB2312" w:eastAsia="仿宋_GB2312"/>
          <w:sz w:val="32"/>
        </w:rPr>
        <w:t>轮台县胡杨林管护站2024年度，实有人数36人，其中：在职人员12人，减少3人；离休人员0人，增加0人；退休人员24人,减少1人。</w:t>
      </w:r>
    </w:p>
    <w:p w14:paraId="366CEDDC">
      <w:pPr>
        <w:spacing w:line="580" w:lineRule="exact"/>
        <w:ind w:firstLine="640"/>
        <w:jc w:val="both"/>
      </w:pPr>
      <w:r>
        <w:rPr>
          <w:rFonts w:ascii="仿宋_GB2312" w:hAnsi="仿宋_GB2312" w:eastAsia="仿宋_GB2312"/>
          <w:sz w:val="32"/>
        </w:rPr>
        <w:t>轮台县胡杨林管护站无下属预算单位，下设1个科室，分别是：办公室。</w:t>
      </w:r>
    </w:p>
    <w:p w14:paraId="7D0E35EC">
      <w:r>
        <w:br w:type="page"/>
      </w:r>
    </w:p>
    <w:p w14:paraId="57596E3F">
      <w:pPr>
        <w:spacing w:line="240" w:lineRule="auto"/>
        <w:jc w:val="center"/>
        <w:outlineLvl w:val="1"/>
      </w:pPr>
      <w:r>
        <w:rPr>
          <w:rFonts w:ascii="黑体" w:hAnsi="黑体" w:eastAsia="黑体"/>
          <w:sz w:val="32"/>
        </w:rPr>
        <w:t>第二部分 部门决算情况说明</w:t>
      </w:r>
    </w:p>
    <w:p w14:paraId="57F2B4A9">
      <w:pPr>
        <w:spacing w:line="640" w:lineRule="exact"/>
        <w:ind w:firstLine="640"/>
        <w:jc w:val="both"/>
        <w:outlineLvl w:val="2"/>
      </w:pPr>
      <w:r>
        <w:rPr>
          <w:rFonts w:ascii="黑体" w:hAnsi="黑体" w:eastAsia="黑体"/>
          <w:sz w:val="32"/>
        </w:rPr>
        <w:t>一、收入支出决算总体情况说明</w:t>
      </w:r>
    </w:p>
    <w:p w14:paraId="13F5128C">
      <w:pPr>
        <w:spacing w:line="580" w:lineRule="exact"/>
        <w:ind w:firstLine="640"/>
        <w:jc w:val="both"/>
      </w:pPr>
      <w:r>
        <w:rPr>
          <w:rFonts w:ascii="仿宋_GB2312" w:hAnsi="仿宋_GB2312" w:eastAsia="仿宋_GB2312"/>
          <w:b/>
          <w:sz w:val="32"/>
        </w:rPr>
        <w:t>2024年度收入总计238.48万元，</w:t>
      </w:r>
      <w:r>
        <w:rPr>
          <w:rFonts w:ascii="仿宋_GB2312" w:hAnsi="仿宋_GB2312" w:eastAsia="仿宋_GB2312"/>
          <w:b w:val="0"/>
          <w:sz w:val="32"/>
        </w:rPr>
        <w:t>其中：本年收入合计235.45万元，使用非财政拨款结余（含专用结余）0.00万元，年初结转和结余3.02万元。</w:t>
      </w:r>
    </w:p>
    <w:p w14:paraId="475426D1">
      <w:pPr>
        <w:spacing w:line="580" w:lineRule="exact"/>
        <w:ind w:firstLine="640"/>
        <w:jc w:val="both"/>
      </w:pPr>
      <w:r>
        <w:rPr>
          <w:rFonts w:ascii="仿宋_GB2312" w:hAnsi="仿宋_GB2312" w:eastAsia="仿宋_GB2312"/>
          <w:b/>
          <w:sz w:val="32"/>
        </w:rPr>
        <w:t>2024年度支出总计238.48万元，</w:t>
      </w:r>
      <w:r>
        <w:rPr>
          <w:rFonts w:ascii="仿宋_GB2312" w:hAnsi="仿宋_GB2312" w:eastAsia="仿宋_GB2312"/>
          <w:b w:val="0"/>
          <w:sz w:val="32"/>
        </w:rPr>
        <w:t>其中：本年支出合计235.46万元，结余分配0.00万元，年末结转和结余3.02万元。</w:t>
      </w:r>
    </w:p>
    <w:p w14:paraId="16E00ADD">
      <w:pPr>
        <w:spacing w:line="580" w:lineRule="exact"/>
        <w:ind w:firstLine="640"/>
        <w:jc w:val="both"/>
      </w:pPr>
      <w:r>
        <w:rPr>
          <w:rFonts w:ascii="仿宋_GB2312" w:hAnsi="仿宋_GB2312" w:eastAsia="仿宋_GB2312"/>
          <w:b w:val="0"/>
          <w:sz w:val="32"/>
        </w:rPr>
        <w:t>收入支出总体与上年相比，增加4.43万元，增长1.89%，主要原因是：本年增加退休人员基础绩效奖，退休费支出增加。</w:t>
      </w:r>
    </w:p>
    <w:p w14:paraId="3848C783">
      <w:pPr>
        <w:spacing w:line="640" w:lineRule="exact"/>
        <w:ind w:firstLine="640"/>
        <w:jc w:val="both"/>
        <w:outlineLvl w:val="2"/>
      </w:pPr>
      <w:r>
        <w:rPr>
          <w:rFonts w:ascii="黑体" w:hAnsi="黑体" w:eastAsia="黑体"/>
          <w:sz w:val="32"/>
        </w:rPr>
        <w:t>二、收入决算情况说明</w:t>
      </w:r>
    </w:p>
    <w:p w14:paraId="20177B7A">
      <w:pPr>
        <w:spacing w:line="580" w:lineRule="exact"/>
        <w:ind w:firstLine="640"/>
        <w:jc w:val="both"/>
      </w:pPr>
      <w:r>
        <w:rPr>
          <w:rFonts w:ascii="仿宋_GB2312" w:hAnsi="仿宋_GB2312" w:eastAsia="仿宋_GB2312"/>
          <w:b/>
          <w:sz w:val="32"/>
        </w:rPr>
        <w:t>本年收入235.45万元，</w:t>
      </w:r>
      <w:r>
        <w:rPr>
          <w:rFonts w:ascii="仿宋_GB2312" w:hAnsi="仿宋_GB2312" w:eastAsia="仿宋_GB2312"/>
          <w:b w:val="0"/>
          <w:sz w:val="32"/>
        </w:rPr>
        <w:t>其中：财政拨款收入235.44万元，占100.00%；上级补助收入0.00万元，占0.00%；事业收入0.00万元，占0.00%；经营收入0.00万元，占0.00%；附属单位上缴收入0.00万元，占0.00%；其他收入0.01万元，占0.004%。</w:t>
      </w:r>
    </w:p>
    <w:p w14:paraId="66EBA6EE">
      <w:pPr>
        <w:spacing w:line="640" w:lineRule="exact"/>
        <w:ind w:firstLine="640"/>
        <w:jc w:val="both"/>
        <w:outlineLvl w:val="2"/>
      </w:pPr>
      <w:r>
        <w:rPr>
          <w:rFonts w:ascii="黑体" w:hAnsi="黑体" w:eastAsia="黑体"/>
          <w:sz w:val="32"/>
        </w:rPr>
        <w:t>三、支出决算情况说明</w:t>
      </w:r>
    </w:p>
    <w:p w14:paraId="1F6FC788">
      <w:pPr>
        <w:spacing w:line="580" w:lineRule="exact"/>
        <w:ind w:firstLine="640"/>
        <w:jc w:val="both"/>
      </w:pPr>
      <w:r>
        <w:rPr>
          <w:rFonts w:ascii="仿宋_GB2312" w:hAnsi="仿宋_GB2312" w:eastAsia="仿宋_GB2312"/>
          <w:b/>
          <w:sz w:val="32"/>
        </w:rPr>
        <w:t>本年支出235.46万元，</w:t>
      </w:r>
      <w:r>
        <w:rPr>
          <w:rFonts w:ascii="仿宋_GB2312" w:hAnsi="仿宋_GB2312" w:eastAsia="仿宋_GB2312"/>
          <w:b w:val="0"/>
          <w:sz w:val="32"/>
        </w:rPr>
        <w:t>其中：基本支出235.46万元，占100.00%；项目支出0.00万元，占0.00%；上缴上级支出0.00万元，占0.00%；经营支出0.00万元，占0.00%；对附属单位补助支出0.00万元，占0.00%。</w:t>
      </w:r>
    </w:p>
    <w:p w14:paraId="4FC52367">
      <w:pPr>
        <w:spacing w:line="640" w:lineRule="exact"/>
        <w:ind w:firstLine="640"/>
        <w:jc w:val="both"/>
        <w:outlineLvl w:val="2"/>
      </w:pPr>
      <w:r>
        <w:rPr>
          <w:rFonts w:ascii="黑体" w:hAnsi="黑体" w:eastAsia="黑体"/>
          <w:sz w:val="32"/>
        </w:rPr>
        <w:t>四、财政拨款收入支出决算总体情况说明</w:t>
      </w:r>
    </w:p>
    <w:p w14:paraId="4A48E15A">
      <w:pPr>
        <w:spacing w:line="580" w:lineRule="exact"/>
        <w:ind w:firstLine="640"/>
        <w:jc w:val="both"/>
      </w:pPr>
      <w:r>
        <w:rPr>
          <w:rFonts w:ascii="仿宋_GB2312" w:hAnsi="仿宋_GB2312" w:eastAsia="仿宋_GB2312"/>
          <w:b/>
          <w:sz w:val="32"/>
        </w:rPr>
        <w:t>2024年度财政拨款收入总计235.44万元，</w:t>
      </w:r>
      <w:r>
        <w:rPr>
          <w:rFonts w:ascii="仿宋_GB2312" w:hAnsi="仿宋_GB2312" w:eastAsia="仿宋_GB2312"/>
          <w:b w:val="0"/>
          <w:sz w:val="32"/>
        </w:rPr>
        <w:t>其中：年初财政拨款结转和结余0.00万元，本年财政拨款收入235.44万元。</w:t>
      </w:r>
      <w:r>
        <w:rPr>
          <w:rFonts w:ascii="仿宋_GB2312" w:hAnsi="仿宋_GB2312" w:eastAsia="仿宋_GB2312"/>
          <w:b/>
          <w:sz w:val="32"/>
        </w:rPr>
        <w:t>财政拨款支出总计235.44万元，</w:t>
      </w:r>
      <w:r>
        <w:rPr>
          <w:rFonts w:ascii="仿宋_GB2312" w:hAnsi="仿宋_GB2312" w:eastAsia="仿宋_GB2312"/>
          <w:b w:val="0"/>
          <w:sz w:val="32"/>
        </w:rPr>
        <w:t>其中：年末财政拨款结转和结余0.00万元，本年财政拨款支出235.44万元。</w:t>
      </w:r>
    </w:p>
    <w:p w14:paraId="06B058E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增加4.43万元，增长1.92%，主要原因是：本年增加退休人员基础绩效奖，退休费支出增加。</w:t>
      </w:r>
      <w:r>
        <w:rPr>
          <w:rFonts w:ascii="仿宋_GB2312" w:hAnsi="仿宋_GB2312" w:eastAsia="仿宋_GB2312"/>
          <w:b/>
          <w:sz w:val="32"/>
        </w:rPr>
        <w:t>与年初预算相比，</w:t>
      </w:r>
      <w:r>
        <w:rPr>
          <w:rFonts w:ascii="仿宋_GB2312" w:hAnsi="仿宋_GB2312" w:eastAsia="仿宋_GB2312"/>
          <w:b w:val="0"/>
          <w:sz w:val="32"/>
        </w:rPr>
        <w:t>年初预算数258.93万元，决算数235.44万元，预决算差异率-9.07%，主要原因是：本年在职人员减少，年中调减人员经费，导致预决算存在差异。</w:t>
      </w:r>
    </w:p>
    <w:p w14:paraId="4F9723B6">
      <w:pPr>
        <w:spacing w:line="640" w:lineRule="exact"/>
        <w:ind w:firstLine="640"/>
        <w:jc w:val="both"/>
        <w:outlineLvl w:val="2"/>
      </w:pPr>
      <w:r>
        <w:rPr>
          <w:rFonts w:ascii="黑体" w:hAnsi="黑体" w:eastAsia="黑体"/>
          <w:sz w:val="32"/>
        </w:rPr>
        <w:t>五、一般公共预算财政拨款支出决算情况说明</w:t>
      </w:r>
    </w:p>
    <w:p w14:paraId="6127DFB8">
      <w:pPr>
        <w:spacing w:line="640" w:lineRule="exact"/>
        <w:ind w:firstLine="640"/>
        <w:jc w:val="both"/>
        <w:outlineLvl w:val="3"/>
      </w:pPr>
      <w:r>
        <w:rPr>
          <w:rFonts w:ascii="楷体_GB2312" w:hAnsi="楷体_GB2312" w:eastAsia="楷体_GB2312"/>
          <w:b/>
          <w:sz w:val="32"/>
        </w:rPr>
        <w:t>（一）一般公共预算财政拨款支出决算总体情况</w:t>
      </w:r>
    </w:p>
    <w:p w14:paraId="450FB2FC">
      <w:pPr>
        <w:spacing w:line="580" w:lineRule="exact"/>
        <w:ind w:firstLine="640"/>
        <w:jc w:val="both"/>
      </w:pPr>
      <w:r>
        <w:rPr>
          <w:rFonts w:ascii="仿宋_GB2312" w:hAnsi="仿宋_GB2312" w:eastAsia="仿宋_GB2312"/>
          <w:b/>
          <w:sz w:val="32"/>
        </w:rPr>
        <w:t>2024年度一般公共预算财政拨款支出235.44万元，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增加4.43万元，增长1.92%，主要原因是：本年增加退休人员基础绩效奖，退休费支出增加。</w:t>
      </w:r>
      <w:r>
        <w:rPr>
          <w:rFonts w:ascii="仿宋_GB2312" w:hAnsi="仿宋_GB2312" w:eastAsia="仿宋_GB2312"/>
          <w:b/>
          <w:sz w:val="32"/>
        </w:rPr>
        <w:t>与年初预算相比,</w:t>
      </w:r>
      <w:r>
        <w:rPr>
          <w:rFonts w:ascii="仿宋_GB2312" w:hAnsi="仿宋_GB2312" w:eastAsia="仿宋_GB2312"/>
          <w:b w:val="0"/>
          <w:sz w:val="32"/>
        </w:rPr>
        <w:t>年初预算数258.93万元，决算数235.44万元，预决算差异率-9.07%，</w:t>
      </w:r>
      <w:bookmarkStart w:id="0" w:name="_GoBack"/>
      <w:bookmarkEnd w:id="0"/>
      <w:r>
        <w:rPr>
          <w:rFonts w:ascii="仿宋_GB2312" w:hAnsi="仿宋_GB2312" w:eastAsia="仿宋_GB2312"/>
          <w:b w:val="0"/>
          <w:sz w:val="32"/>
        </w:rPr>
        <w:t>主要原因是：本年在职人员减少，年中调减人员经费，导致预决算存在差异。</w:t>
      </w:r>
    </w:p>
    <w:p w14:paraId="6D7DCD28">
      <w:pPr>
        <w:spacing w:line="640" w:lineRule="exact"/>
        <w:ind w:firstLine="640"/>
        <w:jc w:val="both"/>
        <w:outlineLvl w:val="3"/>
      </w:pPr>
      <w:r>
        <w:rPr>
          <w:rFonts w:ascii="楷体_GB2312" w:hAnsi="楷体_GB2312" w:eastAsia="楷体_GB2312"/>
          <w:b/>
          <w:sz w:val="32"/>
        </w:rPr>
        <w:t>（二）一般公共预算财政拨款支出决算结构情况</w:t>
      </w:r>
    </w:p>
    <w:p w14:paraId="1AFD8157">
      <w:pPr>
        <w:spacing w:line="580" w:lineRule="exact"/>
        <w:ind w:firstLine="640"/>
        <w:jc w:val="both"/>
      </w:pPr>
      <w:r>
        <w:rPr>
          <w:rFonts w:ascii="仿宋_GB2312" w:hAnsi="仿宋_GB2312" w:eastAsia="仿宋_GB2312"/>
          <w:b w:val="0"/>
          <w:sz w:val="32"/>
        </w:rPr>
        <w:t>1.社会保障和就业支出(类)59.76万元,占25.38%。</w:t>
      </w:r>
    </w:p>
    <w:p w14:paraId="589B5CF0">
      <w:pPr>
        <w:spacing w:line="580" w:lineRule="exact"/>
        <w:ind w:firstLine="640"/>
        <w:jc w:val="both"/>
      </w:pPr>
      <w:r>
        <w:rPr>
          <w:rFonts w:ascii="仿宋_GB2312" w:hAnsi="仿宋_GB2312" w:eastAsia="仿宋_GB2312"/>
          <w:b w:val="0"/>
          <w:sz w:val="32"/>
        </w:rPr>
        <w:t>2.卫生健康支出(类)9.35万元,占3.97%。</w:t>
      </w:r>
    </w:p>
    <w:p w14:paraId="758FAFB7">
      <w:pPr>
        <w:spacing w:line="580" w:lineRule="exact"/>
        <w:ind w:firstLine="640"/>
        <w:jc w:val="both"/>
      </w:pPr>
      <w:r>
        <w:rPr>
          <w:rFonts w:ascii="仿宋_GB2312" w:hAnsi="仿宋_GB2312" w:eastAsia="仿宋_GB2312"/>
          <w:b w:val="0"/>
          <w:sz w:val="32"/>
        </w:rPr>
        <w:t>3.农林水支出(类)149.53万元,占63.51%。</w:t>
      </w:r>
    </w:p>
    <w:p w14:paraId="596F9370">
      <w:pPr>
        <w:spacing w:line="580" w:lineRule="exact"/>
        <w:ind w:firstLine="640"/>
        <w:jc w:val="both"/>
      </w:pPr>
      <w:r>
        <w:rPr>
          <w:rFonts w:ascii="仿宋_GB2312" w:hAnsi="仿宋_GB2312" w:eastAsia="仿宋_GB2312"/>
          <w:b w:val="0"/>
          <w:sz w:val="32"/>
        </w:rPr>
        <w:t>4.住房保障支出(类)16.80万元,占7.14%。</w:t>
      </w:r>
    </w:p>
    <w:p w14:paraId="414BC63A">
      <w:pPr>
        <w:spacing w:line="640" w:lineRule="exact"/>
        <w:ind w:firstLine="640"/>
        <w:jc w:val="both"/>
        <w:outlineLvl w:val="3"/>
      </w:pPr>
      <w:r>
        <w:rPr>
          <w:rFonts w:ascii="楷体_GB2312" w:hAnsi="楷体_GB2312" w:eastAsia="楷体_GB2312"/>
          <w:b/>
          <w:sz w:val="32"/>
        </w:rPr>
        <w:t>（三）一般公共预算财政拨款支出决算具体情况</w:t>
      </w:r>
    </w:p>
    <w:p w14:paraId="7822C315">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1.社会保障和就业支出(类)行政事业单位养老支出(款)事业单位离退休(项):支出决算数为31.61万元，比上年决算增加20.84万元，增长193.50%,主要原因是：本年增加退休人员基础绩效奖，退休费支出增加。</w:t>
      </w:r>
    </w:p>
    <w:p w14:paraId="3A67394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20.48万元，比上年决算增加0.22万元，增长1.09%,主要原因是：本年在职人员工资基数调增，养老缴费基数上涨，相应支出增加。</w:t>
      </w:r>
    </w:p>
    <w:p w14:paraId="549FF61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3.社会保障和就业支出(类)行政事业单位养老支出(款)机关事业单位职业年金缴费支出(项):支出决算数为7.68万元，比上年决算增加1.32万元，增长20.75%,主要原因是：本年新增退休人员，职业年金缴费支出增加。</w:t>
      </w:r>
    </w:p>
    <w:p w14:paraId="5F87CD8C">
      <w:pPr>
        <w:spacing w:line="580" w:lineRule="exact"/>
        <w:ind w:firstLine="640"/>
        <w:jc w:val="both"/>
      </w:pPr>
      <w:r>
        <w:rPr>
          <w:rFonts w:ascii="仿宋_GB2312" w:hAnsi="仿宋_GB2312" w:eastAsia="仿宋_GB2312"/>
          <w:b w:val="0"/>
          <w:sz w:val="32"/>
        </w:rPr>
        <w:t>4.卫生健康支出(类)行政事业单位医疗(款)事业单位医疗(项):支出决算数为9.35万元，比上年决算减少0.50万元，下降5.08%,主要原因是：本年在职人员减少，事业单位医疗支出较上年减少。</w:t>
      </w:r>
    </w:p>
    <w:p w14:paraId="6C425ADC">
      <w:pPr>
        <w:spacing w:line="580" w:lineRule="exact"/>
        <w:ind w:firstLine="640"/>
        <w:jc w:val="both"/>
      </w:pPr>
      <w:r>
        <w:rPr>
          <w:rFonts w:ascii="仿宋_GB2312" w:hAnsi="仿宋_GB2312" w:eastAsia="仿宋_GB2312"/>
          <w:b w:val="0"/>
          <w:sz w:val="32"/>
        </w:rPr>
        <w:t>5.农林水支出(类)农业农村(款)事业运行(项):支出决算数为0.00万元，比上年决算减少2.15万元，下降100.00%,主要原因是：本年度胡管站补发艰边津贴减少，导致相关经费减少。</w:t>
      </w:r>
    </w:p>
    <w:p w14:paraId="6AF96A04">
      <w:pPr>
        <w:spacing w:line="580" w:lineRule="exact"/>
        <w:ind w:firstLine="640"/>
        <w:jc w:val="both"/>
      </w:pPr>
      <w:r>
        <w:rPr>
          <w:rFonts w:ascii="仿宋_GB2312" w:hAnsi="仿宋_GB2312" w:eastAsia="仿宋_GB2312"/>
          <w:b w:val="0"/>
          <w:sz w:val="32"/>
        </w:rPr>
        <w:t>6.农林水支出(类)林业和草原(款)事业机构(项):支出决算数为149.53万元，比上年决算减少15.54万元，下降9.41%,主要原因是：本年在职人员减少，相关人员经费支出较上年减少。</w:t>
      </w:r>
    </w:p>
    <w:p w14:paraId="11F3B7FC">
      <w:pPr>
        <w:spacing w:line="580" w:lineRule="exact"/>
        <w:ind w:firstLine="640"/>
        <w:jc w:val="both"/>
      </w:pPr>
      <w:r>
        <w:rPr>
          <w:rFonts w:ascii="仿宋_GB2312" w:hAnsi="仿宋_GB2312" w:eastAsia="仿宋_GB2312"/>
          <w:b w:val="0"/>
          <w:sz w:val="32"/>
        </w:rPr>
        <w:t>7.住房保障支出(类)住房改革支出(款)住房公积金(项):支出决算数为16.80万元，比上年决算增加0.24万元，增长1.45%,主要原因是：本年在职人员工资基数调增，公积金缴费基数上涨，相应支出增加。</w:t>
      </w:r>
    </w:p>
    <w:p w14:paraId="7A78C7FA">
      <w:pPr>
        <w:spacing w:line="640" w:lineRule="exact"/>
        <w:ind w:firstLine="640"/>
        <w:jc w:val="both"/>
        <w:outlineLvl w:val="2"/>
      </w:pPr>
      <w:r>
        <w:rPr>
          <w:rFonts w:ascii="黑体" w:hAnsi="黑体" w:eastAsia="黑体"/>
          <w:sz w:val="32"/>
        </w:rPr>
        <w:t>六、一般公共预算财政拨款基本支出决算情况说明</w:t>
      </w:r>
    </w:p>
    <w:p w14:paraId="37ABA7D0">
      <w:pPr>
        <w:spacing w:line="580" w:lineRule="exact"/>
        <w:ind w:firstLine="640"/>
        <w:jc w:val="both"/>
      </w:pPr>
      <w:r>
        <w:rPr>
          <w:rFonts w:ascii="仿宋_GB2312" w:hAnsi="仿宋_GB2312" w:eastAsia="仿宋_GB2312"/>
          <w:b w:val="0"/>
          <w:sz w:val="32"/>
        </w:rPr>
        <w:t>2024年度一般公共预算财政拨款基本支出235.44万元，其中：</w:t>
      </w:r>
      <w:r>
        <w:rPr>
          <w:rFonts w:ascii="仿宋_GB2312" w:hAnsi="仿宋_GB2312" w:eastAsia="仿宋_GB2312"/>
          <w:b/>
          <w:sz w:val="32"/>
        </w:rPr>
        <w:t>人员经费233.71万元，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包括：基本工资、津贴补贴、奖金、绩效工资、机关事业单位基本养老保险缴费、职业年金缴费、职工基本医疗保险缴费、其他社会保障缴费、住房公积金、退休费、抚恤金、生活补助、奖励金。</w:t>
      </w:r>
    </w:p>
    <w:p w14:paraId="05B143CB">
      <w:pPr>
        <w:spacing w:line="580" w:lineRule="exact"/>
        <w:ind w:firstLine="640"/>
        <w:jc w:val="both"/>
      </w:pPr>
      <w:r>
        <w:rPr>
          <w:rFonts w:ascii="仿宋_GB2312" w:hAnsi="仿宋_GB2312" w:eastAsia="仿宋_GB2312"/>
          <w:b/>
          <w:sz w:val="32"/>
        </w:rPr>
        <w:t>公用经费1.73万元，</w:t>
      </w:r>
      <w:r>
        <w:rPr>
          <w:rFonts w:ascii="仿宋_GB2312" w:hAnsi="仿宋_GB2312" w:eastAsia="仿宋_GB2312"/>
          <w:b w:val="0"/>
          <w:sz w:val="32"/>
        </w:rPr>
        <w:t>包括：办公费、电费、邮电费、差旅费、维修（护）费。</w:t>
      </w:r>
    </w:p>
    <w:p w14:paraId="063E854B">
      <w:pPr>
        <w:spacing w:line="640" w:lineRule="exact"/>
        <w:ind w:firstLine="640"/>
        <w:jc w:val="both"/>
        <w:outlineLvl w:val="2"/>
      </w:pPr>
      <w:r>
        <w:rPr>
          <w:rFonts w:ascii="黑体" w:hAnsi="黑体" w:eastAsia="黑体"/>
          <w:sz w:val="32"/>
        </w:rPr>
        <w:t>七、政府性基金预算财政拨款收入支出决算情况说明</w:t>
      </w:r>
    </w:p>
    <w:p w14:paraId="1AC6BD3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9EA9681">
      <w:pPr>
        <w:spacing w:line="640" w:lineRule="exact"/>
        <w:ind w:firstLine="640"/>
        <w:jc w:val="both"/>
        <w:outlineLvl w:val="2"/>
      </w:pPr>
      <w:r>
        <w:rPr>
          <w:rFonts w:ascii="黑体" w:hAnsi="黑体" w:eastAsia="黑体"/>
          <w:sz w:val="32"/>
        </w:rPr>
        <w:t>八、国有资本经营预算财政拨款收入支出决算情况说明</w:t>
      </w:r>
    </w:p>
    <w:p w14:paraId="7FB00C9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E48407">
      <w:pPr>
        <w:spacing w:line="640" w:lineRule="exact"/>
        <w:ind w:firstLine="640"/>
        <w:jc w:val="both"/>
        <w:outlineLvl w:val="2"/>
      </w:pPr>
      <w:r>
        <w:rPr>
          <w:rFonts w:ascii="黑体" w:hAnsi="黑体" w:eastAsia="黑体"/>
          <w:sz w:val="32"/>
        </w:rPr>
        <w:t>九、财政拨款“三公”经费支出决算情况说明</w:t>
      </w:r>
    </w:p>
    <w:p w14:paraId="312BC58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1.08万元，下降100.00%，主要原因是：本年本单位未安排此项工作，“三公”经费支出较上年减少。其中：因公出国（境）费支出0.00万元，占0.00%，比上年增加0.00万元，增长0.00%，主要原因是：2023年与2024年均未安排因公出国（境）费支出。公务用车购置及运行维护费支出0.00万元，占0.00%，比上年减少1.08万元，下降100.00%，主要原因是：严格落实中央八项规定精神，厉行节约，减少公务用车运行维护费。公务接待费支出0.00万元，占0.00%，比上年增加0.00万元，增长0.00%，主要原因是：2023年与2024年均未安排公务接待费支出。</w:t>
      </w:r>
    </w:p>
    <w:p w14:paraId="472A4C2E">
      <w:pPr>
        <w:spacing w:line="580" w:lineRule="exact"/>
        <w:ind w:firstLine="640"/>
        <w:jc w:val="both"/>
      </w:pPr>
      <w:r>
        <w:rPr>
          <w:rFonts w:ascii="仿宋_GB2312" w:hAnsi="仿宋_GB2312" w:eastAsia="仿宋_GB2312"/>
          <w:b/>
          <w:sz w:val="32"/>
        </w:rPr>
        <w:t>具体情况如下：</w:t>
      </w:r>
    </w:p>
    <w:p w14:paraId="02CDD32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5693F0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D1B50C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4B99CD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382377A">
      <w:pPr>
        <w:spacing w:line="640" w:lineRule="exact"/>
        <w:ind w:firstLine="640"/>
        <w:jc w:val="both"/>
        <w:outlineLvl w:val="2"/>
      </w:pPr>
      <w:r>
        <w:rPr>
          <w:rFonts w:ascii="黑体" w:hAnsi="黑体" w:eastAsia="黑体"/>
          <w:sz w:val="32"/>
        </w:rPr>
        <w:t>十、其他重要事项的情况说明</w:t>
      </w:r>
    </w:p>
    <w:p w14:paraId="7DC62773">
      <w:pPr>
        <w:spacing w:line="640" w:lineRule="exact"/>
        <w:ind w:firstLine="640"/>
        <w:jc w:val="both"/>
        <w:outlineLvl w:val="3"/>
      </w:pPr>
      <w:r>
        <w:rPr>
          <w:rFonts w:ascii="楷体_GB2312" w:hAnsi="楷体_GB2312" w:eastAsia="楷体_GB2312"/>
          <w:b/>
          <w:sz w:val="32"/>
        </w:rPr>
        <w:t>（一）机关运行经费及公用经费支出情况</w:t>
      </w:r>
    </w:p>
    <w:p w14:paraId="37B0BA28">
      <w:pPr>
        <w:spacing w:line="580" w:lineRule="exact"/>
        <w:ind w:firstLine="640"/>
        <w:jc w:val="both"/>
      </w:pPr>
      <w:r>
        <w:rPr>
          <w:rFonts w:ascii="仿宋_GB2312" w:hAnsi="仿宋_GB2312" w:eastAsia="仿宋_GB2312"/>
          <w:b w:val="0"/>
          <w:sz w:val="32"/>
        </w:rPr>
        <w:t>2024年度轮台县胡杨林管护站（事业单位）公用经费支出1.73万元，比上年减少0.99万元，下降36.40%，主要原因是：严控经费支出，厉行节约，减少经费支出。</w:t>
      </w:r>
    </w:p>
    <w:p w14:paraId="317F1B04">
      <w:pPr>
        <w:spacing w:line="640" w:lineRule="exact"/>
        <w:ind w:firstLine="640"/>
        <w:jc w:val="both"/>
        <w:outlineLvl w:val="3"/>
      </w:pPr>
      <w:r>
        <w:rPr>
          <w:rFonts w:ascii="楷体_GB2312" w:hAnsi="楷体_GB2312" w:eastAsia="楷体_GB2312"/>
          <w:b/>
          <w:sz w:val="32"/>
        </w:rPr>
        <w:t>（二）政府采购情况</w:t>
      </w:r>
    </w:p>
    <w:p w14:paraId="585143BD">
      <w:pPr>
        <w:spacing w:line="580" w:lineRule="exact"/>
        <w:ind w:firstLine="640"/>
        <w:jc w:val="both"/>
      </w:pPr>
      <w:r>
        <w:rPr>
          <w:rFonts w:ascii="仿宋_GB2312" w:hAnsi="仿宋_GB2312" w:eastAsia="仿宋_GB2312"/>
          <w:b w:val="0"/>
          <w:sz w:val="32"/>
        </w:rPr>
        <w:t>2024年度政府采购支出总额0.57万元，其中：政府采购货物支出0.13万元、政府采购工程支出0.00万元、政府采购服务支出0.44万元。</w:t>
      </w:r>
    </w:p>
    <w:p w14:paraId="04EDDD2C">
      <w:pPr>
        <w:spacing w:line="580" w:lineRule="exact"/>
        <w:ind w:firstLine="640"/>
        <w:jc w:val="both"/>
      </w:pPr>
      <w:r>
        <w:rPr>
          <w:rFonts w:ascii="仿宋_GB2312" w:hAnsi="仿宋_GB2312" w:eastAsia="仿宋_GB2312"/>
          <w:b w:val="0"/>
          <w:sz w:val="32"/>
        </w:rPr>
        <w:t>授予中小企业合同金额0.57万元，占政府采购支出总额的100.00%，其中：授予小微企业合同金额0.57万元，占政府采购支出总额的100.00%。</w:t>
      </w:r>
    </w:p>
    <w:p w14:paraId="066D5FCD">
      <w:pPr>
        <w:spacing w:line="640" w:lineRule="exact"/>
        <w:ind w:firstLine="640"/>
        <w:jc w:val="both"/>
        <w:outlineLvl w:val="3"/>
      </w:pPr>
      <w:r>
        <w:rPr>
          <w:rFonts w:ascii="楷体_GB2312" w:hAnsi="楷体_GB2312" w:eastAsia="楷体_GB2312"/>
          <w:b/>
          <w:sz w:val="32"/>
        </w:rPr>
        <w:t>（三）国有资产占用情况说明</w:t>
      </w:r>
    </w:p>
    <w:p w14:paraId="2140C25B">
      <w:pPr>
        <w:spacing w:line="580" w:lineRule="exact"/>
        <w:ind w:firstLine="640"/>
        <w:jc w:val="both"/>
      </w:pPr>
      <w:r>
        <w:rPr>
          <w:rFonts w:ascii="仿宋_GB2312" w:hAnsi="仿宋_GB2312" w:eastAsia="仿宋_GB2312"/>
          <w:b w:val="0"/>
          <w:sz w:val="32"/>
        </w:rPr>
        <w:t>截至2024年12月31日，房屋1,282.00平方米，价值91.32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923C3E4">
      <w:pPr>
        <w:spacing w:line="640" w:lineRule="exact"/>
        <w:ind w:firstLine="640"/>
        <w:jc w:val="both"/>
        <w:outlineLvl w:val="2"/>
      </w:pPr>
      <w:r>
        <w:rPr>
          <w:rFonts w:ascii="黑体" w:hAnsi="黑体" w:eastAsia="黑体"/>
          <w:sz w:val="32"/>
        </w:rPr>
        <w:t>十一、预算绩效的情况说明</w:t>
      </w:r>
    </w:p>
    <w:p w14:paraId="746DB45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238.48万元，实际执行总额235.46万元；预算绩效评价项目0个，全年预算数0.00万元，全年执行数0.00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需要进一步提高绩效管理工作人员的业务能力水平；二是因预期评估，还需准确掌握各时点的指标值，从而在预期目标范围之内。下一步改进措施：一是加强新行政单位会计制度和新预算法学习培训、规范账务处理，加强新《中华人民共和国预算法》《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w:t>
      </w:r>
    </w:p>
    <w:p w14:paraId="5330FE9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FEC133B">
        <w:tblPrEx>
          <w:tblCellMar>
            <w:top w:w="0" w:type="dxa"/>
            <w:left w:w="108" w:type="dxa"/>
            <w:bottom w:w="0" w:type="dxa"/>
            <w:right w:w="108" w:type="dxa"/>
          </w:tblCellMar>
        </w:tblPrEx>
        <w:tc>
          <w:tcPr>
            <w:tcW w:w="8840" w:type="dxa"/>
            <w:gridSpan w:val="8"/>
            <w:vAlign w:val="center"/>
          </w:tcPr>
          <w:p w14:paraId="446310A8">
            <w:pPr>
              <w:jc w:val="center"/>
            </w:pPr>
            <w:r>
              <w:rPr>
                <w:rFonts w:ascii="宋体" w:hAnsi="宋体" w:eastAsia="宋体"/>
                <w:sz w:val="24"/>
              </w:rPr>
              <w:t>单位整体支出绩效自评表</w:t>
            </w:r>
          </w:p>
        </w:tc>
      </w:tr>
      <w:tr w14:paraId="42B4700B">
        <w:tblPrEx>
          <w:tblCellMar>
            <w:top w:w="0" w:type="dxa"/>
            <w:left w:w="108" w:type="dxa"/>
            <w:bottom w:w="0" w:type="dxa"/>
            <w:right w:w="108" w:type="dxa"/>
          </w:tblCellMar>
        </w:tblPrEx>
        <w:tc>
          <w:tcPr>
            <w:tcW w:w="8840" w:type="dxa"/>
            <w:gridSpan w:val="8"/>
            <w:vAlign w:val="center"/>
          </w:tcPr>
          <w:p w14:paraId="6AFABDDF">
            <w:pPr>
              <w:jc w:val="center"/>
            </w:pPr>
            <w:r>
              <w:rPr>
                <w:rFonts w:ascii="宋体" w:hAnsi="宋体" w:eastAsia="宋体"/>
                <w:sz w:val="24"/>
              </w:rPr>
              <w:t>（2024年度）</w:t>
            </w:r>
          </w:p>
        </w:tc>
      </w:tr>
      <w:tr w14:paraId="5A97178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1EC0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D2B52">
            <w:pPr>
              <w:jc w:val="center"/>
            </w:pPr>
            <w:r>
              <w:rPr>
                <w:rFonts w:ascii="宋体" w:hAnsi="宋体" w:eastAsia="宋体"/>
                <w:sz w:val="16"/>
              </w:rPr>
              <w:t>轮台县胡杨林管护站</w:t>
            </w:r>
          </w:p>
        </w:tc>
      </w:tr>
      <w:tr w14:paraId="4EAB115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E24D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8805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651E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C74B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8339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44B4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EE43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C7363">
            <w:pPr>
              <w:jc w:val="center"/>
            </w:pPr>
            <w:r>
              <w:rPr>
                <w:rFonts w:ascii="宋体" w:hAnsi="宋体" w:eastAsia="宋体"/>
                <w:sz w:val="16"/>
              </w:rPr>
              <w:t>得分</w:t>
            </w:r>
          </w:p>
        </w:tc>
      </w:tr>
      <w:tr w14:paraId="2C564A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60A7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6B7A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EA9F6">
            <w:pPr>
              <w:jc w:val="center"/>
            </w:pPr>
            <w:r>
              <w:rPr>
                <w:rFonts w:ascii="宋体" w:hAnsi="宋体" w:eastAsia="宋体"/>
                <w:sz w:val="16"/>
              </w:rPr>
              <w:t>258.93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6FAF9">
            <w:pPr>
              <w:jc w:val="center"/>
            </w:pPr>
            <w:r>
              <w:rPr>
                <w:rFonts w:ascii="宋体" w:hAnsi="宋体" w:eastAsia="宋体"/>
                <w:sz w:val="16"/>
              </w:rPr>
              <w:t>238.48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2FCCF">
            <w:pPr>
              <w:jc w:val="center"/>
            </w:pPr>
            <w:r>
              <w:rPr>
                <w:rFonts w:ascii="宋体" w:hAnsi="宋体" w:eastAsia="宋体"/>
                <w:sz w:val="16"/>
              </w:rPr>
              <w:t>235.46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B38B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92C7C">
            <w:pPr>
              <w:jc w:val="center"/>
            </w:pPr>
            <w:r>
              <w:rPr>
                <w:rFonts w:ascii="宋体" w:hAnsi="宋体" w:eastAsia="宋体"/>
                <w:sz w:val="16"/>
              </w:rPr>
              <w:t>98.73%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DFB84">
            <w:pPr>
              <w:jc w:val="center"/>
            </w:pPr>
            <w:r>
              <w:rPr>
                <w:rFonts w:ascii="宋体" w:hAnsi="宋体" w:eastAsia="宋体"/>
                <w:sz w:val="16"/>
              </w:rPr>
              <w:t>9.87</w:t>
            </w:r>
          </w:p>
        </w:tc>
      </w:tr>
      <w:tr w14:paraId="6ECAF0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6CC6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8C49A">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CDBA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BE81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ABE3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FBBE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1FCC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6F231">
            <w:pPr>
              <w:jc w:val="center"/>
            </w:pPr>
            <w:r>
              <w:rPr>
                <w:rFonts w:ascii="宋体" w:hAnsi="宋体" w:eastAsia="宋体"/>
                <w:sz w:val="16"/>
              </w:rPr>
              <w:t>-</w:t>
            </w:r>
          </w:p>
        </w:tc>
      </w:tr>
      <w:tr w14:paraId="058EC5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0FA0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564B7">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67444">
            <w:pPr>
              <w:jc w:val="center"/>
            </w:pPr>
            <w:r>
              <w:rPr>
                <w:rFonts w:ascii="宋体" w:hAnsi="宋体" w:eastAsia="宋体"/>
                <w:sz w:val="16"/>
              </w:rPr>
              <w:t>258.93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DF46A">
            <w:pPr>
              <w:jc w:val="center"/>
            </w:pPr>
            <w:r>
              <w:rPr>
                <w:rFonts w:ascii="宋体" w:hAnsi="宋体" w:eastAsia="宋体"/>
                <w:sz w:val="16"/>
              </w:rPr>
              <w:t>235.44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B6AFD">
            <w:pPr>
              <w:jc w:val="center"/>
            </w:pPr>
            <w:r>
              <w:rPr>
                <w:rFonts w:ascii="宋体" w:hAnsi="宋体" w:eastAsia="宋体"/>
                <w:sz w:val="16"/>
              </w:rPr>
              <w:t>235.44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A8D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54C7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A2E26">
            <w:pPr>
              <w:jc w:val="center"/>
            </w:pPr>
            <w:r>
              <w:rPr>
                <w:rFonts w:ascii="宋体" w:hAnsi="宋体" w:eastAsia="宋体"/>
                <w:sz w:val="16"/>
              </w:rPr>
              <w:t>-</w:t>
            </w:r>
          </w:p>
        </w:tc>
      </w:tr>
      <w:tr w14:paraId="1E47DD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203C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1E518">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D0B3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4F273">
            <w:pPr>
              <w:jc w:val="center"/>
            </w:pPr>
            <w:r>
              <w:rPr>
                <w:rFonts w:ascii="宋体" w:hAnsi="宋体" w:eastAsia="宋体"/>
                <w:sz w:val="16"/>
              </w:rPr>
              <w:t>3.04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7469E">
            <w:pPr>
              <w:jc w:val="center"/>
            </w:pPr>
            <w:r>
              <w:rPr>
                <w:rFonts w:ascii="宋体" w:hAnsi="宋体" w:eastAsia="宋体"/>
                <w:sz w:val="16"/>
              </w:rPr>
              <w:t>0.02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248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B6D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CC88A">
            <w:pPr>
              <w:jc w:val="center"/>
            </w:pPr>
            <w:r>
              <w:rPr>
                <w:rFonts w:ascii="宋体" w:hAnsi="宋体" w:eastAsia="宋体"/>
                <w:sz w:val="16"/>
              </w:rPr>
              <w:t>-</w:t>
            </w:r>
          </w:p>
        </w:tc>
      </w:tr>
      <w:tr w14:paraId="10FB4C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2E09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585DF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4F0045">
            <w:pPr>
              <w:jc w:val="center"/>
            </w:pPr>
            <w:r>
              <w:rPr>
                <w:rFonts w:ascii="宋体" w:hAnsi="宋体" w:eastAsia="宋体"/>
                <w:sz w:val="16"/>
              </w:rPr>
              <w:t>实际完成情况</w:t>
            </w:r>
          </w:p>
        </w:tc>
      </w:tr>
      <w:tr w14:paraId="316A72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38636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2721FE">
            <w:pPr>
              <w:jc w:val="both"/>
            </w:pPr>
            <w:r>
              <w:rPr>
                <w:rFonts w:ascii="宋体" w:hAnsi="宋体" w:eastAsia="宋体"/>
                <w:sz w:val="16"/>
              </w:rPr>
              <w:t>1.做好全县（伴行公路以南）所有天然林（主要是天然胡杨林）的管护工作，宣传贯彻执行林业政策、法律法规，提高群众的知法、懂法、守法的自觉性，管护面积共计398.98万亩；2.对林区巡护每月不低于10次，没建站的林区每月至少2次巡护，做好巡护记录，及时反馈林区的发生情况，年度巡护次数不得少于260次；3.开展《</w:t>
            </w:r>
            <w:r>
              <w:rPr>
                <w:rFonts w:hint="eastAsia" w:ascii="宋体" w:hAnsi="宋体"/>
                <w:sz w:val="16"/>
                <w:lang w:eastAsia="zh-CN"/>
              </w:rPr>
              <w:t>中华人民共和国森林法</w:t>
            </w:r>
            <w:r>
              <w:rPr>
                <w:rFonts w:ascii="宋体" w:hAnsi="宋体" w:eastAsia="宋体"/>
                <w:sz w:val="16"/>
              </w:rPr>
              <w:t>》《森林防火条例》《森林病虫害防治条例》《野生动植物保护法》等宣传教育，提高群众对国家公益林管护工作深刻的认识，开展宣传培训次数60次人数。</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B1D584">
            <w:pPr>
              <w:jc w:val="both"/>
            </w:pPr>
            <w:r>
              <w:rPr>
                <w:rFonts w:ascii="宋体" w:hAnsi="宋体" w:eastAsia="宋体"/>
                <w:sz w:val="16"/>
              </w:rPr>
              <w:t xml:space="preserve">1.完成管护面积共计398.98万亩，宣传贯彻执行林业政策、法律法规，提高群众的林草知法、懂法、守法的自觉性；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2.完成林区巡护，做好巡护记录，及时反馈林区的发生情况，年度巡护次数260次，持续开展胡杨林管护工作，有效提升了天然林环境健康发展；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3.完成开展《</w:t>
            </w:r>
            <w:r>
              <w:rPr>
                <w:rFonts w:hint="eastAsia" w:ascii="宋体" w:hAnsi="宋体"/>
                <w:sz w:val="16"/>
                <w:lang w:eastAsia="zh-CN"/>
              </w:rPr>
              <w:t>中华人民共和国森林法</w:t>
            </w:r>
            <w:r>
              <w:rPr>
                <w:rFonts w:ascii="宋体" w:hAnsi="宋体" w:eastAsia="宋体"/>
                <w:sz w:val="16"/>
              </w:rPr>
              <w:t>》《森林防火条例》《森林病虫害防治条例》《野生动植物保护法》等宣传教育60次，提高了群众对国家公益林管护工作深刻的认识。</w:t>
            </w:r>
          </w:p>
        </w:tc>
      </w:tr>
      <w:tr w14:paraId="6B4583C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74DF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7E81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343C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49E9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1AC1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4DB7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6913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6C79A">
            <w:pPr>
              <w:jc w:val="center"/>
            </w:pPr>
            <w:r>
              <w:rPr>
                <w:rFonts w:ascii="宋体" w:hAnsi="宋体" w:eastAsia="宋体"/>
                <w:sz w:val="16"/>
              </w:rPr>
              <w:t>得分</w:t>
            </w:r>
          </w:p>
        </w:tc>
      </w:tr>
      <w:tr w14:paraId="1834D9D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7454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790F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BCC1A">
            <w:pPr>
              <w:jc w:val="center"/>
            </w:pPr>
            <w:r>
              <w:rPr>
                <w:rFonts w:ascii="宋体" w:hAnsi="宋体" w:eastAsia="宋体"/>
                <w:sz w:val="16"/>
              </w:rPr>
              <w:t>公益林管护面积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CD06E">
            <w:pPr>
              <w:jc w:val="center"/>
            </w:pPr>
            <w:r>
              <w:rPr>
                <w:rFonts w:ascii="宋体" w:hAnsi="宋体" w:eastAsia="宋体"/>
                <w:sz w:val="16"/>
              </w:rPr>
              <w:t>&gt;=398.98万亩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5C279">
            <w:pPr>
              <w:jc w:val="center"/>
            </w:pPr>
            <w:r>
              <w:rPr>
                <w:rFonts w:ascii="宋体" w:hAnsi="宋体" w:eastAsia="宋体"/>
                <w:sz w:val="16"/>
              </w:rPr>
              <w:t>2024年度工作要点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24867">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312C1">
            <w:pPr>
              <w:jc w:val="center"/>
            </w:pPr>
            <w:r>
              <w:rPr>
                <w:rFonts w:ascii="宋体" w:hAnsi="宋体" w:eastAsia="宋体"/>
                <w:sz w:val="16"/>
              </w:rPr>
              <w:t>398.98万亩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9C87E">
            <w:pPr>
              <w:jc w:val="center"/>
            </w:pPr>
            <w:r>
              <w:rPr>
                <w:rFonts w:ascii="宋体" w:hAnsi="宋体" w:eastAsia="宋体"/>
                <w:sz w:val="16"/>
              </w:rPr>
              <w:t>30</w:t>
            </w:r>
          </w:p>
        </w:tc>
      </w:tr>
      <w:tr w14:paraId="4AA1AB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3E8E9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431B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FE52C">
            <w:pPr>
              <w:jc w:val="center"/>
            </w:pPr>
            <w:r>
              <w:rPr>
                <w:rFonts w:ascii="宋体" w:hAnsi="宋体" w:eastAsia="宋体"/>
                <w:sz w:val="16"/>
              </w:rPr>
              <w:t>公益林巡护次数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600A3">
            <w:pPr>
              <w:jc w:val="center"/>
            </w:pPr>
            <w:r>
              <w:rPr>
                <w:rFonts w:ascii="宋体" w:hAnsi="宋体" w:eastAsia="宋体"/>
                <w:sz w:val="16"/>
              </w:rPr>
              <w:t>&gt;=260次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943D3">
            <w:pPr>
              <w:jc w:val="center"/>
            </w:pPr>
            <w:r>
              <w:rPr>
                <w:rFonts w:ascii="宋体" w:hAnsi="宋体" w:eastAsia="宋体"/>
                <w:sz w:val="16"/>
              </w:rPr>
              <w:t>2024年度工作要点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8566D">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8EF65">
            <w:pPr>
              <w:jc w:val="center"/>
            </w:pPr>
            <w:r>
              <w:rPr>
                <w:rFonts w:ascii="宋体" w:hAnsi="宋体" w:eastAsia="宋体"/>
                <w:sz w:val="16"/>
              </w:rPr>
              <w:t>260次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8116C">
            <w:pPr>
              <w:jc w:val="center"/>
            </w:pPr>
            <w:r>
              <w:rPr>
                <w:rFonts w:ascii="宋体" w:hAnsi="宋体" w:eastAsia="宋体"/>
                <w:sz w:val="16"/>
              </w:rPr>
              <w:t>30</w:t>
            </w:r>
          </w:p>
        </w:tc>
      </w:tr>
      <w:tr w14:paraId="44CADD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6C49B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DC5F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2F4BC">
            <w:pPr>
              <w:jc w:val="center"/>
            </w:pPr>
            <w:r>
              <w:rPr>
                <w:rFonts w:ascii="宋体" w:hAnsi="宋体" w:eastAsia="宋体"/>
                <w:sz w:val="16"/>
              </w:rPr>
              <w:t>开展宣传教育培训次数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9ACD1">
            <w:pPr>
              <w:jc w:val="center"/>
            </w:pPr>
            <w:r>
              <w:rPr>
                <w:rFonts w:ascii="宋体" w:hAnsi="宋体" w:eastAsia="宋体"/>
                <w:sz w:val="16"/>
              </w:rPr>
              <w:t>&gt;=60次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499CB">
            <w:pPr>
              <w:jc w:val="center"/>
            </w:pPr>
            <w:r>
              <w:rPr>
                <w:rFonts w:ascii="宋体" w:hAnsi="宋体" w:eastAsia="宋体"/>
                <w:sz w:val="16"/>
              </w:rPr>
              <w:t>2024年度工作要点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A86C5">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4A39E">
            <w:pPr>
              <w:jc w:val="center"/>
            </w:pPr>
            <w:r>
              <w:rPr>
                <w:rFonts w:ascii="宋体" w:hAnsi="宋体" w:eastAsia="宋体"/>
                <w:sz w:val="16"/>
              </w:rPr>
              <w:t>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C5A93">
            <w:pPr>
              <w:jc w:val="center"/>
            </w:pPr>
            <w:r>
              <w:rPr>
                <w:rFonts w:ascii="宋体" w:hAnsi="宋体" w:eastAsia="宋体"/>
                <w:sz w:val="16"/>
              </w:rPr>
              <w:t>30</w:t>
            </w:r>
          </w:p>
        </w:tc>
      </w:tr>
    </w:tbl>
    <w:p w14:paraId="7C435787">
      <w:r>
        <w:br w:type="page"/>
      </w:r>
    </w:p>
    <w:p w14:paraId="26FFF552">
      <w:pPr>
        <w:spacing w:line="640" w:lineRule="exact"/>
        <w:ind w:firstLine="640"/>
        <w:jc w:val="both"/>
        <w:outlineLvl w:val="2"/>
      </w:pPr>
      <w:r>
        <w:rPr>
          <w:rFonts w:ascii="黑体" w:hAnsi="黑体" w:eastAsia="黑体"/>
          <w:sz w:val="32"/>
        </w:rPr>
        <w:t>十二、其他需说明的事项</w:t>
      </w:r>
    </w:p>
    <w:p w14:paraId="39101CCF">
      <w:pPr>
        <w:spacing w:line="580" w:lineRule="exact"/>
        <w:ind w:firstLine="640"/>
        <w:jc w:val="both"/>
      </w:pPr>
      <w:r>
        <w:rPr>
          <w:rFonts w:ascii="仿宋_GB2312" w:hAnsi="仿宋_GB2312" w:eastAsia="仿宋_GB2312"/>
          <w:b w:val="0"/>
          <w:sz w:val="32"/>
        </w:rPr>
        <w:t>本单位无其他需说明的事项。</w:t>
      </w:r>
    </w:p>
    <w:p w14:paraId="77BE0528">
      <w:r>
        <w:br w:type="page"/>
      </w:r>
    </w:p>
    <w:p w14:paraId="0140FBCF">
      <w:pPr>
        <w:spacing w:line="240" w:lineRule="auto"/>
        <w:jc w:val="center"/>
        <w:outlineLvl w:val="1"/>
      </w:pPr>
      <w:r>
        <w:rPr>
          <w:rFonts w:ascii="黑体" w:hAnsi="黑体" w:eastAsia="黑体"/>
          <w:sz w:val="32"/>
        </w:rPr>
        <w:t>第三部分 专业名词解释</w:t>
      </w:r>
    </w:p>
    <w:p w14:paraId="6E266E9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0ACFC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A999BA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672D8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E7D5AE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DA968F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2AD382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808C4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3AC8B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75557A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F76DA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B18B6C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BFD180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76A1EF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EFF7A8C">
      <w:r>
        <w:br w:type="page"/>
      </w:r>
    </w:p>
    <w:p w14:paraId="7893B9DA">
      <w:pPr>
        <w:spacing w:line="240" w:lineRule="auto"/>
        <w:jc w:val="center"/>
        <w:outlineLvl w:val="1"/>
      </w:pPr>
      <w:r>
        <w:rPr>
          <w:rFonts w:ascii="黑体" w:hAnsi="黑体" w:eastAsia="黑体"/>
          <w:sz w:val="32"/>
        </w:rPr>
        <w:t>第四部分 部门决算报表（见附表）</w:t>
      </w:r>
    </w:p>
    <w:p w14:paraId="542CF6C5">
      <w:pPr>
        <w:spacing w:line="240" w:lineRule="auto"/>
        <w:ind w:firstLine="640"/>
        <w:jc w:val="both"/>
      </w:pPr>
      <w:r>
        <w:rPr>
          <w:rFonts w:ascii="仿宋_GB2312" w:hAnsi="仿宋_GB2312" w:eastAsia="仿宋_GB2312"/>
          <w:b w:val="0"/>
          <w:sz w:val="32"/>
        </w:rPr>
        <w:t>一、《收入支出决算总表》</w:t>
      </w:r>
    </w:p>
    <w:p w14:paraId="46239C45">
      <w:pPr>
        <w:spacing w:line="240" w:lineRule="auto"/>
        <w:ind w:firstLine="640"/>
        <w:jc w:val="both"/>
      </w:pPr>
      <w:r>
        <w:rPr>
          <w:rFonts w:ascii="仿宋_GB2312" w:hAnsi="仿宋_GB2312" w:eastAsia="仿宋_GB2312"/>
          <w:b w:val="0"/>
          <w:sz w:val="32"/>
        </w:rPr>
        <w:t>二、《收入决算表》</w:t>
      </w:r>
    </w:p>
    <w:p w14:paraId="7D9334C5">
      <w:pPr>
        <w:spacing w:line="240" w:lineRule="auto"/>
        <w:ind w:firstLine="640"/>
        <w:jc w:val="both"/>
      </w:pPr>
      <w:r>
        <w:rPr>
          <w:rFonts w:ascii="仿宋_GB2312" w:hAnsi="仿宋_GB2312" w:eastAsia="仿宋_GB2312"/>
          <w:b w:val="0"/>
          <w:sz w:val="32"/>
        </w:rPr>
        <w:t>三、《支出决算表》</w:t>
      </w:r>
    </w:p>
    <w:p w14:paraId="29869B48">
      <w:pPr>
        <w:spacing w:line="240" w:lineRule="auto"/>
        <w:ind w:firstLine="640"/>
        <w:jc w:val="both"/>
      </w:pPr>
      <w:r>
        <w:rPr>
          <w:rFonts w:ascii="仿宋_GB2312" w:hAnsi="仿宋_GB2312" w:eastAsia="仿宋_GB2312"/>
          <w:b w:val="0"/>
          <w:sz w:val="32"/>
        </w:rPr>
        <w:t>四、《财政拨款收入支出决算总表》</w:t>
      </w:r>
    </w:p>
    <w:p w14:paraId="41510749">
      <w:pPr>
        <w:spacing w:line="240" w:lineRule="auto"/>
        <w:ind w:firstLine="640"/>
        <w:jc w:val="both"/>
      </w:pPr>
      <w:r>
        <w:rPr>
          <w:rFonts w:ascii="仿宋_GB2312" w:hAnsi="仿宋_GB2312" w:eastAsia="仿宋_GB2312"/>
          <w:b w:val="0"/>
          <w:sz w:val="32"/>
        </w:rPr>
        <w:t>五、《一般公共预算财政拨款支出决算表》</w:t>
      </w:r>
    </w:p>
    <w:p w14:paraId="7A6B2D87">
      <w:pPr>
        <w:spacing w:line="240" w:lineRule="auto"/>
        <w:ind w:firstLine="640"/>
        <w:jc w:val="both"/>
      </w:pPr>
      <w:r>
        <w:rPr>
          <w:rFonts w:ascii="仿宋_GB2312" w:hAnsi="仿宋_GB2312" w:eastAsia="仿宋_GB2312"/>
          <w:b w:val="0"/>
          <w:sz w:val="32"/>
        </w:rPr>
        <w:t>六、《一般公共预算财政拨款基本支出决算表》</w:t>
      </w:r>
    </w:p>
    <w:p w14:paraId="45381774">
      <w:pPr>
        <w:spacing w:line="240" w:lineRule="auto"/>
        <w:ind w:firstLine="640"/>
        <w:jc w:val="both"/>
      </w:pPr>
      <w:r>
        <w:rPr>
          <w:rFonts w:ascii="仿宋_GB2312" w:hAnsi="仿宋_GB2312" w:eastAsia="仿宋_GB2312"/>
          <w:b w:val="0"/>
          <w:sz w:val="32"/>
        </w:rPr>
        <w:t>七、《政府性基金预算财政拨款收入支出决算表》</w:t>
      </w:r>
    </w:p>
    <w:p w14:paraId="72378CF6">
      <w:pPr>
        <w:spacing w:line="240" w:lineRule="auto"/>
        <w:ind w:firstLine="640"/>
        <w:jc w:val="both"/>
      </w:pPr>
      <w:r>
        <w:rPr>
          <w:rFonts w:ascii="仿宋_GB2312" w:hAnsi="仿宋_GB2312" w:eastAsia="仿宋_GB2312"/>
          <w:b w:val="0"/>
          <w:sz w:val="32"/>
        </w:rPr>
        <w:t>八、《国有资本经营预算财政拨款收入支出决算表》</w:t>
      </w:r>
    </w:p>
    <w:p w14:paraId="21203453">
      <w:pPr>
        <w:spacing w:line="240" w:lineRule="auto"/>
        <w:ind w:firstLine="640"/>
        <w:jc w:val="both"/>
      </w:pPr>
      <w:r>
        <w:rPr>
          <w:rFonts w:ascii="仿宋_GB2312" w:hAnsi="仿宋_GB2312" w:eastAsia="仿宋_GB2312"/>
          <w:b w:val="0"/>
          <w:sz w:val="32"/>
        </w:rPr>
        <w:t>九、《财政拨款“三公”经费支出决算表》</w:t>
      </w:r>
    </w:p>
    <w:p w14:paraId="356B2784">
      <w:pPr>
        <w:spacing w:line="240" w:lineRule="auto"/>
        <w:ind w:firstLine="640"/>
        <w:jc w:val="both"/>
      </w:pPr>
    </w:p>
    <w:p w14:paraId="550B0BE5">
      <w:pPr>
        <w:spacing w:line="240" w:lineRule="auto"/>
        <w:ind w:firstLine="640"/>
        <w:jc w:val="both"/>
      </w:pPr>
    </w:p>
    <w:p w14:paraId="396B23E9">
      <w:pPr>
        <w:spacing w:line="240" w:lineRule="auto"/>
        <w:ind w:firstLine="640"/>
        <w:jc w:val="both"/>
      </w:pPr>
    </w:p>
    <w:p w14:paraId="14AF1856">
      <w:pPr>
        <w:spacing w:line="240" w:lineRule="auto"/>
        <w:ind w:firstLine="640"/>
        <w:jc w:val="both"/>
      </w:pPr>
    </w:p>
    <w:p w14:paraId="690F96A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CE2F89-59D2-4021-A0D3-510E28197E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9AF80EE-AACE-4A54-AC98-42E60F2FD2CE}"/>
  </w:font>
  <w:font w:name="仿宋_GB2312">
    <w:panose1 w:val="02010609030101010101"/>
    <w:charset w:val="86"/>
    <w:family w:val="modern"/>
    <w:pitch w:val="default"/>
    <w:sig w:usb0="00000001" w:usb1="080E0000" w:usb2="00000000" w:usb3="00000000" w:csb0="00040000" w:csb1="00000000"/>
    <w:embedRegular r:id="rId3" w:fontKey="{42CFA673-70F2-45E4-AAE7-8E1BE84C2C06}"/>
  </w:font>
  <w:font w:name="楷体_GB2312">
    <w:panose1 w:val="02010609030101010101"/>
    <w:charset w:val="86"/>
    <w:family w:val="auto"/>
    <w:pitch w:val="default"/>
    <w:sig w:usb0="00000001" w:usb1="080E0000" w:usb2="00000000" w:usb3="00000000" w:csb0="00040000" w:csb1="00000000"/>
    <w:embedRegular r:id="rId4" w:fontKey="{291D4F76-BC35-4B7C-BE06-A32F6FCB653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BD1ACE"/>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260DE5"/>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2232</Words>
  <Characters>2599</Characters>
  <Lines>0</Lines>
  <Paragraphs>0</Paragraphs>
  <TotalTime>3</TotalTime>
  <ScaleCrop>false</ScaleCrop>
  <LinksUpToDate>false</LinksUpToDate>
  <CharactersWithSpaces>2607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2025-09-16T05:18:04Z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