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轮台县轮南镇人民政府2024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86DBF81">
      <w:r>
        <w:br w:type="page"/>
      </w:r>
    </w:p>
    <w:p w14:paraId="31E09A52">
      <w:pPr>
        <w:spacing w:line="640" w:lineRule="exact"/>
        <w:jc w:val="center"/>
        <w:outlineLvl w:val="1"/>
      </w:pPr>
      <w:r>
        <w:rPr>
          <w:rFonts w:ascii="黑体" w:hAnsi="黑体" w:eastAsia="黑体"/>
          <w:sz w:val="32"/>
        </w:rPr>
        <w:t>第一部分 单位概况</w:t>
      </w:r>
    </w:p>
    <w:p w14:paraId="7D2E202A">
      <w:pPr>
        <w:spacing w:line="640" w:lineRule="exact"/>
        <w:ind w:firstLine="640"/>
        <w:jc w:val="both"/>
        <w:outlineLvl w:val="2"/>
      </w:pPr>
      <w:r>
        <w:rPr>
          <w:rFonts w:ascii="黑体" w:hAnsi="黑体" w:eastAsia="黑体"/>
          <w:sz w:val="32"/>
        </w:rPr>
        <w:t>一、主要职能</w:t>
      </w:r>
    </w:p>
    <w:p w14:paraId="4ACF01AC">
      <w:pPr>
        <w:spacing w:line="580" w:lineRule="exact"/>
        <w:ind w:firstLine="640"/>
        <w:jc w:val="both"/>
      </w:pPr>
      <w:r>
        <w:rPr>
          <w:rFonts w:ascii="仿宋_GB2312" w:hAnsi="仿宋_GB2312" w:eastAsia="仿宋_GB2312"/>
          <w:sz w:val="32"/>
        </w:rPr>
        <w:t>落实国家政策，严格依法行政发挥经济管理职能，加强政策引导，制定发展规划，服务市场主体和营造发展环境，搞好市场监督，大力促进社会事业发展，发展乡村经济，文化和社会事业，提高公共服务，维护社会稳定，构建社会主义和谐社会。</w:t>
      </w:r>
    </w:p>
    <w:p w14:paraId="1DBE551C">
      <w:pPr>
        <w:spacing w:line="640" w:lineRule="exact"/>
        <w:ind w:firstLine="640"/>
        <w:jc w:val="both"/>
        <w:outlineLvl w:val="2"/>
      </w:pPr>
      <w:r>
        <w:rPr>
          <w:rFonts w:ascii="黑体" w:hAnsi="黑体" w:eastAsia="黑体"/>
          <w:sz w:val="32"/>
        </w:rPr>
        <w:t>二、机构设置及人员情况</w:t>
      </w:r>
    </w:p>
    <w:p w14:paraId="59919C91">
      <w:pPr>
        <w:spacing w:line="580" w:lineRule="exact"/>
        <w:ind w:firstLine="640"/>
        <w:jc w:val="both"/>
      </w:pPr>
      <w:r>
        <w:rPr>
          <w:rFonts w:ascii="仿宋_GB2312" w:hAnsi="仿宋_GB2312" w:eastAsia="仿宋_GB2312"/>
          <w:sz w:val="32"/>
        </w:rPr>
        <w:t>轮台县轮南镇人民政府2024年度，实有人数54人，其中：在职人员52人，减少4人；离休人员0人，增加0人；退休人员2人,减少1人。</w:t>
      </w:r>
    </w:p>
    <w:p w14:paraId="5B9DFE7C">
      <w:pPr>
        <w:spacing w:line="580" w:lineRule="exact"/>
        <w:ind w:firstLine="640"/>
        <w:jc w:val="both"/>
      </w:pPr>
      <w:r>
        <w:rPr>
          <w:rFonts w:ascii="仿宋_GB2312" w:hAnsi="仿宋_GB2312" w:eastAsia="仿宋_GB2312"/>
          <w:sz w:val="32"/>
        </w:rPr>
        <w:t>轮台县轮南镇人民政府无下属预算单位，下设6个科室，分别是：政府办公室、农业发展中心、财经核算中心、文化体育广播体育站、计生站、群众服务和综治中心。</w:t>
      </w:r>
    </w:p>
    <w:p w14:paraId="1DFD0E6C">
      <w:r>
        <w:br w:type="page"/>
      </w:r>
    </w:p>
    <w:p w14:paraId="339AEE86">
      <w:pPr>
        <w:spacing w:line="240" w:lineRule="auto"/>
        <w:jc w:val="center"/>
        <w:outlineLvl w:val="1"/>
      </w:pPr>
      <w:r>
        <w:rPr>
          <w:rFonts w:ascii="黑体" w:hAnsi="黑体" w:eastAsia="黑体"/>
          <w:sz w:val="32"/>
        </w:rPr>
        <w:t>第二部分 部门决算情况说明</w:t>
      </w:r>
    </w:p>
    <w:p w14:paraId="1CF59CDA">
      <w:pPr>
        <w:spacing w:line="640" w:lineRule="exact"/>
        <w:ind w:firstLine="640"/>
        <w:jc w:val="both"/>
        <w:outlineLvl w:val="2"/>
      </w:pPr>
      <w:r>
        <w:rPr>
          <w:rFonts w:ascii="黑体" w:hAnsi="黑体" w:eastAsia="黑体"/>
          <w:sz w:val="32"/>
        </w:rPr>
        <w:t>一、收入支出决算总体情况说明</w:t>
      </w:r>
    </w:p>
    <w:p w14:paraId="23F01F79">
      <w:pPr>
        <w:spacing w:line="580" w:lineRule="exact"/>
        <w:ind w:firstLine="640"/>
        <w:jc w:val="both"/>
      </w:pPr>
      <w:r>
        <w:rPr>
          <w:rFonts w:ascii="仿宋_GB2312" w:hAnsi="仿宋_GB2312" w:eastAsia="仿宋_GB2312"/>
          <w:b/>
          <w:sz w:val="32"/>
        </w:rPr>
        <w:t>2024年度收入总计4,428.99万元，</w:t>
      </w:r>
      <w:r>
        <w:rPr>
          <w:rFonts w:ascii="仿宋_GB2312" w:hAnsi="仿宋_GB2312" w:eastAsia="仿宋_GB2312"/>
          <w:b w:val="0"/>
          <w:sz w:val="32"/>
        </w:rPr>
        <w:t>其中：本年收入合计4,428.49万元，使用非财政拨款结余（含专用结余）0.00万元，年初结转和结余0.50万元。</w:t>
      </w:r>
    </w:p>
    <w:p w14:paraId="0C331EF5">
      <w:pPr>
        <w:spacing w:line="580" w:lineRule="exact"/>
        <w:ind w:firstLine="640"/>
        <w:jc w:val="both"/>
      </w:pPr>
      <w:r>
        <w:rPr>
          <w:rFonts w:ascii="仿宋_GB2312" w:hAnsi="仿宋_GB2312" w:eastAsia="仿宋_GB2312"/>
          <w:b/>
          <w:sz w:val="32"/>
        </w:rPr>
        <w:t>2024年度支出总计4,428.99万元，</w:t>
      </w:r>
      <w:r>
        <w:rPr>
          <w:rFonts w:ascii="仿宋_GB2312" w:hAnsi="仿宋_GB2312" w:eastAsia="仿宋_GB2312"/>
          <w:b w:val="0"/>
          <w:sz w:val="32"/>
        </w:rPr>
        <w:t>其中：本年支出合计4,385.35万元，结余分配0.00万元，年末结转和结余43.64万元。</w:t>
      </w:r>
    </w:p>
    <w:p w14:paraId="2D4F9BED">
      <w:pPr>
        <w:spacing w:line="580" w:lineRule="exact"/>
        <w:ind w:firstLine="640"/>
        <w:jc w:val="both"/>
      </w:pPr>
      <w:r>
        <w:rPr>
          <w:rFonts w:ascii="仿宋_GB2312" w:hAnsi="仿宋_GB2312" w:eastAsia="仿宋_GB2312"/>
          <w:b w:val="0"/>
          <w:sz w:val="32"/>
        </w:rPr>
        <w:t>收入支出总体与上年相比，增加2,172.32万元，增长96.26%，主要原因是：本年增加轮南解村乡村旅游配套设备（火车头）项目经费、轮南镇牙买提社区综合服务建设项目经费、轮南镇小城镇建设项目（二期）项目经费等，导致相关经费增加。</w:t>
      </w:r>
    </w:p>
    <w:p w14:paraId="49012346">
      <w:pPr>
        <w:spacing w:line="640" w:lineRule="exact"/>
        <w:ind w:firstLine="640"/>
        <w:jc w:val="both"/>
        <w:outlineLvl w:val="2"/>
      </w:pPr>
      <w:r>
        <w:rPr>
          <w:rFonts w:ascii="黑体" w:hAnsi="黑体" w:eastAsia="黑体"/>
          <w:sz w:val="32"/>
        </w:rPr>
        <w:t>二、收入决算情况说明</w:t>
      </w:r>
    </w:p>
    <w:p w14:paraId="16F25A2B">
      <w:pPr>
        <w:spacing w:line="580" w:lineRule="exact"/>
        <w:ind w:firstLine="640"/>
        <w:jc w:val="both"/>
      </w:pPr>
      <w:r>
        <w:rPr>
          <w:rFonts w:ascii="仿宋_GB2312" w:hAnsi="仿宋_GB2312" w:eastAsia="仿宋_GB2312"/>
          <w:b/>
          <w:sz w:val="32"/>
        </w:rPr>
        <w:t>本年收入4,428.49万元，</w:t>
      </w:r>
      <w:r>
        <w:rPr>
          <w:rFonts w:ascii="仿宋_GB2312" w:hAnsi="仿宋_GB2312" w:eastAsia="仿宋_GB2312"/>
          <w:b w:val="0"/>
          <w:sz w:val="32"/>
        </w:rPr>
        <w:t>其中：财政拨款收入4,367.15万元，占98.61%；上级补助收入0.00万元，占0.00%；事业收入0.00万元，占0.00%；经营收入0.00万元，占0.00%；附属单位上缴收入0.00万元，占0.00%；其他收入61.34万元，占1.39%。</w:t>
      </w:r>
    </w:p>
    <w:p w14:paraId="09818D7B">
      <w:pPr>
        <w:spacing w:line="640" w:lineRule="exact"/>
        <w:ind w:firstLine="640"/>
        <w:jc w:val="both"/>
        <w:outlineLvl w:val="2"/>
      </w:pPr>
      <w:r>
        <w:rPr>
          <w:rFonts w:ascii="黑体" w:hAnsi="黑体" w:eastAsia="黑体"/>
          <w:sz w:val="32"/>
        </w:rPr>
        <w:t>三、支出决算情况说明</w:t>
      </w:r>
    </w:p>
    <w:p w14:paraId="2959F212">
      <w:pPr>
        <w:spacing w:line="580" w:lineRule="exact"/>
        <w:ind w:firstLine="640"/>
        <w:jc w:val="both"/>
      </w:pPr>
      <w:r>
        <w:rPr>
          <w:rFonts w:ascii="仿宋_GB2312" w:hAnsi="仿宋_GB2312" w:eastAsia="仿宋_GB2312"/>
          <w:b/>
          <w:sz w:val="32"/>
        </w:rPr>
        <w:t>本年支出4,385.35万元，</w:t>
      </w:r>
      <w:r>
        <w:rPr>
          <w:rFonts w:ascii="仿宋_GB2312" w:hAnsi="仿宋_GB2312" w:eastAsia="仿宋_GB2312"/>
          <w:b w:val="0"/>
          <w:sz w:val="32"/>
        </w:rPr>
        <w:t>其中：基本支出1,221.63万元，占27.86%；项目支出3,163.71万元，占72.14%；上缴上级支出0.00万元，占0.00%；经营支出0.00万元，占0.00%；对附属单位补助支出0.00万元，占0.00%。</w:t>
      </w:r>
    </w:p>
    <w:p w14:paraId="192B72EE">
      <w:pPr>
        <w:spacing w:line="640" w:lineRule="exact"/>
        <w:ind w:firstLine="640"/>
        <w:jc w:val="both"/>
        <w:outlineLvl w:val="2"/>
      </w:pPr>
      <w:r>
        <w:rPr>
          <w:rFonts w:ascii="黑体" w:hAnsi="黑体" w:eastAsia="黑体"/>
          <w:sz w:val="32"/>
        </w:rPr>
        <w:t>四、财政拨款收入支出决算总体情况说明</w:t>
      </w:r>
    </w:p>
    <w:p w14:paraId="40FAB05C">
      <w:pPr>
        <w:spacing w:line="580" w:lineRule="exact"/>
        <w:ind w:firstLine="640"/>
        <w:jc w:val="both"/>
      </w:pPr>
      <w:r>
        <w:rPr>
          <w:rFonts w:ascii="仿宋_GB2312" w:hAnsi="仿宋_GB2312" w:eastAsia="仿宋_GB2312"/>
          <w:b/>
          <w:sz w:val="32"/>
        </w:rPr>
        <w:t>2024年度财政拨款收入总计4,367.15万元，</w:t>
      </w:r>
      <w:r>
        <w:rPr>
          <w:rFonts w:ascii="仿宋_GB2312" w:hAnsi="仿宋_GB2312" w:eastAsia="仿宋_GB2312"/>
          <w:b w:val="0"/>
          <w:sz w:val="32"/>
        </w:rPr>
        <w:t>其中：年初财政拨款结转和结余0.00万元，本年财政拨款收入4,367.15万元。</w:t>
      </w:r>
      <w:r>
        <w:rPr>
          <w:rFonts w:ascii="仿宋_GB2312" w:hAnsi="仿宋_GB2312" w:eastAsia="仿宋_GB2312"/>
          <w:b/>
          <w:sz w:val="32"/>
        </w:rPr>
        <w:t>财政拨款支出总计4,367.15万元，</w:t>
      </w:r>
      <w:r>
        <w:rPr>
          <w:rFonts w:ascii="仿宋_GB2312" w:hAnsi="仿宋_GB2312" w:eastAsia="仿宋_GB2312"/>
          <w:b w:val="0"/>
          <w:sz w:val="32"/>
        </w:rPr>
        <w:t>其中：年末财政拨款结转和结余0.00万元，本年财政拨款支出4,367.15万元。</w:t>
      </w:r>
    </w:p>
    <w:p w14:paraId="688B665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增加2,125.37万元，增长94.81%，主要原因是：本年增加轮南解村乡村旅游配套设备（火车头）项目经费、轮南镇牙买提社区综合服务建设项目经费、轮南镇小城镇建设项目（二期）项目经费等，导致相关经费增加。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1,111.54万元，决算数4,367.15万元，预决算差异率292.89%，主要原因是：年中追加轮南镇小城镇建设项目（二期）二标段项目，解村乡村旅游配套设备（火车头）项目，2024年社区综合服务设施建设项目，导致预决算存在差异。</w:t>
      </w:r>
    </w:p>
    <w:p w14:paraId="5DD5422A">
      <w:pPr>
        <w:spacing w:line="640" w:lineRule="exact"/>
        <w:ind w:firstLine="640"/>
        <w:jc w:val="both"/>
        <w:outlineLvl w:val="2"/>
      </w:pPr>
      <w:r>
        <w:rPr>
          <w:rFonts w:ascii="黑体" w:hAnsi="黑体" w:eastAsia="黑体"/>
          <w:sz w:val="32"/>
        </w:rPr>
        <w:t>五、一般公共预算财政拨款支出决算情况说明</w:t>
      </w:r>
    </w:p>
    <w:p w14:paraId="564D742E">
      <w:pPr>
        <w:spacing w:line="640" w:lineRule="exact"/>
        <w:ind w:firstLine="640"/>
        <w:jc w:val="both"/>
        <w:outlineLvl w:val="3"/>
      </w:pPr>
      <w:r>
        <w:rPr>
          <w:rFonts w:ascii="楷体_GB2312" w:hAnsi="楷体_GB2312" w:eastAsia="楷体_GB2312"/>
          <w:b/>
          <w:sz w:val="32"/>
        </w:rPr>
        <w:t>（一）一般公共预算财政拨款支出决算总体情况</w:t>
      </w:r>
    </w:p>
    <w:p w14:paraId="5D68AD7E">
      <w:pPr>
        <w:spacing w:line="580" w:lineRule="exact"/>
        <w:ind w:firstLine="640"/>
        <w:jc w:val="both"/>
      </w:pPr>
      <w:r>
        <w:rPr>
          <w:rFonts w:ascii="仿宋_GB2312" w:hAnsi="仿宋_GB2312" w:eastAsia="仿宋_GB2312"/>
          <w:b/>
          <w:sz w:val="32"/>
        </w:rPr>
        <w:t>2024年度一般公共预算财政拨款支出4,337.15万元，</w:t>
      </w:r>
      <w:r>
        <w:rPr>
          <w:rFonts w:ascii="仿宋_GB2312" w:hAnsi="仿宋_GB2312" w:eastAsia="仿宋_GB2312"/>
          <w:b w:val="0"/>
          <w:sz w:val="32"/>
        </w:rPr>
        <w:t>占本年支出合计的98.90%。</w:t>
      </w:r>
      <w:r>
        <w:rPr>
          <w:rFonts w:ascii="仿宋_GB2312" w:hAnsi="仿宋_GB2312" w:eastAsia="仿宋_GB2312"/>
          <w:b/>
          <w:sz w:val="32"/>
        </w:rPr>
        <w:t>与上年相比，</w:t>
      </w:r>
      <w:r>
        <w:rPr>
          <w:rFonts w:ascii="仿宋_GB2312" w:hAnsi="仿宋_GB2312" w:eastAsia="仿宋_GB2312"/>
          <w:b w:val="0"/>
          <w:sz w:val="32"/>
        </w:rPr>
        <w:t>增加2,238.10万元，增长106.62%，主要原因是：本年增加轮南解村乡村旅游配套设备（火车头）项目经费、轮南镇牙买提社区综合服务建设项目经费、轮南镇小城镇建设项目（二期）项目经费等，导致相关经费增加。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1,111.54万元，决算数4,337.15万元，预决算差异率290.19%，主要原因是：年中追加轮南镇小城镇建设项目（二期）二标段项目，解村乡村旅游配套设备（火车头）项目，2024年社区综合服务设施建设项目，导致预决算存在差异。</w:t>
      </w:r>
    </w:p>
    <w:p w14:paraId="646AFA89">
      <w:pPr>
        <w:spacing w:line="640" w:lineRule="exact"/>
        <w:ind w:firstLine="640"/>
        <w:jc w:val="both"/>
        <w:outlineLvl w:val="3"/>
      </w:pPr>
      <w:r>
        <w:rPr>
          <w:rFonts w:ascii="楷体_GB2312" w:hAnsi="楷体_GB2312" w:eastAsia="楷体_GB2312"/>
          <w:b/>
          <w:sz w:val="32"/>
        </w:rPr>
        <w:t>（二）一般公共预算财政拨款支出决算结构情况</w:t>
      </w:r>
    </w:p>
    <w:p w14:paraId="1F89294D">
      <w:pPr>
        <w:spacing w:line="580" w:lineRule="exact"/>
        <w:ind w:firstLine="640"/>
        <w:jc w:val="both"/>
      </w:pPr>
      <w:r>
        <w:rPr>
          <w:rFonts w:ascii="仿宋_GB2312" w:hAnsi="仿宋_GB2312" w:eastAsia="仿宋_GB2312"/>
          <w:b w:val="0"/>
          <w:sz w:val="32"/>
        </w:rPr>
        <w:t>1.一般公共服务支出(类)920.14万元,占21.22%。</w:t>
      </w:r>
    </w:p>
    <w:p w14:paraId="2B5B73AC">
      <w:pPr>
        <w:spacing w:line="580" w:lineRule="exact"/>
        <w:ind w:firstLine="640"/>
        <w:jc w:val="both"/>
      </w:pPr>
      <w:r>
        <w:rPr>
          <w:rFonts w:ascii="仿宋_GB2312" w:hAnsi="仿宋_GB2312" w:eastAsia="仿宋_GB2312"/>
          <w:b w:val="0"/>
          <w:sz w:val="32"/>
        </w:rPr>
        <w:t>2.公共安全支出(类)16.07万元,占0.37%。</w:t>
      </w:r>
    </w:p>
    <w:p w14:paraId="2A78333C">
      <w:pPr>
        <w:spacing w:line="580" w:lineRule="exact"/>
        <w:ind w:firstLine="640"/>
        <w:jc w:val="both"/>
      </w:pPr>
      <w:r>
        <w:rPr>
          <w:rFonts w:ascii="仿宋_GB2312" w:hAnsi="仿宋_GB2312" w:eastAsia="仿宋_GB2312"/>
          <w:b w:val="0"/>
          <w:sz w:val="32"/>
        </w:rPr>
        <w:t>3.文化旅游体育与传媒支出(类)7.56万元,占0.17%。</w:t>
      </w:r>
    </w:p>
    <w:p w14:paraId="2A0DFF3E">
      <w:pPr>
        <w:spacing w:line="580" w:lineRule="exact"/>
        <w:ind w:firstLine="640"/>
        <w:jc w:val="both"/>
      </w:pPr>
      <w:r>
        <w:rPr>
          <w:rFonts w:ascii="仿宋_GB2312" w:hAnsi="仿宋_GB2312" w:eastAsia="仿宋_GB2312"/>
          <w:b w:val="0"/>
          <w:sz w:val="32"/>
        </w:rPr>
        <w:t>4.社会保障和就业支出(类)108.06万元,占2.49%。</w:t>
      </w:r>
    </w:p>
    <w:p w14:paraId="3442D194">
      <w:pPr>
        <w:spacing w:line="580" w:lineRule="exact"/>
        <w:ind w:firstLine="640"/>
        <w:jc w:val="both"/>
      </w:pPr>
      <w:r>
        <w:rPr>
          <w:rFonts w:ascii="仿宋_GB2312" w:hAnsi="仿宋_GB2312" w:eastAsia="仿宋_GB2312"/>
          <w:b w:val="0"/>
          <w:sz w:val="32"/>
        </w:rPr>
        <w:t>5.卫生健康支出(类)41.23万元,占0.95%。</w:t>
      </w:r>
    </w:p>
    <w:p w14:paraId="18D67E43">
      <w:pPr>
        <w:spacing w:line="580" w:lineRule="exact"/>
        <w:ind w:firstLine="640"/>
        <w:jc w:val="both"/>
      </w:pPr>
      <w:r>
        <w:rPr>
          <w:rFonts w:ascii="仿宋_GB2312" w:hAnsi="仿宋_GB2312" w:eastAsia="仿宋_GB2312"/>
          <w:b w:val="0"/>
          <w:sz w:val="32"/>
        </w:rPr>
        <w:t>6.城乡社区支出(类)89.50万元,占2.06%。</w:t>
      </w:r>
    </w:p>
    <w:p w14:paraId="0F697098">
      <w:pPr>
        <w:spacing w:line="580" w:lineRule="exact"/>
        <w:ind w:firstLine="640"/>
        <w:jc w:val="both"/>
      </w:pPr>
      <w:r>
        <w:rPr>
          <w:rFonts w:ascii="仿宋_GB2312" w:hAnsi="仿宋_GB2312" w:eastAsia="仿宋_GB2312"/>
          <w:b w:val="0"/>
          <w:sz w:val="32"/>
        </w:rPr>
        <w:t>7.农林水支出(类)3,092.46万元,占71.30%。</w:t>
      </w:r>
    </w:p>
    <w:p w14:paraId="166165A3">
      <w:pPr>
        <w:spacing w:line="580" w:lineRule="exact"/>
        <w:ind w:firstLine="640"/>
        <w:jc w:val="both"/>
      </w:pPr>
      <w:r>
        <w:rPr>
          <w:rFonts w:ascii="仿宋_GB2312" w:hAnsi="仿宋_GB2312" w:eastAsia="仿宋_GB2312"/>
          <w:b w:val="0"/>
          <w:sz w:val="32"/>
        </w:rPr>
        <w:t>8.住房保障支出(类)60.37万元,占1.39%。</w:t>
      </w:r>
    </w:p>
    <w:p w14:paraId="6F406024">
      <w:pPr>
        <w:spacing w:line="580" w:lineRule="exact"/>
        <w:ind w:firstLine="640"/>
        <w:jc w:val="both"/>
      </w:pPr>
      <w:r>
        <w:rPr>
          <w:rFonts w:ascii="仿宋_GB2312" w:hAnsi="仿宋_GB2312" w:eastAsia="仿宋_GB2312"/>
          <w:b w:val="0"/>
          <w:sz w:val="32"/>
        </w:rPr>
        <w:t>9.其他支出(类)1.77万元,占0.04%。</w:t>
      </w:r>
    </w:p>
    <w:p w14:paraId="148B305D">
      <w:pPr>
        <w:spacing w:line="640" w:lineRule="exact"/>
        <w:ind w:firstLine="640"/>
        <w:jc w:val="both"/>
        <w:outlineLvl w:val="3"/>
      </w:pPr>
      <w:r>
        <w:rPr>
          <w:rFonts w:ascii="楷体_GB2312" w:hAnsi="楷体_GB2312" w:eastAsia="楷体_GB2312"/>
          <w:b/>
          <w:sz w:val="32"/>
        </w:rPr>
        <w:t>（三）一般公共预算财政拨款支出决算具体情况</w:t>
      </w:r>
    </w:p>
    <w:p w14:paraId="7810500D">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1.一般公共服务支出(类)人大事务(款)其他人大事务支出(项):支出决算数为0.00万元，比上年决算减少3.37万元，下降100.00%,主要原因是：本年减少轮南镇人大广告制作费用，导致相关经费减少。</w:t>
      </w:r>
    </w:p>
    <w:p w14:paraId="65CD5B62">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2.一般公共服务支出(类)政府办公厅（室）及相关机构事务(款)行政运行(项):支出决算数为517.52万元，比上年决算增加64.83万元，增长14.32%,主要原因是：本年在职人员工资调增，导致相关人员经费较上年有所增加。</w:t>
      </w:r>
    </w:p>
    <w:p w14:paraId="0C52127B">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3.一般公共服务支出(类)政府办公厅（室）及相关机构事务(款)事业运行(项):支出决算数为306.90万元，比上年决算增加25.06万元，增长8.89%,主要原因是：本年在职人员工资调增，导致相关人员经费较上年有所增加。</w:t>
      </w:r>
    </w:p>
    <w:p w14:paraId="2D2B7C46">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33.23万元，比上年决算增加24.23万元，增长269.22%,主要原因是：本年功能科目调整，民兵1-12月生活补助经费上年度在国防动员</w:t>
      </w:r>
      <w:r>
        <w:rPr>
          <w:rFonts w:hint="eastAsia" w:ascii="仿宋_GB2312" w:hAnsi="仿宋_GB2312" w:eastAsia="仿宋_GB2312"/>
          <w:b w:val="0"/>
          <w:sz w:val="32"/>
          <w:lang w:eastAsia="zh-CN"/>
        </w:rPr>
        <w:t>－</w:t>
      </w:r>
      <w:r>
        <w:rPr>
          <w:rFonts w:ascii="仿宋_GB2312" w:hAnsi="仿宋_GB2312" w:eastAsia="仿宋_GB2312"/>
          <w:b w:val="0"/>
          <w:sz w:val="32"/>
        </w:rPr>
        <w:t>民兵科目列支，本年调整至其他政府办公厅科目列支，导致经费较上年增加。</w:t>
      </w:r>
    </w:p>
    <w:p w14:paraId="1EAABEF7">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5.一般公共服务支出(类)纪检监察事务(款)其他纪检监察事务支出(项):支出决算数为12.16万元，比上年决算增加2.51万元，增长26.01%,主要原因是：本年增加轮南纪委信息员经费，导致相关经费增加。</w:t>
      </w:r>
    </w:p>
    <w:p w14:paraId="1756D3EA">
      <w:pPr>
        <w:spacing w:line="580" w:lineRule="exact"/>
        <w:ind w:firstLine="640"/>
        <w:jc w:val="both"/>
      </w:pPr>
      <w:r>
        <w:rPr>
          <w:rFonts w:ascii="仿宋_GB2312" w:hAnsi="仿宋_GB2312" w:eastAsia="仿宋_GB2312"/>
          <w:b w:val="0"/>
          <w:sz w:val="32"/>
        </w:rPr>
        <w:t>6.一般公共服务支出(类)组织事务(款)其他组织事务支出(项):支出决算数为50.34万元，比上年决算减少11.21万元，下降18.21%,主要原因是：本年减少三老人员1-12月生活补助经费，导致相关经费减少。</w:t>
      </w:r>
    </w:p>
    <w:p w14:paraId="4D7D2416">
      <w:pPr>
        <w:spacing w:line="580" w:lineRule="exact"/>
        <w:ind w:firstLine="640"/>
        <w:jc w:val="both"/>
      </w:pPr>
      <w:r>
        <w:rPr>
          <w:rFonts w:ascii="仿宋_GB2312" w:hAnsi="仿宋_GB2312" w:eastAsia="仿宋_GB2312"/>
          <w:b w:val="0"/>
          <w:sz w:val="32"/>
        </w:rPr>
        <w:t>7.国防支出(类)国防动员(款)民兵(项):支出决算数为0.00万元，比上年决算减少35.76万元，下降100.00%,主要原因是：本年功能科目调整，民兵1-12月生活补助经费上年度在国防动员</w:t>
      </w:r>
      <w:r>
        <w:rPr>
          <w:rFonts w:hint="eastAsia" w:ascii="仿宋_GB2312" w:hAnsi="仿宋_GB2312" w:eastAsia="仿宋_GB2312"/>
          <w:b w:val="0"/>
          <w:sz w:val="32"/>
          <w:lang w:eastAsia="zh-CN"/>
        </w:rPr>
        <w:t>－</w:t>
      </w:r>
      <w:r>
        <w:rPr>
          <w:rFonts w:ascii="仿宋_GB2312" w:hAnsi="仿宋_GB2312" w:eastAsia="仿宋_GB2312"/>
          <w:b w:val="0"/>
          <w:sz w:val="32"/>
        </w:rPr>
        <w:t>民兵科目列支，本年调整至其他政府办公厅科目列支，导致经费较上年减少。</w:t>
      </w:r>
    </w:p>
    <w:p w14:paraId="114FC59A">
      <w:pPr>
        <w:spacing w:line="580" w:lineRule="exact"/>
        <w:ind w:firstLine="640"/>
        <w:jc w:val="both"/>
      </w:pPr>
      <w:r>
        <w:rPr>
          <w:rFonts w:ascii="仿宋_GB2312" w:hAnsi="仿宋_GB2312" w:eastAsia="仿宋_GB2312"/>
          <w:b w:val="0"/>
          <w:sz w:val="32"/>
        </w:rPr>
        <w:t>8.公共安全支出(类)公安(款)其他公安支出(项):支出决算数为0.00万元，比上年决算减少0.40万元，下降100.00%,主要原因是：本年减少矛盾纠纷化解奖励金经费，导致相关经费减少。</w:t>
      </w:r>
    </w:p>
    <w:p w14:paraId="50E03102">
      <w:pPr>
        <w:spacing w:line="580" w:lineRule="exact"/>
        <w:ind w:firstLine="640"/>
        <w:jc w:val="both"/>
      </w:pPr>
      <w:r>
        <w:rPr>
          <w:rFonts w:ascii="仿宋_GB2312" w:hAnsi="仿宋_GB2312" w:eastAsia="仿宋_GB2312"/>
          <w:b w:val="0"/>
          <w:sz w:val="32"/>
        </w:rPr>
        <w:t>9.公共安全支出(类)其他公共安全支出(款)其他公共安全支出(项):支出决算数为16.07万元，比上年决算增加1.91万元，增长13.49%,主要原因是：本年功能科目调整，专项项目经费上年度在科普活动列支，本年调整其他公共安全科目列支，导致经费较上年增加。</w:t>
      </w:r>
    </w:p>
    <w:p w14:paraId="510FC0F0">
      <w:pPr>
        <w:spacing w:line="580" w:lineRule="exact"/>
        <w:ind w:firstLine="640"/>
        <w:jc w:val="both"/>
      </w:pPr>
      <w:r>
        <w:rPr>
          <w:rFonts w:ascii="仿宋_GB2312" w:hAnsi="仿宋_GB2312" w:eastAsia="仿宋_GB2312"/>
          <w:b w:val="0"/>
          <w:sz w:val="32"/>
        </w:rPr>
        <w:t>10.科学技术支出(类)科学技术普及(款)科普活动(项):支出决算数为0.00万元，比上年决算减少1.99万元，下降100.00%,主要原因是：本年功能科目调整，专项项目经费上年度在科普活动列支，本年调整其他公共安全科目列支，导致经费较上年减少。</w:t>
      </w:r>
    </w:p>
    <w:p w14:paraId="63211456">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7.00万元，比上年决算增加7.00万元，增长100.00%,主要原因是：本年增加轮南镇购买办公用品、广告宣传经费，导致相关经费增加。</w:t>
      </w:r>
    </w:p>
    <w:p w14:paraId="059013BE">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0.56万元，比上年决算减少4.18万元，下降88.19%,主要原因是：本年减少轮南镇文化站监控屏幕维修，轮南镇购买执勤服费用，导致相关经费减少。</w:t>
      </w:r>
    </w:p>
    <w:p w14:paraId="7B46D314">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13.社会保障和就业支出(类)行政事业单位养老支出(款)行政单位离退休(项):支出决算数为31.41万元，比上年决算增加29.77万元，增长1,815.24%,主要原因是：本年新增退休死亡人员，死亡抚恤金支出增加。</w:t>
      </w:r>
    </w:p>
    <w:p w14:paraId="506CA4A8">
      <w:pPr>
        <w:spacing w:line="580" w:lineRule="exact"/>
        <w:ind w:firstLine="640"/>
        <w:jc w:val="both"/>
      </w:pPr>
      <w:r>
        <w:rPr>
          <w:rFonts w:ascii="仿宋_GB2312" w:hAnsi="仿宋_GB2312" w:eastAsia="仿宋_GB2312"/>
          <w:b w:val="0"/>
          <w:sz w:val="32"/>
        </w:rPr>
        <w:t>14.社会保障和就业支出(类)行政事业单位养老支出(款)事业单位离退休(项):支出决算数为0.78万元，比上年决算增加0.47万元，增长151.61%,主要原因是：本年增加退休人员基础绩效奖，退休费支出增加。</w:t>
      </w:r>
    </w:p>
    <w:p w14:paraId="4B498F2C">
      <w:pPr>
        <w:spacing w:line="580" w:lineRule="exact"/>
        <w:ind w:firstLine="640"/>
        <w:jc w:val="both"/>
      </w:pPr>
      <w:r>
        <w:rPr>
          <w:rFonts w:ascii="仿宋_GB2312" w:hAnsi="仿宋_GB2312" w:eastAsia="仿宋_GB2312"/>
          <w:b w:val="0"/>
          <w:sz w:val="32"/>
        </w:rPr>
        <w:t>15.社会保障和就业支出(类)行政事业单位养老支出(款)机关事业单位基本养老保险缴费支出(项):支出决算数为75.87万元，比上年决算增加0.04万元，增长0.05%,主要原因是：本年在职人员工资基数调增，养老缴费基数上涨，相应支出增加。</w:t>
      </w:r>
    </w:p>
    <w:p w14:paraId="4E698FF0">
      <w:pPr>
        <w:spacing w:line="580" w:lineRule="exact"/>
        <w:ind w:firstLine="640"/>
        <w:jc w:val="both"/>
      </w:pPr>
      <w:r>
        <w:rPr>
          <w:rFonts w:ascii="仿宋_GB2312" w:hAnsi="仿宋_GB2312" w:eastAsia="仿宋_GB2312"/>
          <w:b w:val="0"/>
          <w:sz w:val="32"/>
        </w:rPr>
        <w:t>16.卫生健康支出(类)公共卫生(款)重大公共卫生服务(项):支出决算数为0.00万元，比上年决算减少97.39万元，下降100.00%,主要原因是：本年减少轮南隔离点住宿费、疫情隔离点餐饮费，轮南隔离点医务人员接送租车费，导致相关经费减少。</w:t>
      </w:r>
    </w:p>
    <w:p w14:paraId="08DC39AD">
      <w:pPr>
        <w:spacing w:line="580" w:lineRule="exact"/>
        <w:ind w:firstLine="640"/>
        <w:jc w:val="both"/>
      </w:pPr>
      <w:r>
        <w:rPr>
          <w:rFonts w:ascii="仿宋_GB2312" w:hAnsi="仿宋_GB2312" w:eastAsia="仿宋_GB2312"/>
          <w:b w:val="0"/>
          <w:sz w:val="32"/>
        </w:rPr>
        <w:t>17.卫生健康支出(类)行政事业单位医疗(款)行政单位医疗(项):支出决算数为15.92万元，比上年决算减少3.77万元，下降19.15%,主要原因是：本年在职人员减少，行政单位医疗支出较上年减少。</w:t>
      </w:r>
    </w:p>
    <w:p w14:paraId="71DD5578">
      <w:pPr>
        <w:spacing w:line="580" w:lineRule="exact"/>
        <w:ind w:firstLine="640"/>
        <w:jc w:val="both"/>
      </w:pPr>
      <w:r>
        <w:rPr>
          <w:rFonts w:ascii="仿宋_GB2312" w:hAnsi="仿宋_GB2312" w:eastAsia="仿宋_GB2312"/>
          <w:b w:val="0"/>
          <w:sz w:val="32"/>
        </w:rPr>
        <w:t>18.卫生健康支出(类)行政事业单位医疗(款)事业单位医疗(项):支出决算数为18.78万元，比上年决算增加3.82万元，增长25.53%,主要原因是：本年在职人员工资基数调增，医疗缴费基数上涨，相应支出增加。</w:t>
      </w:r>
    </w:p>
    <w:p w14:paraId="1427DA4E">
      <w:pPr>
        <w:spacing w:line="580" w:lineRule="exact"/>
        <w:ind w:firstLine="640"/>
        <w:jc w:val="both"/>
      </w:pPr>
      <w:r>
        <w:rPr>
          <w:rFonts w:ascii="仿宋_GB2312" w:hAnsi="仿宋_GB2312" w:eastAsia="仿宋_GB2312"/>
          <w:b w:val="0"/>
          <w:sz w:val="32"/>
        </w:rPr>
        <w:t>19.卫生健康支出(类)行政事业单位医疗(款)公务员医疗补助(项):支出决算数为6.54万元，比上年决算增加0.37万元，增长6.00%,主要原因是：本年在职人员工资基数调增，医疗缴费基数上涨，相应支出增加。</w:t>
      </w:r>
    </w:p>
    <w:p w14:paraId="2C7C6C1E">
      <w:pPr>
        <w:spacing w:line="580" w:lineRule="exact"/>
        <w:ind w:firstLine="640"/>
        <w:jc w:val="both"/>
      </w:pPr>
      <w:r>
        <w:rPr>
          <w:rFonts w:ascii="仿宋_GB2312" w:hAnsi="仿宋_GB2312" w:eastAsia="仿宋_GB2312"/>
          <w:b w:val="0"/>
          <w:sz w:val="32"/>
        </w:rPr>
        <w:t>20.城乡社区支出(类)城乡社区公共设施(款)其他城乡社区公共设施支出(项):支出决算数为89.50万元，比上年决算增加89.50万元，增长100.00%,主要原因是：本年度增加轮台县2024年社区综合服务设施建设项目经费，导致相关经费增加。</w:t>
      </w:r>
    </w:p>
    <w:p w14:paraId="6C4002E1">
      <w:pPr>
        <w:spacing w:line="580" w:lineRule="exact"/>
        <w:ind w:firstLine="640"/>
        <w:jc w:val="both"/>
      </w:pPr>
      <w:r>
        <w:rPr>
          <w:rFonts w:ascii="仿宋_GB2312" w:hAnsi="仿宋_GB2312" w:eastAsia="仿宋_GB2312"/>
          <w:b w:val="0"/>
          <w:sz w:val="32"/>
        </w:rPr>
        <w:t>21.农林水支出(类)农业农村(款)农业资源保护修复与利用(项):支出决算数为0.00万元，比上年决算减少40.47万元，下降100.00%,主要原因是：本年减少轮南镇22年地膜回收补贴经费，导致相关经费减少。</w:t>
      </w:r>
    </w:p>
    <w:p w14:paraId="4840B839">
      <w:pPr>
        <w:spacing w:line="580" w:lineRule="exact"/>
        <w:ind w:firstLine="640"/>
        <w:jc w:val="both"/>
      </w:pPr>
      <w:r>
        <w:rPr>
          <w:rFonts w:ascii="仿宋_GB2312" w:hAnsi="仿宋_GB2312" w:eastAsia="仿宋_GB2312"/>
          <w:b w:val="0"/>
          <w:sz w:val="32"/>
        </w:rPr>
        <w:t>22.农林水支出(类)农业农村(款)其他农业农村支出(项):支出决算数为0.00万元，比上年决算减少463.27万元，下降100.00%,主要原因是：本年减少轮台县2022年乡镇干部周转宿舍建设项目经费，导致相关经费减少。</w:t>
      </w:r>
    </w:p>
    <w:p w14:paraId="3178B194">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2,513.01万元，比上年决算增加2,365.69万元，增长1,605.82%,主要原因是：本年增加轮南镇小城镇建设项目（二期）项目经费，导致相关经费增加。</w:t>
      </w:r>
    </w:p>
    <w:p w14:paraId="3CAE609A">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338.53万元，比上年决算增加338.53万元，增长100.00%,主要原因是：本年增加轮南镇解放渠村乡村旅游配套设备项目经费，导致相关经费增加。</w:t>
      </w:r>
    </w:p>
    <w:p w14:paraId="303CB7CB">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37.88万元，比上年决算增加22.28万元，增长142.82%,主要原因是：本年增加轮南解村树苗费用，轮南解村鱼塘开挖费，轮南解村旅游公厕工程、轮南镇解放渠乡村振兴就业创业基地村集体经济发展资金等项目经费，导致相关经费增加。</w:t>
      </w:r>
    </w:p>
    <w:p w14:paraId="2A20857A">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185.04万元，比上年决算增加185.04万元，增长100.00%,主要原因是：本年增加轮南镇牙买提社区综合服务建设项目经费，导致相关经费增加。</w:t>
      </w:r>
    </w:p>
    <w:p w14:paraId="69CA1257">
      <w:pPr>
        <w:spacing w:line="580" w:lineRule="exact"/>
        <w:ind w:firstLine="640"/>
        <w:jc w:val="both"/>
      </w:pPr>
      <w:r>
        <w:rPr>
          <w:rFonts w:ascii="仿宋_GB2312" w:hAnsi="仿宋_GB2312" w:eastAsia="仿宋_GB2312"/>
          <w:b w:val="0"/>
          <w:sz w:val="32"/>
        </w:rPr>
        <w:t>27.农林水支出(类)农村综合改革(款)对村民委员会和村党支部的补助(项):支出决算数为18.00万元，比上年决算增加8.09万元，增长81.63%,主要原因是：本年增加机关食堂液体燃料，食堂蔬菜费用，导致相关经费增加。</w:t>
      </w:r>
    </w:p>
    <w:p w14:paraId="059B00F1">
      <w:pPr>
        <w:spacing w:line="580" w:lineRule="exact"/>
        <w:ind w:firstLine="640"/>
        <w:jc w:val="both"/>
      </w:pPr>
      <w:r>
        <w:rPr>
          <w:rFonts w:ascii="仿宋_GB2312" w:hAnsi="仿宋_GB2312" w:eastAsia="仿宋_GB2312"/>
          <w:b w:val="0"/>
          <w:sz w:val="32"/>
        </w:rPr>
        <w:t>28.住房保障支出(类)住房改革支出(款)住房公积金(项):支出决算数为60.37万元，比上年决算增加6.96万元，增长13.03%,主要原因是：本年在职人员工资基数调增，公积金缴费基数上涨，相应支出增加。</w:t>
      </w:r>
    </w:p>
    <w:p w14:paraId="72C3C87F">
      <w:pPr>
        <w:spacing w:line="580" w:lineRule="exact"/>
        <w:ind w:firstLine="640"/>
        <w:jc w:val="both"/>
      </w:pPr>
      <w:r>
        <w:rPr>
          <w:rFonts w:ascii="仿宋_GB2312" w:hAnsi="仿宋_GB2312" w:eastAsia="仿宋_GB2312"/>
          <w:b w:val="0"/>
          <w:sz w:val="32"/>
        </w:rPr>
        <w:t>29.其他支出(类)其他支出(款)其他支出(项):支出决算数为1.77万元，比上年决算减少276.19万元，下降99.36%,主要原因是：本年减少轮南镇牙买提社区综合服务建设项目经费，导致相关经费减少。</w:t>
      </w:r>
    </w:p>
    <w:p w14:paraId="48632647">
      <w:pPr>
        <w:spacing w:line="640" w:lineRule="exact"/>
        <w:ind w:firstLine="640"/>
        <w:jc w:val="both"/>
        <w:outlineLvl w:val="2"/>
      </w:pPr>
      <w:r>
        <w:rPr>
          <w:rFonts w:ascii="黑体" w:hAnsi="黑体" w:eastAsia="黑体"/>
          <w:sz w:val="32"/>
        </w:rPr>
        <w:t>六、一般公共预算财政拨款基本支出决算情况说明</w:t>
      </w:r>
    </w:p>
    <w:p w14:paraId="39666D5E">
      <w:pPr>
        <w:spacing w:line="580" w:lineRule="exact"/>
        <w:ind w:firstLine="640"/>
        <w:jc w:val="both"/>
      </w:pPr>
      <w:r>
        <w:rPr>
          <w:rFonts w:ascii="仿宋_GB2312" w:hAnsi="仿宋_GB2312" w:eastAsia="仿宋_GB2312"/>
          <w:b w:val="0"/>
          <w:sz w:val="32"/>
        </w:rPr>
        <w:t>2024年度一般公共预算财政拨款基本支出1,203.44万元，其中：</w:t>
      </w:r>
      <w:r>
        <w:rPr>
          <w:rFonts w:ascii="仿宋_GB2312" w:hAnsi="仿宋_GB2312" w:eastAsia="仿宋_GB2312"/>
          <w:b/>
          <w:sz w:val="32"/>
        </w:rPr>
        <w:t>人员经费1,022.72万元，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奖励金、个人农业生产补贴。</w:t>
      </w:r>
    </w:p>
    <w:p w14:paraId="485A2D16">
      <w:pPr>
        <w:spacing w:line="580" w:lineRule="exact"/>
        <w:ind w:firstLine="640"/>
        <w:jc w:val="both"/>
      </w:pPr>
      <w:r>
        <w:rPr>
          <w:rFonts w:ascii="仿宋_GB2312" w:hAnsi="仿宋_GB2312" w:eastAsia="仿宋_GB2312"/>
          <w:b/>
          <w:sz w:val="32"/>
        </w:rPr>
        <w:t>公用经费180.72万元，</w:t>
      </w:r>
      <w:r>
        <w:rPr>
          <w:rFonts w:ascii="仿宋_GB2312" w:hAnsi="仿宋_GB2312" w:eastAsia="仿宋_GB2312"/>
          <w:b w:val="0"/>
          <w:sz w:val="32"/>
        </w:rPr>
        <w:t>包括：办公费、咨询费、水费、电费、邮电费、取暖费、物业管理费、差旅费、维修（护）费、专用材料费、委托业务费、公务用车运行维护费、其他交通费用、办公设备购置。</w:t>
      </w:r>
    </w:p>
    <w:p w14:paraId="5AB995F2">
      <w:pPr>
        <w:spacing w:line="640" w:lineRule="exact"/>
        <w:ind w:firstLine="640"/>
        <w:jc w:val="both"/>
        <w:outlineLvl w:val="2"/>
      </w:pPr>
      <w:r>
        <w:rPr>
          <w:rFonts w:ascii="黑体" w:hAnsi="黑体" w:eastAsia="黑体"/>
          <w:sz w:val="32"/>
        </w:rPr>
        <w:t>七、政府性基金预算财政拨款收入支出决算情况说明</w:t>
      </w:r>
    </w:p>
    <w:p w14:paraId="2BAC64ED">
      <w:pPr>
        <w:spacing w:line="580" w:lineRule="exact"/>
        <w:ind w:firstLine="640"/>
        <w:jc w:val="both"/>
      </w:pPr>
      <w:r>
        <w:rPr>
          <w:rFonts w:ascii="仿宋_GB2312" w:hAnsi="仿宋_GB2312" w:eastAsia="仿宋_GB2312"/>
          <w:b/>
          <w:sz w:val="32"/>
        </w:rPr>
        <w:t>2024年度政府性基金预算财政拨款收入总计30.00万元，</w:t>
      </w:r>
      <w:r>
        <w:rPr>
          <w:rFonts w:ascii="仿宋_GB2312" w:hAnsi="仿宋_GB2312" w:eastAsia="仿宋_GB2312"/>
          <w:b w:val="0"/>
          <w:sz w:val="32"/>
        </w:rPr>
        <w:t>其中：年初结转和结余0.00万元，本年收入30.00万元。</w:t>
      </w:r>
      <w:r>
        <w:rPr>
          <w:rFonts w:ascii="仿宋_GB2312" w:hAnsi="仿宋_GB2312" w:eastAsia="仿宋_GB2312"/>
          <w:b/>
          <w:sz w:val="32"/>
        </w:rPr>
        <w:t>政府性基金预算财政拨款支出总计30.00万元，</w:t>
      </w:r>
      <w:r>
        <w:rPr>
          <w:rFonts w:ascii="仿宋_GB2312" w:hAnsi="仿宋_GB2312" w:eastAsia="仿宋_GB2312"/>
          <w:b w:val="0"/>
          <w:sz w:val="32"/>
        </w:rPr>
        <w:t>其中：年末结转和结余0.00万元，本年支出30.00万元。</w:t>
      </w:r>
    </w:p>
    <w:p w14:paraId="746C8C3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减少112.73万元，下降78.98%，主要原因是：本年减少轮南镇小城镇改造提升项目经费，导致相关经费减少。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年初预算数0.00万元，决算数30.00万元，预决算差异率100.00%，主要原因是：年中追加轮南镇小城镇建设项目经费，导致预决算存在差异。</w:t>
      </w:r>
    </w:p>
    <w:p w14:paraId="4DCD576E">
      <w:pPr>
        <w:spacing w:line="580" w:lineRule="exact"/>
        <w:ind w:firstLine="640"/>
        <w:jc w:val="both"/>
      </w:pPr>
      <w:r>
        <w:rPr>
          <w:rFonts w:ascii="仿宋_GB2312" w:hAnsi="仿宋_GB2312" w:eastAsia="仿宋_GB2312"/>
          <w:b w:val="0"/>
          <w:sz w:val="32"/>
        </w:rPr>
        <w:t>政府性基金预算财政拨款支出30.00万元。</w:t>
      </w:r>
    </w:p>
    <w:p w14:paraId="5E66D1EF">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127.00万元，下降100.00%,主要原因是：本年减少轮南镇小城镇改造提升项目经费，导致相关经费减少。</w:t>
      </w:r>
    </w:p>
    <w:p w14:paraId="74434F21">
      <w:pPr>
        <w:spacing w:line="580" w:lineRule="exact"/>
        <w:ind w:firstLine="640"/>
        <w:jc w:val="both"/>
      </w:pPr>
      <w:r>
        <w:rPr>
          <w:rFonts w:ascii="仿宋_GB2312" w:hAnsi="仿宋_GB2312" w:eastAsia="仿宋_GB2312"/>
          <w:b w:val="0"/>
          <w:sz w:val="32"/>
        </w:rPr>
        <w:t>2.城乡社区支出(类)国有土地使用权出让收入安排的支出(款)农村社会事业支出(项):支出决算数为0.00万元，比上年决算减少15.73万元，下降100.00%,主要原因是：本年减少轮南防空地下室易地建设费，导致相关经费减少。</w:t>
      </w:r>
    </w:p>
    <w:p w14:paraId="7E210A2C">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30.00万元，比上年决算增加30.00万元，增长100.00%,主要原因是：本年增加轮南镇小城镇建设项目经费，导致相关经费增加。</w:t>
      </w:r>
    </w:p>
    <w:p w14:paraId="49E10A84">
      <w:pPr>
        <w:spacing w:line="640" w:lineRule="exact"/>
        <w:ind w:firstLine="640"/>
        <w:jc w:val="both"/>
        <w:outlineLvl w:val="2"/>
      </w:pPr>
      <w:r>
        <w:rPr>
          <w:rFonts w:ascii="黑体" w:hAnsi="黑体" w:eastAsia="黑体"/>
          <w:sz w:val="32"/>
        </w:rPr>
        <w:t>八、国有资本经营预算财政拨款收入支出决算情况说明</w:t>
      </w:r>
    </w:p>
    <w:p w14:paraId="5B4AFC4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8E73EB">
      <w:pPr>
        <w:spacing w:line="640" w:lineRule="exact"/>
        <w:ind w:firstLine="640"/>
        <w:jc w:val="both"/>
        <w:outlineLvl w:val="2"/>
      </w:pPr>
      <w:r>
        <w:rPr>
          <w:rFonts w:ascii="黑体" w:hAnsi="黑体" w:eastAsia="黑体"/>
          <w:sz w:val="32"/>
        </w:rPr>
        <w:t>九、财政拨款“三公”经费支出决算情况说明</w:t>
      </w:r>
    </w:p>
    <w:p w14:paraId="448F4509">
      <w:pPr>
        <w:spacing w:line="580" w:lineRule="exact"/>
        <w:ind w:firstLine="640"/>
        <w:jc w:val="both"/>
      </w:pPr>
      <w:r>
        <w:rPr>
          <w:rFonts w:ascii="仿宋_GB2312" w:hAnsi="仿宋_GB2312" w:eastAsia="仿宋_GB2312"/>
          <w:b/>
          <w:sz w:val="32"/>
        </w:rPr>
        <w:t>2024年度财政拨款“三公”经费支出2.24万元，</w:t>
      </w:r>
      <w:r>
        <w:rPr>
          <w:rFonts w:ascii="仿宋_GB2312" w:hAnsi="仿宋_GB2312" w:eastAsia="仿宋_GB2312"/>
          <w:b w:val="0"/>
          <w:sz w:val="32"/>
        </w:rPr>
        <w:t>比上年减少11.71万元，下降83.94%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2.24万元，占100.00%，比上年减少11.71万元，下降83.94%，主要原因是：严格落实中央八项规定精神，厉行节约，减少公务用车运行维护费。公务接待费支出0.00万元，占0.00%，比上年增加0.00万元，增长0.00%，主要原因是：2023年与2024年均未安排公务接待费支出。</w:t>
      </w:r>
    </w:p>
    <w:p w14:paraId="20FEA487">
      <w:pPr>
        <w:spacing w:line="580" w:lineRule="exact"/>
        <w:ind w:firstLine="640"/>
        <w:jc w:val="both"/>
      </w:pPr>
      <w:r>
        <w:rPr>
          <w:rFonts w:ascii="仿宋_GB2312" w:hAnsi="仿宋_GB2312" w:eastAsia="仿宋_GB2312"/>
          <w:b/>
          <w:sz w:val="32"/>
        </w:rPr>
        <w:t>具体情况如下：</w:t>
      </w:r>
    </w:p>
    <w:p w14:paraId="7445C23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B9D5D1">
      <w:pPr>
        <w:spacing w:line="580" w:lineRule="exact"/>
        <w:ind w:firstLine="640"/>
        <w:jc w:val="both"/>
      </w:pPr>
      <w:r>
        <w:rPr>
          <w:rFonts w:ascii="仿宋_GB2312" w:hAnsi="仿宋_GB2312" w:eastAsia="仿宋_GB2312"/>
          <w:b w:val="0"/>
          <w:sz w:val="32"/>
        </w:rPr>
        <w:t>公务用车购置及运行维护费2.24万元，其中：公务用车购置费0.00万元，公务用车运行维护费2.24万元。公务用车运行维护费开支内容包括车辆维修费、燃油费、车辆保险费。公务用车购置数0辆，公务用车保有量8辆。国有资产占用情况中固定资产车辆8辆，与公务用车保有量差异原因是：本单位固定资产车辆与公务用车保有量一致无差异。</w:t>
      </w:r>
    </w:p>
    <w:p w14:paraId="4F886B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8D31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2.24万元，决算数2.24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2.24万元，决算数2.24万元，预决算差异率0.00%，主要原因是：严格按照预算执行，预决算无差异。公务接待费全年预算数0.00万元，决算数0.00万元，预决算差异率0.00%，主要原因是：本单位无公务接待费。</w:t>
      </w:r>
    </w:p>
    <w:p w14:paraId="767B2C6C">
      <w:pPr>
        <w:spacing w:line="640" w:lineRule="exact"/>
        <w:ind w:firstLine="640"/>
        <w:jc w:val="both"/>
        <w:outlineLvl w:val="2"/>
      </w:pPr>
      <w:r>
        <w:rPr>
          <w:rFonts w:ascii="黑体" w:hAnsi="黑体" w:eastAsia="黑体"/>
          <w:sz w:val="32"/>
        </w:rPr>
        <w:t>十、其他重要事项的情况说明</w:t>
      </w:r>
    </w:p>
    <w:p w14:paraId="166631D5">
      <w:pPr>
        <w:spacing w:line="640" w:lineRule="exact"/>
        <w:ind w:firstLine="640"/>
        <w:jc w:val="both"/>
        <w:outlineLvl w:val="3"/>
      </w:pPr>
      <w:r>
        <w:rPr>
          <w:rFonts w:ascii="楷体_GB2312" w:hAnsi="楷体_GB2312" w:eastAsia="楷体_GB2312"/>
          <w:b/>
          <w:sz w:val="32"/>
        </w:rPr>
        <w:t>（一）机关运行经费及公用经费支出情况</w:t>
      </w:r>
    </w:p>
    <w:p w14:paraId="2F855977">
      <w:pPr>
        <w:spacing w:line="580" w:lineRule="exact"/>
        <w:ind w:firstLine="640"/>
        <w:jc w:val="both"/>
      </w:pPr>
      <w:r>
        <w:rPr>
          <w:rFonts w:ascii="仿宋_GB2312" w:hAnsi="仿宋_GB2312" w:eastAsia="仿宋_GB2312"/>
          <w:b w:val="0"/>
          <w:sz w:val="32"/>
        </w:rPr>
        <w:t>2024年度轮台县轮南镇人民政府（行政单位和参照公务员法管理事业单位）机关运行经费支出180.72万元，比上年减少133.40万元，下降42.47%，主要原因是：</w:t>
      </w:r>
      <w:r>
        <w:rPr>
          <w:rFonts w:hint="eastAsia" w:ascii="仿宋_GB2312" w:hAnsi="仿宋_GB2312" w:eastAsia="仿宋_GB2312"/>
          <w:b w:val="0"/>
          <w:sz w:val="32"/>
          <w:lang w:val="en-US" w:eastAsia="zh-CN"/>
        </w:rPr>
        <w:t>本年度办公经费、印刷费、宣传经费较上年减少</w:t>
      </w:r>
      <w:r>
        <w:rPr>
          <w:rFonts w:ascii="仿宋_GB2312" w:hAnsi="仿宋_GB2312" w:eastAsia="仿宋_GB2312"/>
          <w:b w:val="0"/>
          <w:sz w:val="32"/>
        </w:rPr>
        <w:t>。</w:t>
      </w:r>
    </w:p>
    <w:p w14:paraId="00CE0903">
      <w:pPr>
        <w:spacing w:line="640" w:lineRule="exact"/>
        <w:ind w:firstLine="640"/>
        <w:jc w:val="both"/>
        <w:outlineLvl w:val="3"/>
      </w:pPr>
      <w:r>
        <w:rPr>
          <w:rFonts w:ascii="楷体_GB2312" w:hAnsi="楷体_GB2312" w:eastAsia="楷体_GB2312"/>
          <w:b/>
          <w:sz w:val="32"/>
        </w:rPr>
        <w:t>（二）政府采购情况</w:t>
      </w:r>
    </w:p>
    <w:p w14:paraId="5043C047">
      <w:pPr>
        <w:spacing w:line="580" w:lineRule="exact"/>
        <w:ind w:firstLine="640"/>
        <w:jc w:val="both"/>
      </w:pPr>
      <w:r>
        <w:rPr>
          <w:rFonts w:ascii="仿宋_GB2312" w:hAnsi="仿宋_GB2312" w:eastAsia="仿宋_GB2312"/>
          <w:b w:val="0"/>
          <w:sz w:val="32"/>
        </w:rPr>
        <w:t>2024年度政府采购支出总额487.73万元，其中：政府采购货物支出408.96万元、政府采购工程支出23.23万元、政府采购服务支出55.54万元。</w:t>
      </w:r>
    </w:p>
    <w:p w14:paraId="41859255">
      <w:pPr>
        <w:spacing w:line="580" w:lineRule="exact"/>
        <w:ind w:firstLine="640"/>
        <w:jc w:val="both"/>
      </w:pPr>
      <w:r>
        <w:rPr>
          <w:rFonts w:ascii="仿宋_GB2312" w:hAnsi="仿宋_GB2312" w:eastAsia="仿宋_GB2312"/>
          <w:b w:val="0"/>
          <w:sz w:val="32"/>
        </w:rPr>
        <w:t>授予中小企业合同金额487.73万元，占政府采购支出总额的100.00%，其中：授予小微企业合同金额485.78万元，占政府采购支出总额的99.60%。</w:t>
      </w:r>
    </w:p>
    <w:p w14:paraId="13033090">
      <w:pPr>
        <w:spacing w:line="640" w:lineRule="exact"/>
        <w:ind w:firstLine="640"/>
        <w:jc w:val="both"/>
        <w:outlineLvl w:val="3"/>
      </w:pPr>
      <w:r>
        <w:rPr>
          <w:rFonts w:ascii="楷体_GB2312" w:hAnsi="楷体_GB2312" w:eastAsia="楷体_GB2312"/>
          <w:b/>
          <w:sz w:val="32"/>
        </w:rPr>
        <w:t>（三）国有资产占用情况说明</w:t>
      </w:r>
    </w:p>
    <w:p w14:paraId="231ECC42">
      <w:pPr>
        <w:spacing w:line="580" w:lineRule="exact"/>
        <w:ind w:firstLine="640"/>
        <w:jc w:val="both"/>
      </w:pPr>
      <w:r>
        <w:rPr>
          <w:rFonts w:ascii="仿宋_GB2312" w:hAnsi="仿宋_GB2312" w:eastAsia="仿宋_GB2312"/>
          <w:b w:val="0"/>
          <w:sz w:val="32"/>
        </w:rPr>
        <w:t>截至2024年12月31日，房屋6,140.00平方米，价值1,493.17万元。车辆8辆，价值80.60万元，其中：副部（省）级及以上领导用车0辆、主要负责人用车2辆、机要通信用车0辆、应急保障用车0辆、执法执勤用车0辆、特种专业技术用车0辆、离退休干部服务用车0辆、其他用车6辆，其他用车主要是：一般公务用车。单价100万元（含）以上设备（不含车辆）1台（套）。</w:t>
      </w:r>
    </w:p>
    <w:p w14:paraId="679922BE">
      <w:pPr>
        <w:spacing w:line="640" w:lineRule="exact"/>
        <w:ind w:firstLine="640"/>
        <w:jc w:val="both"/>
        <w:outlineLvl w:val="2"/>
      </w:pPr>
      <w:r>
        <w:rPr>
          <w:rFonts w:ascii="黑体" w:hAnsi="黑体" w:eastAsia="黑体"/>
          <w:sz w:val="32"/>
        </w:rPr>
        <w:t>十一、预算绩效的情况说明</w:t>
      </w:r>
    </w:p>
    <w:p w14:paraId="7F0E260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4,428.99万元，实际执行总额4,385.35万元；预算绩效评价项目1个，全年预算数26.03万元，全年执行数26.03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专业知识与指标优化不足，绩效管理人员缺乏系统性专业知识，导致指标设置在细化、量化方面存在缺陷。在绩效自评过程中，因专业能力局限，评价工作存在主观性，影响评价结果的客观性与准确性；二是人员流动影响工作衔接，受轮岗、调动等因素影响，绩效工作人员变动频繁，新旧工作交接不充分，导致工作连续性受损，部分任务执行效率降低。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14:paraId="1F0C5AD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493A677">
        <w:tc>
          <w:tcPr>
            <w:tcW w:w="8840" w:type="dxa"/>
            <w:gridSpan w:val="8"/>
            <w:vAlign w:val="center"/>
          </w:tcPr>
          <w:p w14:paraId="42C9DE90">
            <w:pPr>
              <w:jc w:val="center"/>
            </w:pPr>
            <w:r>
              <w:rPr>
                <w:rFonts w:ascii="宋体" w:hAnsi="宋体" w:eastAsia="宋体"/>
                <w:sz w:val="24"/>
              </w:rPr>
              <w:t>单位整体支出绩效自评表</w:t>
            </w:r>
          </w:p>
        </w:tc>
      </w:tr>
      <w:tr w14:paraId="3D4A2BA2">
        <w:tblPrEx>
          <w:tblCellMar>
            <w:top w:w="0" w:type="dxa"/>
            <w:left w:w="108" w:type="dxa"/>
            <w:bottom w:w="0" w:type="dxa"/>
            <w:right w:w="108" w:type="dxa"/>
          </w:tblCellMar>
        </w:tblPrEx>
        <w:tc>
          <w:tcPr>
            <w:tcW w:w="8840" w:type="dxa"/>
            <w:gridSpan w:val="8"/>
            <w:vAlign w:val="center"/>
          </w:tcPr>
          <w:p w14:paraId="0FA95BE4">
            <w:pPr>
              <w:jc w:val="center"/>
            </w:pPr>
            <w:r>
              <w:rPr>
                <w:rFonts w:ascii="宋体" w:hAnsi="宋体" w:eastAsia="宋体"/>
                <w:sz w:val="24"/>
              </w:rPr>
              <w:t>（2024年度）</w:t>
            </w:r>
          </w:p>
        </w:tc>
      </w:tr>
      <w:tr w14:paraId="175564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5675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48FA9">
            <w:pPr>
              <w:jc w:val="center"/>
            </w:pPr>
            <w:r>
              <w:rPr>
                <w:rFonts w:ascii="宋体" w:hAnsi="宋体" w:eastAsia="宋体"/>
                <w:sz w:val="16"/>
              </w:rPr>
              <w:t>轮台县轮南镇人民政府</w:t>
            </w:r>
          </w:p>
        </w:tc>
      </w:tr>
      <w:tr w14:paraId="5B66C6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4541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269A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4A29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5F95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F4D6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A106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83B3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3C28F">
            <w:pPr>
              <w:jc w:val="center"/>
            </w:pPr>
            <w:r>
              <w:rPr>
                <w:rFonts w:ascii="宋体" w:hAnsi="宋体" w:eastAsia="宋体"/>
                <w:sz w:val="16"/>
              </w:rPr>
              <w:t>得分</w:t>
            </w:r>
          </w:p>
        </w:tc>
      </w:tr>
      <w:tr w14:paraId="7BD2EC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7DA2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AA8D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8602B">
            <w:pPr>
              <w:jc w:val="center"/>
            </w:pPr>
            <w:r>
              <w:rPr>
                <w:rFonts w:ascii="宋体" w:hAnsi="宋体" w:eastAsia="宋体"/>
                <w:sz w:val="16"/>
              </w:rPr>
              <w:t>1,111.54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8063B">
            <w:pPr>
              <w:jc w:val="center"/>
            </w:pPr>
            <w:r>
              <w:rPr>
                <w:rFonts w:ascii="宋体" w:hAnsi="宋体" w:eastAsia="宋体"/>
                <w:sz w:val="16"/>
              </w:rPr>
              <w:t>4,428.99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6DE04">
            <w:pPr>
              <w:jc w:val="center"/>
            </w:pPr>
            <w:r>
              <w:rPr>
                <w:rFonts w:ascii="宋体" w:hAnsi="宋体" w:eastAsia="宋体"/>
                <w:sz w:val="16"/>
              </w:rPr>
              <w:t>4,385.35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D30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B8047">
            <w:pPr>
              <w:jc w:val="center"/>
            </w:pPr>
            <w:r>
              <w:rPr>
                <w:rFonts w:ascii="宋体" w:hAnsi="宋体" w:eastAsia="宋体"/>
                <w:sz w:val="16"/>
              </w:rPr>
              <w:t>99.01%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AC7AD">
            <w:pPr>
              <w:jc w:val="center"/>
            </w:pPr>
            <w:r>
              <w:rPr>
                <w:rFonts w:ascii="宋体" w:hAnsi="宋体" w:eastAsia="宋体"/>
                <w:sz w:val="16"/>
              </w:rPr>
              <w:t>9.9</w:t>
            </w:r>
          </w:p>
        </w:tc>
      </w:tr>
      <w:tr w14:paraId="324DBD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76B9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65CE3">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EEC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8F6C8">
            <w:pPr>
              <w:jc w:val="center"/>
            </w:pPr>
            <w:r>
              <w:rPr>
                <w:rFonts w:ascii="宋体" w:hAnsi="宋体" w:eastAsia="宋体"/>
                <w:sz w:val="16"/>
              </w:rPr>
              <w:t>3,178.61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3835E">
            <w:pPr>
              <w:jc w:val="center"/>
            </w:pPr>
            <w:r>
              <w:rPr>
                <w:rFonts w:ascii="宋体" w:hAnsi="宋体" w:eastAsia="宋体"/>
                <w:sz w:val="16"/>
              </w:rPr>
              <w:t>3,178.61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688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F8C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A6886">
            <w:pPr>
              <w:jc w:val="center"/>
            </w:pPr>
            <w:r>
              <w:rPr>
                <w:rFonts w:ascii="宋体" w:hAnsi="宋体" w:eastAsia="宋体"/>
                <w:sz w:val="16"/>
              </w:rPr>
              <w:t>-</w:t>
            </w:r>
          </w:p>
        </w:tc>
      </w:tr>
      <w:tr w14:paraId="2655D0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90A0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49D69">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AA8D7">
            <w:pPr>
              <w:jc w:val="center"/>
            </w:pPr>
            <w:r>
              <w:rPr>
                <w:rFonts w:ascii="宋体" w:hAnsi="宋体" w:eastAsia="宋体"/>
                <w:sz w:val="16"/>
              </w:rPr>
              <w:t>1,111.54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16718">
            <w:pPr>
              <w:jc w:val="center"/>
            </w:pPr>
            <w:r>
              <w:rPr>
                <w:rFonts w:ascii="宋体" w:hAnsi="宋体" w:eastAsia="宋体"/>
                <w:sz w:val="16"/>
              </w:rPr>
              <w:t>1,188.54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86A4C">
            <w:pPr>
              <w:jc w:val="center"/>
            </w:pPr>
            <w:r>
              <w:rPr>
                <w:rFonts w:ascii="宋体" w:hAnsi="宋体" w:eastAsia="宋体"/>
                <w:sz w:val="16"/>
              </w:rPr>
              <w:t>1,188.54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812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F04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9A4F5">
            <w:pPr>
              <w:jc w:val="center"/>
            </w:pPr>
            <w:r>
              <w:rPr>
                <w:rFonts w:ascii="宋体" w:hAnsi="宋体" w:eastAsia="宋体"/>
                <w:sz w:val="16"/>
              </w:rPr>
              <w:t>-</w:t>
            </w:r>
          </w:p>
        </w:tc>
      </w:tr>
      <w:tr w14:paraId="38EFAD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6C88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C4A9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86BB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F88A9">
            <w:pPr>
              <w:jc w:val="center"/>
            </w:pPr>
            <w:r>
              <w:rPr>
                <w:rFonts w:ascii="宋体" w:hAnsi="宋体" w:eastAsia="宋体"/>
                <w:sz w:val="16"/>
              </w:rPr>
              <w:t>61.84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F52F6">
            <w:pPr>
              <w:jc w:val="center"/>
            </w:pPr>
            <w:r>
              <w:rPr>
                <w:rFonts w:ascii="宋体" w:hAnsi="宋体" w:eastAsia="宋体"/>
                <w:sz w:val="16"/>
              </w:rPr>
              <w:t>18.20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D75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134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F93F8">
            <w:pPr>
              <w:jc w:val="center"/>
            </w:pPr>
            <w:r>
              <w:rPr>
                <w:rFonts w:ascii="宋体" w:hAnsi="宋体" w:eastAsia="宋体"/>
                <w:sz w:val="16"/>
              </w:rPr>
              <w:t>-</w:t>
            </w:r>
          </w:p>
        </w:tc>
      </w:tr>
      <w:tr w14:paraId="63F5D5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7857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79696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D25A87">
            <w:pPr>
              <w:jc w:val="center"/>
            </w:pPr>
            <w:r>
              <w:rPr>
                <w:rFonts w:ascii="宋体" w:hAnsi="宋体" w:eastAsia="宋体"/>
                <w:sz w:val="16"/>
              </w:rPr>
              <w:t>实际完成情况</w:t>
            </w:r>
          </w:p>
        </w:tc>
      </w:tr>
      <w:tr w14:paraId="350182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2E3B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555910">
            <w:pPr>
              <w:jc w:val="both"/>
            </w:pPr>
            <w:r>
              <w:rPr>
                <w:rFonts w:ascii="宋体" w:hAnsi="宋体" w:eastAsia="宋体"/>
                <w:sz w:val="16"/>
              </w:rPr>
              <w:t>1.深化群众工作，用真心换真情，持续用好困难收集、限时解决、依法依规、想方设法解决群众实际困难，把各族群众牢牢团结在党和政府周围，群众困难诉求解决率不少于90%，开展“去极端化”行动次数不少于12次，综合治理村居数4个。2.深化拓展特色党建模式，将抓党建工作与社会稳定、乡村振兴等工作有机结合，继续打造基层党建示范，提供富余劳动力转移就业岗位550个人以上，开展职业技能培训次数不少于5次，脱贫户和脱贫人口动态监测次数不少于12次。3.常态化</w:t>
            </w:r>
            <w:r>
              <w:rPr>
                <w:rFonts w:hint="eastAsia" w:ascii="宋体" w:hAnsi="宋体"/>
                <w:sz w:val="16"/>
                <w:lang w:eastAsia="zh-CN"/>
              </w:rPr>
              <w:t>开展</w:t>
            </w:r>
            <w:r>
              <w:rPr>
                <w:rFonts w:ascii="宋体" w:hAnsi="宋体" w:eastAsia="宋体"/>
                <w:sz w:val="16"/>
              </w:rPr>
              <w:t>环境卫生整治，做到</w:t>
            </w:r>
            <w:r>
              <w:rPr>
                <w:rFonts w:hint="eastAsia" w:ascii="宋体" w:hAnsi="宋体"/>
                <w:sz w:val="16"/>
                <w:lang w:eastAsia="zh-CN"/>
              </w:rPr>
              <w:t>家中</w:t>
            </w:r>
            <w:r>
              <w:rPr>
                <w:rFonts w:ascii="宋体" w:hAnsi="宋体" w:eastAsia="宋体"/>
                <w:sz w:val="16"/>
              </w:rPr>
              <w:t>无小事，卫生常打扫。做好群众增收致富工作，坚持就业增收惠民，解决符合就业人员不愿意外出就业问题，坚定广大群众</w:t>
            </w:r>
            <w:r>
              <w:rPr>
                <w:rFonts w:hint="eastAsia" w:ascii="宋体" w:hAnsi="宋体"/>
                <w:sz w:val="16"/>
                <w:lang w:eastAsia="zh-CN"/>
              </w:rPr>
              <w:t>听党话、感党恩、跟党走</w:t>
            </w:r>
            <w:r>
              <w:rPr>
                <w:rFonts w:ascii="宋体" w:hAnsi="宋体" w:eastAsia="宋体"/>
                <w:sz w:val="16"/>
              </w:rPr>
              <w:t>的行动自觉，发放惠民惠农补贴人数不少于100人，开展志愿者活动次数大于12次。4.对存在的风险隐患整改不力的，坚决采取强制措施，</w:t>
            </w:r>
            <w:r>
              <w:rPr>
                <w:rFonts w:hint="eastAsia" w:ascii="宋体" w:hAnsi="宋体"/>
                <w:sz w:val="16"/>
                <w:lang w:eastAsia="zh-CN"/>
              </w:rPr>
              <w:t>切实</w:t>
            </w:r>
            <w:r>
              <w:rPr>
                <w:rFonts w:ascii="宋体" w:hAnsi="宋体" w:eastAsia="宋体"/>
                <w:sz w:val="16"/>
              </w:rPr>
              <w:t>扼杀风险苗头，全力维护社会和谐稳定，开展安全隐患排查和整治次数不少于12次。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19C782">
            <w:pPr>
              <w:jc w:val="both"/>
            </w:pPr>
            <w:r>
              <w:rPr>
                <w:rFonts w:ascii="宋体" w:hAnsi="宋体" w:eastAsia="宋体"/>
                <w:sz w:val="16"/>
              </w:rPr>
              <w:t>为了落实轮台县轮南镇政府工作计划要求，2024年已完成：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1.已完成开展“去极端化”行动工作12次，强化村民爱国意识，加强民族团结；</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2.已完成综合治理村居数4个，提升村民居住环境的舒适度；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3.已完成提供富余劳动力转移就业岗位工作550个，</w:t>
            </w:r>
            <w:r>
              <w:rPr>
                <w:rFonts w:hint="eastAsia" w:ascii="宋体" w:hAnsi="宋体"/>
                <w:sz w:val="16"/>
                <w:lang w:eastAsia="zh-CN"/>
              </w:rPr>
              <w:t>帮助</w:t>
            </w:r>
            <w:r>
              <w:rPr>
                <w:rFonts w:ascii="宋体" w:hAnsi="宋体" w:eastAsia="宋体"/>
                <w:sz w:val="16"/>
              </w:rPr>
              <w:t>提高就业率，提高居民收入；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4、已完成开展发放惠民惠农补贴工作134人，促进农村发展，提高农牧民收入。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5、已完成开展职业技能培训工作5次，提高农牧民</w:t>
            </w:r>
            <w:r>
              <w:rPr>
                <w:rFonts w:hint="eastAsia" w:ascii="宋体" w:hAnsi="宋体"/>
                <w:sz w:val="16"/>
                <w:lang w:eastAsia="zh-CN"/>
              </w:rPr>
              <w:t>就业</w:t>
            </w:r>
            <w:r>
              <w:rPr>
                <w:rFonts w:ascii="宋体" w:hAnsi="宋体" w:eastAsia="宋体"/>
                <w:sz w:val="16"/>
              </w:rPr>
              <w:t>创业；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6、已完成开展安全隐患排查和整治工作12次，减少安全事故发生，保障安全生产；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7、已完成开展志愿者活动工作12次，提升环境美化率和舒适度；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8、已完成脱贫户和脱贫人口动态监测工作12次，及时了解贫困户经济情况，减少返贫；</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9、已完成群众困难诉求解决率100%，给农牧民带来安全感；</w:t>
            </w:r>
          </w:p>
        </w:tc>
      </w:tr>
      <w:tr w14:paraId="5BEA773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3529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6B9D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46E5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BA89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FF98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D88C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1C7C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F88BD">
            <w:pPr>
              <w:jc w:val="center"/>
            </w:pPr>
            <w:r>
              <w:rPr>
                <w:rFonts w:ascii="宋体" w:hAnsi="宋体" w:eastAsia="宋体"/>
                <w:sz w:val="16"/>
              </w:rPr>
              <w:t>得分</w:t>
            </w:r>
          </w:p>
        </w:tc>
      </w:tr>
      <w:tr w14:paraId="38E14F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0E35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CF69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C5F4D">
            <w:pPr>
              <w:jc w:val="center"/>
            </w:pPr>
            <w:r>
              <w:rPr>
                <w:rFonts w:ascii="宋体" w:hAnsi="宋体" w:eastAsia="宋体"/>
                <w:sz w:val="16"/>
              </w:rPr>
              <w:t>开展“去极端化”行动次数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C67B0">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B4952">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742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8541C">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28ADB">
            <w:pPr>
              <w:jc w:val="center"/>
            </w:pPr>
            <w:r>
              <w:rPr>
                <w:rFonts w:ascii="宋体" w:hAnsi="宋体" w:eastAsia="宋体"/>
                <w:sz w:val="16"/>
              </w:rPr>
              <w:t>10</w:t>
            </w:r>
          </w:p>
        </w:tc>
      </w:tr>
      <w:tr w14:paraId="63751A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DCE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429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4091D">
            <w:pPr>
              <w:jc w:val="center"/>
            </w:pPr>
            <w:r>
              <w:rPr>
                <w:rFonts w:ascii="宋体" w:hAnsi="宋体" w:eastAsia="宋体"/>
                <w:sz w:val="16"/>
              </w:rPr>
              <w:t>综合治理村居数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84B97">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0FA09">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A2B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2A41D">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ABF08">
            <w:pPr>
              <w:jc w:val="center"/>
            </w:pPr>
            <w:r>
              <w:rPr>
                <w:rFonts w:ascii="宋体" w:hAnsi="宋体" w:eastAsia="宋体"/>
                <w:sz w:val="16"/>
              </w:rPr>
              <w:t>10</w:t>
            </w:r>
          </w:p>
        </w:tc>
      </w:tr>
      <w:tr w14:paraId="67E85B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C8E5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FEDA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1C7D5">
            <w:pPr>
              <w:jc w:val="center"/>
            </w:pPr>
            <w:r>
              <w:rPr>
                <w:rFonts w:ascii="宋体" w:hAnsi="宋体" w:eastAsia="宋体"/>
                <w:sz w:val="16"/>
              </w:rPr>
              <w:t>提供富余劳动力转移就业岗位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E6DBF">
            <w:pPr>
              <w:jc w:val="center"/>
            </w:pPr>
            <w:r>
              <w:rPr>
                <w:rFonts w:ascii="宋体" w:hAnsi="宋体" w:eastAsia="宋体"/>
                <w:sz w:val="16"/>
              </w:rPr>
              <w:t>&gt;=550个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82157">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97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A7437">
            <w:pPr>
              <w:jc w:val="center"/>
            </w:pPr>
            <w:r>
              <w:rPr>
                <w:rFonts w:ascii="宋体" w:hAnsi="宋体" w:eastAsia="宋体"/>
                <w:sz w:val="16"/>
              </w:rPr>
              <w:t>550个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D0DA2">
            <w:pPr>
              <w:jc w:val="center"/>
            </w:pPr>
            <w:r>
              <w:rPr>
                <w:rFonts w:ascii="宋体" w:hAnsi="宋体" w:eastAsia="宋体"/>
                <w:sz w:val="16"/>
              </w:rPr>
              <w:t>10</w:t>
            </w:r>
          </w:p>
        </w:tc>
      </w:tr>
      <w:tr w14:paraId="55599B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7F0D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F660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DCA3D">
            <w:pPr>
              <w:jc w:val="center"/>
            </w:pPr>
            <w:r>
              <w:rPr>
                <w:rFonts w:ascii="宋体" w:hAnsi="宋体" w:eastAsia="宋体"/>
                <w:sz w:val="16"/>
              </w:rPr>
              <w:t>发放惠民惠农补贴人数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A0785">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723BE">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29CA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79392">
            <w:pPr>
              <w:jc w:val="center"/>
            </w:pPr>
            <w:r>
              <w:rPr>
                <w:rFonts w:ascii="宋体" w:hAnsi="宋体" w:eastAsia="宋体"/>
                <w:sz w:val="16"/>
              </w:rPr>
              <w:t>134人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371F5">
            <w:pPr>
              <w:jc w:val="center"/>
            </w:pPr>
            <w:r>
              <w:rPr>
                <w:rFonts w:ascii="宋体" w:hAnsi="宋体" w:eastAsia="宋体"/>
                <w:sz w:val="16"/>
              </w:rPr>
              <w:t>10</w:t>
            </w:r>
          </w:p>
        </w:tc>
      </w:tr>
      <w:tr w14:paraId="246AB2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A6B3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D2C9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73FCC">
            <w:pPr>
              <w:jc w:val="center"/>
            </w:pPr>
            <w:r>
              <w:rPr>
                <w:rFonts w:ascii="宋体" w:hAnsi="宋体" w:eastAsia="宋体"/>
                <w:sz w:val="16"/>
              </w:rPr>
              <w:t>开展职业技能培训次数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8504A">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4AE0F">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2DC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9A13F">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C000">
            <w:pPr>
              <w:jc w:val="center"/>
            </w:pPr>
            <w:r>
              <w:rPr>
                <w:rFonts w:ascii="宋体" w:hAnsi="宋体" w:eastAsia="宋体"/>
                <w:sz w:val="16"/>
              </w:rPr>
              <w:t>10</w:t>
            </w:r>
          </w:p>
        </w:tc>
      </w:tr>
      <w:tr w14:paraId="611EF7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EEE56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54FA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85835">
            <w:pPr>
              <w:jc w:val="center"/>
            </w:pPr>
            <w:r>
              <w:rPr>
                <w:rFonts w:ascii="宋体" w:hAnsi="宋体" w:eastAsia="宋体"/>
                <w:sz w:val="16"/>
              </w:rPr>
              <w:t>开展安全隐患排查和整治次数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11625">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F57CE">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6D9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A07B4">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BE027">
            <w:pPr>
              <w:jc w:val="center"/>
            </w:pPr>
            <w:r>
              <w:rPr>
                <w:rFonts w:ascii="宋体" w:hAnsi="宋体" w:eastAsia="宋体"/>
                <w:sz w:val="16"/>
              </w:rPr>
              <w:t>10</w:t>
            </w:r>
          </w:p>
        </w:tc>
      </w:tr>
      <w:tr w14:paraId="1FCEC6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703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2DFC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19CF1">
            <w:pPr>
              <w:jc w:val="center"/>
            </w:pPr>
            <w:r>
              <w:rPr>
                <w:rFonts w:ascii="宋体" w:hAnsi="宋体" w:eastAsia="宋体"/>
                <w:sz w:val="16"/>
              </w:rPr>
              <w:t>开展志愿者活动次数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4301F">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86BD5">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9465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D1B59">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342CF">
            <w:pPr>
              <w:jc w:val="center"/>
            </w:pPr>
            <w:r>
              <w:rPr>
                <w:rFonts w:ascii="宋体" w:hAnsi="宋体" w:eastAsia="宋体"/>
                <w:sz w:val="16"/>
              </w:rPr>
              <w:t>10</w:t>
            </w:r>
          </w:p>
        </w:tc>
      </w:tr>
      <w:tr w14:paraId="26F1DE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5E6D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E47C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C277D">
            <w:pPr>
              <w:jc w:val="center"/>
            </w:pPr>
            <w:r>
              <w:rPr>
                <w:rFonts w:ascii="宋体" w:hAnsi="宋体" w:eastAsia="宋体"/>
                <w:sz w:val="16"/>
              </w:rPr>
              <w:t>脱贫户和脱贫人口动态监测次数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FAE56">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01D43">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6B58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2EDA4">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A1C39">
            <w:pPr>
              <w:jc w:val="center"/>
            </w:pPr>
            <w:r>
              <w:rPr>
                <w:rFonts w:ascii="宋体" w:hAnsi="宋体" w:eastAsia="宋体"/>
                <w:sz w:val="16"/>
              </w:rPr>
              <w:t>10</w:t>
            </w:r>
          </w:p>
        </w:tc>
      </w:tr>
      <w:tr w14:paraId="6A6EE73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590A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2947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ED52C">
            <w:pPr>
              <w:jc w:val="center"/>
            </w:pPr>
            <w:r>
              <w:rPr>
                <w:rFonts w:ascii="宋体" w:hAnsi="宋体" w:eastAsia="宋体"/>
                <w:sz w:val="16"/>
              </w:rPr>
              <w:t>群众困难诉求解决率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71F55">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FBFAD">
            <w:pPr>
              <w:jc w:val="center"/>
            </w:pPr>
            <w:r>
              <w:rPr>
                <w:rFonts w:ascii="宋体" w:hAnsi="宋体" w:eastAsia="宋体"/>
                <w:sz w:val="16"/>
              </w:rPr>
              <w:t>轮台县轮南镇政府工作计划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827A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371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52B6A">
            <w:pPr>
              <w:jc w:val="center"/>
            </w:pPr>
            <w:r>
              <w:rPr>
                <w:rFonts w:ascii="宋体" w:hAnsi="宋体" w:eastAsia="宋体"/>
                <w:sz w:val="16"/>
              </w:rPr>
              <w:t>10</w:t>
            </w:r>
          </w:p>
        </w:tc>
      </w:tr>
    </w:tbl>
    <w:p w14:paraId="2D42E093">
      <w:r>
        <w:br w:type="page"/>
      </w:r>
    </w:p>
    <w:tbl>
      <w:tblPr>
        <w:tblStyle w:val="9"/>
        <w:tblW w:w="0" w:type="auto"/>
        <w:tblInd w:w="0" w:type="dxa"/>
        <w:tblLayout w:type="fixed"/>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25"/>
        <w:gridCol w:w="702"/>
      </w:tblGrid>
      <w:tr w14:paraId="578D70A6">
        <w:tblPrEx>
          <w:tblCellMar>
            <w:top w:w="0" w:type="dxa"/>
            <w:left w:w="108" w:type="dxa"/>
            <w:bottom w:w="0" w:type="dxa"/>
            <w:right w:w="108" w:type="dxa"/>
          </w:tblCellMar>
        </w:tblPrEx>
        <w:tc>
          <w:tcPr>
            <w:tcW w:w="9060" w:type="dxa"/>
            <w:gridSpan w:val="14"/>
            <w:vAlign w:val="center"/>
          </w:tcPr>
          <w:p w14:paraId="1C86AF76">
            <w:pPr>
              <w:jc w:val="center"/>
            </w:pPr>
            <w:r>
              <w:rPr>
                <w:rFonts w:ascii="宋体" w:hAnsi="宋体" w:eastAsia="宋体"/>
                <w:sz w:val="24"/>
              </w:rPr>
              <w:t>项目支出绩效自评表</w:t>
            </w:r>
          </w:p>
        </w:tc>
      </w:tr>
      <w:tr w14:paraId="1B2E98FB">
        <w:tblPrEx>
          <w:tblCellMar>
            <w:top w:w="0" w:type="dxa"/>
            <w:left w:w="108" w:type="dxa"/>
            <w:bottom w:w="0" w:type="dxa"/>
            <w:right w:w="108" w:type="dxa"/>
          </w:tblCellMar>
        </w:tblPrEx>
        <w:tc>
          <w:tcPr>
            <w:tcW w:w="9060" w:type="dxa"/>
            <w:gridSpan w:val="14"/>
            <w:vAlign w:val="center"/>
          </w:tcPr>
          <w:p w14:paraId="5F8B8A44">
            <w:pPr>
              <w:jc w:val="center"/>
            </w:pPr>
            <w:r>
              <w:rPr>
                <w:rFonts w:ascii="宋体" w:hAnsi="宋体" w:eastAsia="宋体"/>
                <w:sz w:val="24"/>
              </w:rPr>
              <w:t>(2024年度)</w:t>
            </w:r>
          </w:p>
        </w:tc>
      </w:tr>
      <w:tr w14:paraId="44DC060E">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B315DB9">
            <w:pPr>
              <w:jc w:val="center"/>
            </w:pPr>
            <w:r>
              <w:rPr>
                <w:rFonts w:ascii="宋体" w:hAnsi="宋体" w:eastAsia="宋体"/>
                <w:sz w:val="16"/>
              </w:rPr>
              <w:t>项目名称</w:t>
            </w:r>
          </w:p>
        </w:tc>
        <w:tc>
          <w:tcPr>
            <w:tcW w:w="844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36887">
            <w:pPr>
              <w:jc w:val="center"/>
            </w:pPr>
            <w:r>
              <w:rPr>
                <w:rFonts w:ascii="宋体" w:hAnsi="宋体" w:eastAsia="宋体"/>
                <w:sz w:val="16"/>
              </w:rPr>
              <w:t>轮南镇：2024年乡镇运转经费</w:t>
            </w:r>
            <w:bookmarkStart w:id="0" w:name="_GoBack"/>
            <w:bookmarkEnd w:id="0"/>
            <w:r>
              <w:rPr>
                <w:rFonts w:ascii="宋体" w:hAnsi="宋体" w:eastAsia="宋体"/>
                <w:sz w:val="16"/>
              </w:rPr>
              <w:t>含人大活动0.5万人大代表联络站0.5万妇联1万纪委办案1.4万纪委2万团经费1万组织0.5万元宣传1万统战1万党建经费1万退役军人0.5万轮南众2万</w:t>
            </w:r>
          </w:p>
        </w:tc>
      </w:tr>
      <w:tr w14:paraId="083D93E5">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4566C45">
            <w:pPr>
              <w:jc w:val="center"/>
            </w:pPr>
            <w:r>
              <w:rPr>
                <w:rFonts w:ascii="宋体" w:hAnsi="宋体" w:eastAsia="宋体"/>
                <w:sz w:val="16"/>
              </w:rPr>
              <w:t>主管部门</w:t>
            </w: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60347">
            <w:pPr>
              <w:jc w:val="center"/>
            </w:pPr>
            <w:r>
              <w:rPr>
                <w:rFonts w:ascii="宋体" w:hAnsi="宋体" w:eastAsia="宋体"/>
                <w:sz w:val="16"/>
              </w:rPr>
              <w:t>新疆轮台县轮南镇政府</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03B6C8">
            <w:pPr>
              <w:jc w:val="center"/>
            </w:pPr>
            <w:r>
              <w:rPr>
                <w:rFonts w:ascii="宋体" w:hAnsi="宋体" w:eastAsia="宋体"/>
                <w:sz w:val="16"/>
              </w:rPr>
              <w:t>实施单位</w:t>
            </w:r>
          </w:p>
        </w:tc>
        <w:tc>
          <w:tcPr>
            <w:tcW w:w="33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A1219E">
            <w:pPr>
              <w:jc w:val="center"/>
            </w:pPr>
            <w:r>
              <w:rPr>
                <w:rFonts w:ascii="宋体" w:hAnsi="宋体" w:eastAsia="宋体"/>
                <w:sz w:val="16"/>
              </w:rPr>
              <w:t>轮台县轮南镇人民政府</w:t>
            </w:r>
          </w:p>
        </w:tc>
      </w:tr>
      <w:tr w14:paraId="7C20AE30">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14:paraId="5DBBB49D"/>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8062">
            <w:pPr>
              <w:jc w:val="center"/>
            </w:pP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DE7AE">
            <w:pPr>
              <w:jc w:val="center"/>
            </w:pPr>
            <w:r>
              <w:rPr>
                <w:rFonts w:ascii="宋体" w:hAnsi="宋体" w:eastAsia="宋体"/>
                <w:sz w:val="16"/>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909B1">
            <w:pPr>
              <w:jc w:val="center"/>
            </w:pPr>
            <w:r>
              <w:rPr>
                <w:rFonts w:ascii="宋体" w:hAnsi="宋体" w:eastAsia="宋体"/>
                <w:sz w:val="16"/>
              </w:rPr>
              <w:t>全年预算数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EBAA2">
            <w:pPr>
              <w:jc w:val="center"/>
            </w:pPr>
            <w:r>
              <w:rPr>
                <w:rFonts w:ascii="宋体" w:hAnsi="宋体" w:eastAsia="宋体"/>
                <w:sz w:val="16"/>
              </w:rPr>
              <w:t>全年执行数</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46BD">
            <w:pPr>
              <w:jc w:val="center"/>
            </w:pPr>
            <w:r>
              <w:rPr>
                <w:rFonts w:ascii="宋体" w:hAnsi="宋体" w:eastAsia="宋体"/>
                <w:sz w:val="16"/>
              </w:rPr>
              <w:t>分值权重</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AE083">
            <w:pPr>
              <w:jc w:val="center"/>
            </w:pPr>
            <w:r>
              <w:rPr>
                <w:rFonts w:ascii="宋体" w:hAnsi="宋体" w:eastAsia="宋体"/>
                <w:sz w:val="16"/>
              </w:rPr>
              <w:t>执行率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D84477E">
            <w:pPr>
              <w:jc w:val="center"/>
            </w:pPr>
            <w:r>
              <w:rPr>
                <w:rFonts w:ascii="宋体" w:hAnsi="宋体" w:eastAsia="宋体"/>
                <w:sz w:val="16"/>
              </w:rPr>
              <w:t>得分</w:t>
            </w:r>
          </w:p>
        </w:tc>
      </w:tr>
      <w:tr w14:paraId="679A322D">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1D613">
            <w:pPr>
              <w:jc w:val="center"/>
            </w:pPr>
            <w:r>
              <w:rPr>
                <w:rFonts w:ascii="宋体" w:hAnsi="宋体" w:eastAsia="宋体"/>
                <w:sz w:val="16"/>
              </w:rPr>
              <w:t>项目资金 （万元）</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E6D6C">
            <w:pPr>
              <w:jc w:val="center"/>
            </w:pPr>
            <w:r>
              <w:rPr>
                <w:rFonts w:ascii="宋体" w:hAnsi="宋体" w:eastAsia="宋体"/>
                <w:sz w:val="16"/>
              </w:rPr>
              <w:t>年度资金总额</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9B639">
            <w:pPr>
              <w:jc w:val="center"/>
            </w:pPr>
            <w:r>
              <w:rPr>
                <w:rFonts w:ascii="宋体" w:hAnsi="宋体" w:eastAsia="宋体"/>
                <w:sz w:val="16"/>
              </w:rPr>
              <w:t>26.03</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DD680">
            <w:pPr>
              <w:jc w:val="center"/>
            </w:pPr>
            <w:r>
              <w:rPr>
                <w:rFonts w:ascii="宋体" w:hAnsi="宋体" w:eastAsia="宋体"/>
                <w:sz w:val="16"/>
              </w:rPr>
              <w:t>26.03</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D0E4">
            <w:pPr>
              <w:jc w:val="center"/>
            </w:pPr>
            <w:r>
              <w:rPr>
                <w:rFonts w:ascii="宋体" w:hAnsi="宋体" w:eastAsia="宋体"/>
                <w:sz w:val="16"/>
              </w:rPr>
              <w:t>26.03</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9243C">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2731">
            <w:pPr>
              <w:jc w:val="center"/>
            </w:pPr>
            <w:r>
              <w:rPr>
                <w:rFonts w:ascii="宋体" w:hAnsi="宋体" w:eastAsia="宋体"/>
                <w:sz w:val="16"/>
              </w:rPr>
              <w:t>100.00%</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47566EBF">
            <w:pPr>
              <w:jc w:val="center"/>
            </w:pPr>
            <w:r>
              <w:rPr>
                <w:rFonts w:ascii="宋体" w:hAnsi="宋体" w:eastAsia="宋体"/>
                <w:sz w:val="16"/>
              </w:rPr>
              <w:t>10.00</w:t>
            </w:r>
          </w:p>
        </w:tc>
      </w:tr>
      <w:tr w14:paraId="7E177573">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14BC2CE"/>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BCEF5">
            <w:pPr>
              <w:jc w:val="center"/>
            </w:pPr>
            <w:r>
              <w:rPr>
                <w:rFonts w:ascii="宋体" w:hAnsi="宋体" w:eastAsia="宋体"/>
                <w:sz w:val="16"/>
              </w:rPr>
              <w:t>其中：当年财政拨款</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336F">
            <w:pPr>
              <w:jc w:val="center"/>
            </w:pPr>
            <w:r>
              <w:rPr>
                <w:rFonts w:ascii="宋体" w:hAnsi="宋体" w:eastAsia="宋体"/>
                <w:sz w:val="16"/>
              </w:rPr>
              <w:t>26.03</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1A2A9">
            <w:pPr>
              <w:jc w:val="center"/>
            </w:pPr>
            <w:r>
              <w:rPr>
                <w:rFonts w:ascii="宋体" w:hAnsi="宋体" w:eastAsia="宋体"/>
                <w:sz w:val="16"/>
              </w:rPr>
              <w:t>26.03</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5522">
            <w:pPr>
              <w:jc w:val="center"/>
            </w:pPr>
            <w:r>
              <w:rPr>
                <w:rFonts w:ascii="宋体" w:hAnsi="宋体" w:eastAsia="宋体"/>
                <w:sz w:val="16"/>
              </w:rPr>
              <w:t>26.03</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5BA42">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FCB51">
            <w:pPr>
              <w:jc w:val="center"/>
            </w:pPr>
            <w:r>
              <w:rPr>
                <w:rFonts w:ascii="宋体" w:hAnsi="宋体" w:eastAsia="宋体"/>
                <w:sz w:val="16"/>
              </w:rPr>
              <w:t>-</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2D4CA2DF">
            <w:pPr>
              <w:jc w:val="center"/>
            </w:pPr>
            <w:r>
              <w:rPr>
                <w:rFonts w:ascii="宋体" w:hAnsi="宋体" w:eastAsia="宋体"/>
                <w:sz w:val="16"/>
              </w:rPr>
              <w:t>-</w:t>
            </w:r>
          </w:p>
        </w:tc>
      </w:tr>
      <w:tr w14:paraId="6422F58A">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A33B236"/>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D588">
            <w:pPr>
              <w:jc w:val="center"/>
            </w:pPr>
            <w:r>
              <w:rPr>
                <w:rFonts w:ascii="宋体" w:hAnsi="宋体" w:eastAsia="宋体"/>
                <w:sz w:val="16"/>
              </w:rPr>
              <w:t>其他资金</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644E">
            <w:pPr>
              <w:jc w:val="center"/>
            </w:pPr>
            <w:r>
              <w:rPr>
                <w:rFonts w:ascii="宋体" w:hAnsi="宋体" w:eastAsia="宋体"/>
                <w:sz w:val="16"/>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DBC17">
            <w:pPr>
              <w:jc w:val="center"/>
            </w:pPr>
            <w:r>
              <w:rPr>
                <w:rFonts w:ascii="宋体" w:hAnsi="宋体" w:eastAsia="宋体"/>
                <w:sz w:val="16"/>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9251">
            <w:pPr>
              <w:jc w:val="center"/>
            </w:pPr>
            <w:r>
              <w:rPr>
                <w:rFonts w:ascii="宋体" w:hAnsi="宋体" w:eastAsia="宋体"/>
                <w:sz w:val="16"/>
              </w:rPr>
              <w:t>0.00</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41D7C">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92393">
            <w:pPr>
              <w:jc w:val="center"/>
            </w:pPr>
            <w:r>
              <w:rPr>
                <w:rFonts w:ascii="宋体" w:hAnsi="宋体" w:eastAsia="宋体"/>
                <w:sz w:val="16"/>
              </w:rPr>
              <w:t>-</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E461DE6">
            <w:pPr>
              <w:jc w:val="center"/>
            </w:pPr>
            <w:r>
              <w:rPr>
                <w:rFonts w:ascii="宋体" w:hAnsi="宋体" w:eastAsia="宋体"/>
                <w:sz w:val="16"/>
              </w:rPr>
              <w:t>-</w:t>
            </w:r>
          </w:p>
        </w:tc>
      </w:tr>
      <w:tr w14:paraId="2DB5B5C3">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B51B6">
            <w:pPr>
              <w:jc w:val="center"/>
            </w:pPr>
            <w:r>
              <w:rPr>
                <w:rFonts w:ascii="宋体" w:hAnsi="宋体" w:eastAsia="宋体"/>
                <w:sz w:val="16"/>
              </w:rPr>
              <w:t>年度总体目标</w:t>
            </w:r>
          </w:p>
        </w:tc>
        <w:tc>
          <w:tcPr>
            <w:tcW w:w="505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FFE144">
            <w:pPr>
              <w:jc w:val="center"/>
            </w:pPr>
            <w:r>
              <w:rPr>
                <w:rFonts w:ascii="宋体" w:hAnsi="宋体" w:eastAsia="宋体"/>
                <w:sz w:val="16"/>
              </w:rPr>
              <w:t>总体目标</w:t>
            </w:r>
          </w:p>
        </w:tc>
        <w:tc>
          <w:tcPr>
            <w:tcW w:w="33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FFF707">
            <w:pPr>
              <w:jc w:val="center"/>
            </w:pPr>
            <w:r>
              <w:rPr>
                <w:rFonts w:ascii="宋体" w:hAnsi="宋体" w:eastAsia="宋体"/>
                <w:sz w:val="16"/>
              </w:rPr>
              <w:t>总体目标完成情况</w:t>
            </w:r>
          </w:p>
        </w:tc>
      </w:tr>
      <w:tr w14:paraId="537E8A77">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B5649B9"/>
        </w:tc>
        <w:tc>
          <w:tcPr>
            <w:tcW w:w="505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9325C9">
            <w:pPr>
              <w:jc w:val="both"/>
            </w:pPr>
            <w:r>
              <w:rPr>
                <w:rFonts w:ascii="宋体" w:hAnsi="宋体" w:eastAsia="宋体"/>
                <w:sz w:val="16"/>
              </w:rPr>
              <w:t>2024年乡镇运转经费[含人大活动经费1万元、人大代表联络站经费0.5万元、妇联经费2万元、纪委办案经费3万元、纪委办公经费2万元、团经费1万元、组织经费2万元、宣传经费2万元、统战2万元、党建6万元、退役军人0.5万元、轮南众工作活动3万元]经费。                                                                                                       目标1：保障办公人员数量87人，公务保障用车数量4辆，保障纪委办公人员数量4人，主要用于轮南镇各项工作和维持政府机关和各事业单位正常运转经费，促进轮南镇各项事业持续健康发展，轮南镇人民安居乐业。按规定及时支付各项经费，保障政府结构正常运转。不断提高政府服务质量，为人民提供</w:t>
            </w:r>
            <w:r>
              <w:rPr>
                <w:rFonts w:hint="eastAsia" w:ascii="宋体" w:hAnsi="宋体"/>
                <w:sz w:val="16"/>
                <w:lang w:eastAsia="zh-CN"/>
              </w:rPr>
              <w:t>了</w:t>
            </w:r>
            <w:r>
              <w:rPr>
                <w:rFonts w:ascii="宋体" w:hAnsi="宋体" w:eastAsia="宋体"/>
                <w:sz w:val="16"/>
              </w:rPr>
              <w:t>更加安全，有效的公共服务。</w:t>
            </w:r>
          </w:p>
        </w:tc>
        <w:tc>
          <w:tcPr>
            <w:tcW w:w="33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25B639">
            <w:pPr>
              <w:jc w:val="both"/>
            </w:pPr>
            <w:r>
              <w:rPr>
                <w:rFonts w:hint="eastAsia" w:ascii="宋体" w:hAnsi="宋体"/>
                <w:sz w:val="16"/>
                <w:lang w:eastAsia="zh-CN"/>
              </w:rPr>
              <w:t>本单位</w:t>
            </w:r>
            <w:r>
              <w:rPr>
                <w:rFonts w:ascii="宋体" w:hAnsi="宋体" w:eastAsia="宋体"/>
                <w:sz w:val="16"/>
              </w:rPr>
              <w:t>本年度促进了轮南镇各项事业持续健康发展，已完成保障办公人员87人，公务保障用车4辆，保障纪委办公人员4人，按规定及时支付各项经费，保障了</w:t>
            </w:r>
            <w:r>
              <w:rPr>
                <w:rFonts w:hint="eastAsia" w:ascii="宋体" w:hAnsi="宋体"/>
                <w:sz w:val="16"/>
                <w:lang w:eastAsia="zh-CN"/>
              </w:rPr>
              <w:t>政府机构</w:t>
            </w:r>
            <w:r>
              <w:rPr>
                <w:rFonts w:ascii="宋体" w:hAnsi="宋体" w:eastAsia="宋体"/>
                <w:sz w:val="16"/>
              </w:rPr>
              <w:t>正常运转，不断提高了政府服务质量，为人民提供了更加安全、有效的公共服务。</w:t>
            </w:r>
          </w:p>
        </w:tc>
      </w:tr>
      <w:tr w14:paraId="74C5E790">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14:paraId="2B898D5C"/>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2F9A145">
            <w:pPr>
              <w:jc w:val="center"/>
            </w:pPr>
            <w:r>
              <w:rPr>
                <w:rFonts w:ascii="宋体" w:hAnsi="宋体" w:eastAsia="宋体"/>
                <w:sz w:val="16"/>
              </w:rPr>
              <w:t>一级指标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14FE62">
            <w:pPr>
              <w:jc w:val="center"/>
            </w:pPr>
            <w:r>
              <w:rPr>
                <w:rFonts w:ascii="宋体" w:hAnsi="宋体" w:eastAsia="宋体"/>
                <w:sz w:val="16"/>
              </w:rPr>
              <w:t>二级指标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6AD8B6">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CDFC85B">
            <w:pPr>
              <w:jc w:val="center"/>
            </w:pPr>
            <w:r>
              <w:rPr>
                <w:rFonts w:ascii="宋体" w:hAnsi="宋体" w:eastAsia="宋体"/>
                <w:sz w:val="16"/>
              </w:rPr>
              <w:t>指标值</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F146391">
            <w:pPr>
              <w:jc w:val="center"/>
            </w:pPr>
            <w:r>
              <w:rPr>
                <w:rFonts w:ascii="宋体" w:hAnsi="宋体" w:eastAsia="宋体"/>
                <w:sz w:val="16"/>
              </w:rPr>
              <w:t>指标值设定依据</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1938B3F">
            <w:pPr>
              <w:jc w:val="center"/>
            </w:pPr>
            <w:r>
              <w:rPr>
                <w:rFonts w:ascii="宋体" w:hAnsi="宋体" w:eastAsia="宋体"/>
                <w:sz w:val="16"/>
              </w:rPr>
              <w:t>上年完成值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3C04071">
            <w:pPr>
              <w:jc w:val="center"/>
            </w:pPr>
            <w:r>
              <w:rPr>
                <w:rFonts w:ascii="宋体" w:hAnsi="宋体" w:eastAsia="宋体"/>
                <w:sz w:val="16"/>
              </w:rPr>
              <w:t>指标分值权重</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6F44514">
            <w:pPr>
              <w:jc w:val="center"/>
            </w:pPr>
            <w:r>
              <w:rPr>
                <w:rFonts w:ascii="宋体" w:hAnsi="宋体" w:eastAsia="宋体"/>
                <w:sz w:val="16"/>
              </w:rPr>
              <w:t>指标赋分规则</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1620E0B">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55C727">
            <w:pPr>
              <w:jc w:val="center"/>
            </w:pPr>
            <w:r>
              <w:rPr>
                <w:rFonts w:ascii="宋体" w:hAnsi="宋体" w:eastAsia="宋体"/>
                <w:sz w:val="16"/>
              </w:rPr>
              <w:t>指标实际完成值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2119CDE">
            <w:pPr>
              <w:jc w:val="center"/>
            </w:pPr>
            <w:r>
              <w:rPr>
                <w:rFonts w:ascii="宋体" w:hAnsi="宋体" w:eastAsia="宋体"/>
                <w:sz w:val="16"/>
              </w:rPr>
              <w:t>完成率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09F2062">
            <w:pPr>
              <w:jc w:val="center"/>
            </w:pPr>
            <w:r>
              <w:rPr>
                <w:rFonts w:ascii="宋体" w:hAnsi="宋体" w:eastAsia="宋体"/>
                <w:sz w:val="16"/>
              </w:rPr>
              <w:t>指标得分</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E896EF5">
            <w:pPr>
              <w:jc w:val="center"/>
            </w:pPr>
            <w:r>
              <w:rPr>
                <w:rFonts w:ascii="宋体" w:hAnsi="宋体" w:eastAsia="宋体"/>
                <w:sz w:val="16"/>
              </w:rPr>
              <w:t>偏差原因分析及改进措施</w:t>
            </w:r>
          </w:p>
        </w:tc>
      </w:tr>
      <w:tr w14:paraId="74D67A37">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F7073">
            <w:pPr>
              <w:jc w:val="center"/>
            </w:pPr>
            <w:r>
              <w:rPr>
                <w:rFonts w:ascii="宋体" w:hAnsi="宋体" w:eastAsia="宋体"/>
                <w:sz w:val="16"/>
              </w:rPr>
              <w:t>年度绩效指标完成情况</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F8C7F">
            <w:pPr>
              <w:jc w:val="center"/>
            </w:pPr>
            <w:r>
              <w:rPr>
                <w:rFonts w:ascii="宋体" w:hAnsi="宋体" w:eastAsia="宋体"/>
                <w:sz w:val="16"/>
              </w:rPr>
              <w:t>产出指标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6BC4B">
            <w:pPr>
              <w:jc w:val="center"/>
            </w:pPr>
            <w:r>
              <w:rPr>
                <w:rFonts w:ascii="宋体" w:hAnsi="宋体" w:eastAsia="宋体"/>
                <w:sz w:val="16"/>
              </w:rPr>
              <w:t>数量指标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A864910">
            <w:pPr>
              <w:jc w:val="center"/>
            </w:pPr>
            <w:r>
              <w:rPr>
                <w:rFonts w:ascii="宋体" w:hAnsi="宋体" w:eastAsia="宋体"/>
                <w:sz w:val="16"/>
              </w:rPr>
              <w:t>保障人员数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0621B09">
            <w:pPr>
              <w:jc w:val="center"/>
            </w:pPr>
            <w:r>
              <w:rPr>
                <w:rFonts w:ascii="宋体" w:hAnsi="宋体" w:eastAsia="宋体"/>
                <w:sz w:val="16"/>
              </w:rPr>
              <w:t>=87人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8EE7E4">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67F91DD">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97FB739">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BC5C479">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DC6EB2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1472A8C">
            <w:pPr>
              <w:jc w:val="center"/>
            </w:pPr>
            <w:r>
              <w:rPr>
                <w:rFonts w:ascii="宋体" w:hAnsi="宋体" w:eastAsia="宋体"/>
                <w:sz w:val="16"/>
              </w:rPr>
              <w:t>=87人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EAA9BAC">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B8A0E2">
            <w:pPr>
              <w:jc w:val="center"/>
            </w:pPr>
            <w:r>
              <w:rPr>
                <w:rFonts w:ascii="宋体" w:hAnsi="宋体" w:eastAsia="宋体"/>
                <w:sz w:val="16"/>
              </w:rPr>
              <w:t>8</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760C37A">
            <w:pPr>
              <w:jc w:val="center"/>
            </w:pPr>
          </w:p>
        </w:tc>
      </w:tr>
      <w:tr w14:paraId="7B80F5AD">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339B627"/>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23CCE02"/>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213A9056"/>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434199E">
            <w:pPr>
              <w:jc w:val="center"/>
            </w:pPr>
            <w:r>
              <w:rPr>
                <w:rFonts w:ascii="宋体" w:hAnsi="宋体" w:eastAsia="宋体"/>
                <w:sz w:val="16"/>
              </w:rPr>
              <w:t>公务保障用车数量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2E91405">
            <w:pPr>
              <w:jc w:val="center"/>
            </w:pPr>
            <w:r>
              <w:rPr>
                <w:rFonts w:ascii="宋体" w:hAnsi="宋体" w:eastAsia="宋体"/>
                <w:sz w:val="16"/>
              </w:rPr>
              <w:t>=4辆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06AD963">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1BBC13E">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F967C83">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9A341D0">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ED9997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964B54">
            <w:pPr>
              <w:jc w:val="center"/>
            </w:pPr>
            <w:r>
              <w:rPr>
                <w:rFonts w:ascii="宋体" w:hAnsi="宋体" w:eastAsia="宋体"/>
                <w:sz w:val="16"/>
              </w:rPr>
              <w:t>=4辆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151642F">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86BEFC0">
            <w:pPr>
              <w:jc w:val="center"/>
            </w:pPr>
            <w:r>
              <w:rPr>
                <w:rFonts w:ascii="宋体" w:hAnsi="宋体" w:eastAsia="宋体"/>
                <w:sz w:val="16"/>
              </w:rPr>
              <w:t>8</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42F3D796">
            <w:pPr>
              <w:jc w:val="center"/>
            </w:pPr>
          </w:p>
        </w:tc>
      </w:tr>
      <w:tr w14:paraId="0FA71F8B">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FB371A6"/>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F560AA9"/>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29FBC9F4"/>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657123">
            <w:pPr>
              <w:jc w:val="center"/>
            </w:pPr>
            <w:r>
              <w:rPr>
                <w:rFonts w:ascii="宋体" w:hAnsi="宋体" w:eastAsia="宋体"/>
                <w:sz w:val="16"/>
              </w:rPr>
              <w:t>保障纪委办公人员数量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64D3F12">
            <w:pPr>
              <w:jc w:val="center"/>
            </w:pPr>
            <w:r>
              <w:rPr>
                <w:rFonts w:ascii="宋体" w:hAnsi="宋体" w:eastAsia="宋体"/>
                <w:sz w:val="16"/>
              </w:rPr>
              <w:t>&gt;=4人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61664CB">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F31C0EB">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0A7375D">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4E95FB">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08AF657">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13546D">
            <w:pPr>
              <w:jc w:val="center"/>
            </w:pPr>
            <w:r>
              <w:rPr>
                <w:rFonts w:ascii="宋体" w:hAnsi="宋体" w:eastAsia="宋体"/>
                <w:sz w:val="16"/>
              </w:rPr>
              <w:t>=4人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5A52B7">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D1D912">
            <w:pPr>
              <w:jc w:val="center"/>
            </w:pPr>
            <w:r>
              <w:rPr>
                <w:rFonts w:ascii="宋体" w:hAnsi="宋体" w:eastAsia="宋体"/>
                <w:sz w:val="16"/>
              </w:rPr>
              <w:t>8</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389393A">
            <w:pPr>
              <w:jc w:val="center"/>
            </w:pPr>
          </w:p>
        </w:tc>
      </w:tr>
      <w:tr w14:paraId="7306C2A2">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4C9220A"/>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835E21C"/>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DD8B0F">
            <w:pPr>
              <w:jc w:val="center"/>
            </w:pPr>
            <w:r>
              <w:rPr>
                <w:rFonts w:ascii="宋体" w:hAnsi="宋体" w:eastAsia="宋体"/>
                <w:sz w:val="16"/>
              </w:rPr>
              <w:t>质量指标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9F54F6A">
            <w:pPr>
              <w:jc w:val="center"/>
            </w:pPr>
            <w:r>
              <w:rPr>
                <w:rFonts w:ascii="宋体" w:hAnsi="宋体" w:eastAsia="宋体"/>
                <w:sz w:val="16"/>
              </w:rPr>
              <w:t>公用经费保障率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34D5958">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3AF2888">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7F2F365">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F087734">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DA64034">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0CE42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2A227B3">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AB6CDB">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48DA5F">
            <w:pPr>
              <w:jc w:val="center"/>
            </w:pPr>
            <w:r>
              <w:rPr>
                <w:rFonts w:ascii="宋体" w:hAnsi="宋体" w:eastAsia="宋体"/>
                <w:sz w:val="16"/>
              </w:rPr>
              <w:t>8</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7E34965A">
            <w:pPr>
              <w:jc w:val="center"/>
            </w:pPr>
          </w:p>
        </w:tc>
      </w:tr>
      <w:tr w14:paraId="481FB9F1">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2E84ABB"/>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3B513DC"/>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586B3CD">
            <w:pPr>
              <w:jc w:val="center"/>
            </w:pPr>
            <w:r>
              <w:rPr>
                <w:rFonts w:ascii="宋体" w:hAnsi="宋体" w:eastAsia="宋体"/>
                <w:sz w:val="16"/>
              </w:rPr>
              <w:t>时效指标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4B17DAD">
            <w:pPr>
              <w:jc w:val="center"/>
            </w:pPr>
            <w:r>
              <w:rPr>
                <w:rFonts w:ascii="宋体" w:hAnsi="宋体" w:eastAsia="宋体"/>
                <w:sz w:val="16"/>
              </w:rPr>
              <w:t>公用经费支付及时率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9A05347">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9E44C69">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EBDDAB">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B1619E7">
            <w:pPr>
              <w:jc w:val="center"/>
            </w:pPr>
            <w:r>
              <w:rPr>
                <w:rFonts w:ascii="宋体" w:hAnsi="宋体" w:eastAsia="宋体"/>
                <w:sz w:val="16"/>
              </w:rPr>
              <w: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C46B9E">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931EA9E">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D2243A5">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3CCDEF">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DD6AC0">
            <w:pPr>
              <w:jc w:val="center"/>
            </w:pPr>
            <w:r>
              <w:rPr>
                <w:rFonts w:ascii="宋体" w:hAnsi="宋体" w:eastAsia="宋体"/>
                <w:sz w:val="16"/>
              </w:rPr>
              <w:t>8</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74697D0">
            <w:pPr>
              <w:jc w:val="center"/>
            </w:pPr>
          </w:p>
        </w:tc>
      </w:tr>
      <w:tr w14:paraId="32AFC0C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2E69DAB"/>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A3FAA">
            <w:pPr>
              <w:jc w:val="center"/>
            </w:pPr>
            <w:r>
              <w:rPr>
                <w:rFonts w:ascii="宋体" w:hAnsi="宋体" w:eastAsia="宋体"/>
                <w:sz w:val="16"/>
              </w:rPr>
              <w:t>成本指标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382C8">
            <w:pPr>
              <w:jc w:val="center"/>
            </w:pPr>
            <w:r>
              <w:rPr>
                <w:rFonts w:ascii="宋体" w:hAnsi="宋体" w:eastAsia="宋体"/>
                <w:sz w:val="16"/>
              </w:rPr>
              <w:t>经济成本指标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A9A4679">
            <w:pPr>
              <w:jc w:val="center"/>
            </w:pPr>
            <w:r>
              <w:rPr>
                <w:rFonts w:ascii="宋体" w:hAnsi="宋体" w:eastAsia="宋体"/>
                <w:sz w:val="16"/>
              </w:rPr>
              <w:t>人均运转经费数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E6D87E6">
            <w:pPr>
              <w:jc w:val="center"/>
            </w:pPr>
            <w:r>
              <w:rPr>
                <w:rFonts w:ascii="宋体" w:hAnsi="宋体" w:eastAsia="宋体"/>
                <w:sz w:val="16"/>
              </w:rPr>
              <w:t>&lt;=2470.24元/人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9860184">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8EB2EFD">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9553326">
            <w:pPr>
              <w:jc w:val="center"/>
            </w:pPr>
            <w:r>
              <w:rPr>
                <w:rFonts w:ascii="宋体" w:hAnsi="宋体" w:eastAsia="宋体"/>
                <w:sz w:val="16"/>
              </w:rPr>
              <w:t>7</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5495FA4">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5FF77D5">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077271">
            <w:pPr>
              <w:jc w:val="center"/>
            </w:pPr>
            <w:r>
              <w:rPr>
                <w:rFonts w:ascii="宋体" w:hAnsi="宋体" w:eastAsia="宋体"/>
                <w:sz w:val="16"/>
              </w:rPr>
              <w:t>=2470.24元/人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139A569">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D4D1326">
            <w:pPr>
              <w:jc w:val="center"/>
            </w:pPr>
            <w:r>
              <w:rPr>
                <w:rFonts w:ascii="宋体" w:hAnsi="宋体" w:eastAsia="宋体"/>
                <w:sz w:val="16"/>
              </w:rPr>
              <w:t>7</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D3CD57B">
            <w:pPr>
              <w:jc w:val="center"/>
            </w:pPr>
          </w:p>
        </w:tc>
      </w:tr>
      <w:tr w14:paraId="71AC1DE0">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6F8BF82"/>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14B5463B"/>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505AE09"/>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5F7C8DE">
            <w:pPr>
              <w:jc w:val="center"/>
            </w:pPr>
            <w:r>
              <w:rPr>
                <w:rFonts w:ascii="宋体" w:hAnsi="宋体" w:eastAsia="宋体"/>
                <w:sz w:val="16"/>
              </w:rPr>
              <w:t>公务保障用车经费数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91560D2">
            <w:pPr>
              <w:jc w:val="center"/>
            </w:pPr>
            <w:r>
              <w:rPr>
                <w:rFonts w:ascii="宋体" w:hAnsi="宋体" w:eastAsia="宋体"/>
                <w:sz w:val="16"/>
              </w:rPr>
              <w:t>&lt;=5423元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775BFCA">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2574F6D">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786AFE7">
            <w:pPr>
              <w:jc w:val="center"/>
            </w:pPr>
            <w:r>
              <w:rPr>
                <w:rFonts w:ascii="宋体" w:hAnsi="宋体" w:eastAsia="宋体"/>
                <w:sz w:val="16"/>
              </w:rPr>
              <w:t>7</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1B61945">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2718BE8">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7B34423">
            <w:pPr>
              <w:jc w:val="center"/>
            </w:pPr>
            <w:r>
              <w:rPr>
                <w:rFonts w:ascii="宋体" w:hAnsi="宋体" w:eastAsia="宋体"/>
                <w:sz w:val="16"/>
              </w:rPr>
              <w:t>=5423元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9BB1CC2">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EDA180">
            <w:pPr>
              <w:jc w:val="center"/>
            </w:pPr>
            <w:r>
              <w:rPr>
                <w:rFonts w:ascii="宋体" w:hAnsi="宋体" w:eastAsia="宋体"/>
                <w:sz w:val="16"/>
              </w:rPr>
              <w:t>7</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501D297">
            <w:pPr>
              <w:jc w:val="center"/>
            </w:pPr>
          </w:p>
        </w:tc>
      </w:tr>
      <w:tr w14:paraId="560A9905">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D7EB200"/>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7C58FF5"/>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85DD8BD"/>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07C531B">
            <w:pPr>
              <w:jc w:val="center"/>
            </w:pPr>
            <w:r>
              <w:rPr>
                <w:rFonts w:ascii="宋体" w:hAnsi="宋体" w:eastAsia="宋体"/>
                <w:sz w:val="16"/>
              </w:rPr>
              <w:t>保障纪委办公经费数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CDB5235">
            <w:pPr>
              <w:jc w:val="center"/>
            </w:pPr>
            <w:r>
              <w:rPr>
                <w:rFonts w:ascii="宋体" w:hAnsi="宋体" w:eastAsia="宋体"/>
                <w:sz w:val="16"/>
              </w:rPr>
              <w:t>&lt;=4万元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BC08B50">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098E07">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945DF31">
            <w:pPr>
              <w:jc w:val="center"/>
            </w:pPr>
            <w:r>
              <w:rPr>
                <w:rFonts w:ascii="宋体" w:hAnsi="宋体" w:eastAsia="宋体"/>
                <w:sz w:val="16"/>
              </w:rPr>
              <w:t>6</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F4F071">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B3AD7E7">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4F59F4E">
            <w:pPr>
              <w:jc w:val="center"/>
            </w:pPr>
            <w:r>
              <w:rPr>
                <w:rFonts w:ascii="宋体" w:hAnsi="宋体" w:eastAsia="宋体"/>
                <w:sz w:val="16"/>
              </w:rPr>
              <w:t>=4万元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D217898">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16F9F53">
            <w:pPr>
              <w:jc w:val="center"/>
            </w:pPr>
            <w:r>
              <w:rPr>
                <w:rFonts w:ascii="宋体" w:hAnsi="宋体" w:eastAsia="宋体"/>
                <w:sz w:val="16"/>
              </w:rPr>
              <w:t>6</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7A702E8">
            <w:pPr>
              <w:jc w:val="center"/>
            </w:pPr>
          </w:p>
        </w:tc>
      </w:tr>
      <w:tr w14:paraId="317D81C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99EAFDB"/>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CEFF5">
            <w:pPr>
              <w:jc w:val="center"/>
            </w:pPr>
            <w:r>
              <w:rPr>
                <w:rFonts w:ascii="宋体" w:hAnsi="宋体" w:eastAsia="宋体"/>
                <w:sz w:val="16"/>
              </w:rPr>
              <w:t>效益指标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FEAA4">
            <w:pPr>
              <w:jc w:val="center"/>
            </w:pPr>
            <w:r>
              <w:rPr>
                <w:rFonts w:ascii="宋体" w:hAnsi="宋体" w:eastAsia="宋体"/>
                <w:sz w:val="16"/>
              </w:rPr>
              <w:t>社会效益指标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52AF54">
            <w:pPr>
              <w:jc w:val="center"/>
            </w:pPr>
            <w:r>
              <w:rPr>
                <w:rFonts w:ascii="宋体" w:hAnsi="宋体" w:eastAsia="宋体"/>
                <w:sz w:val="16"/>
              </w:rPr>
              <w:t>保障单位人员履职能力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8F5AF88">
            <w:pPr>
              <w:jc w:val="center"/>
            </w:pPr>
            <w:r>
              <w:rPr>
                <w:rFonts w:ascii="宋体" w:hAnsi="宋体" w:eastAsia="宋体"/>
                <w:sz w:val="16"/>
              </w:rPr>
              <w:t>有效保障</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447D10A">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C132DC">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C54E7D2">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BC1A8B4">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9845574">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51E128">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9E7D3E9">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A4426E">
            <w:pPr>
              <w:jc w:val="center"/>
            </w:pPr>
            <w:r>
              <w:rPr>
                <w:rFonts w:ascii="宋体" w:hAnsi="宋体" w:eastAsia="宋体"/>
                <w:sz w:val="16"/>
              </w:rPr>
              <w:t>15</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BD741C6">
            <w:pPr>
              <w:jc w:val="center"/>
            </w:pPr>
          </w:p>
        </w:tc>
      </w:tr>
      <w:tr w14:paraId="1D064A1A">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B11CBE0"/>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AE4B540"/>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C1FAB40"/>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F6D570C">
            <w:pPr>
              <w:jc w:val="center"/>
            </w:pPr>
            <w:r>
              <w:rPr>
                <w:rFonts w:ascii="宋体" w:hAnsi="宋体" w:eastAsia="宋体"/>
                <w:sz w:val="16"/>
              </w:rPr>
              <w:t>促进轮南镇各项事业持续健康发展</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57D9FFA">
            <w:pPr>
              <w:jc w:val="center"/>
            </w:pPr>
            <w:r>
              <w:rPr>
                <w:rFonts w:ascii="宋体" w:hAnsi="宋体" w:eastAsia="宋体"/>
                <w:sz w:val="16"/>
              </w:rPr>
              <w:t>有效促进</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7779007">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592AD6B">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C8FF90F">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776FC0">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E31E62B">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C16248">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1EFD796">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78A083">
            <w:pPr>
              <w:jc w:val="center"/>
            </w:pPr>
            <w:r>
              <w:rPr>
                <w:rFonts w:ascii="宋体" w:hAnsi="宋体" w:eastAsia="宋体"/>
                <w:sz w:val="16"/>
              </w:rPr>
              <w:t>15</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40ABA211">
            <w:pPr>
              <w:jc w:val="center"/>
            </w:pPr>
          </w:p>
        </w:tc>
      </w:tr>
      <w:tr w14:paraId="7AE91057">
        <w:tblPrEx>
          <w:tblCellMar>
            <w:top w:w="0" w:type="dxa"/>
            <w:left w:w="108" w:type="dxa"/>
            <w:bottom w:w="0" w:type="dxa"/>
            <w:right w:w="108" w:type="dxa"/>
          </w:tblCellMar>
        </w:tblPrEx>
        <w:tc>
          <w:tcPr>
            <w:tcW w:w="237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712EBB">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4BB5137"/>
        </w:tc>
        <w:tc>
          <w:tcPr>
            <w:tcW w:w="587" w:type="dxa"/>
            <w:tcBorders>
              <w:top w:val="single" w:color="auto" w:sz="10" w:space="0"/>
              <w:left w:val="single" w:color="auto" w:sz="10" w:space="0"/>
              <w:bottom w:val="single" w:color="auto" w:sz="10" w:space="0"/>
              <w:right w:val="single" w:color="auto" w:sz="10" w:space="0"/>
              <w:insideV w:val="single" w:sz="10" w:space="0"/>
            </w:tcBorders>
          </w:tcPr>
          <w:p w14:paraId="11EF218E"/>
        </w:tc>
        <w:tc>
          <w:tcPr>
            <w:tcW w:w="587" w:type="dxa"/>
            <w:tcBorders>
              <w:top w:val="single" w:color="auto" w:sz="10" w:space="0"/>
              <w:left w:val="single" w:color="auto" w:sz="10" w:space="0"/>
              <w:bottom w:val="single" w:color="auto" w:sz="10" w:space="0"/>
              <w:right w:val="single" w:color="auto" w:sz="10" w:space="0"/>
              <w:insideV w:val="single" w:sz="10" w:space="0"/>
            </w:tcBorders>
          </w:tcPr>
          <w:p w14:paraId="7181D805"/>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7E5ECE0">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tcPr>
          <w:p w14:paraId="6076F3C8"/>
        </w:tc>
        <w:tc>
          <w:tcPr>
            <w:tcW w:w="587" w:type="dxa"/>
            <w:tcBorders>
              <w:top w:val="single" w:color="auto" w:sz="10" w:space="0"/>
              <w:left w:val="single" w:color="auto" w:sz="10" w:space="0"/>
              <w:bottom w:val="single" w:color="auto" w:sz="10" w:space="0"/>
              <w:right w:val="single" w:color="auto" w:sz="10" w:space="0"/>
              <w:insideV w:val="single" w:sz="10" w:space="0"/>
            </w:tcBorders>
          </w:tcPr>
          <w:p w14:paraId="40AD9D05"/>
        </w:tc>
        <w:tc>
          <w:tcPr>
            <w:tcW w:w="856" w:type="dxa"/>
            <w:tcBorders>
              <w:top w:val="single" w:color="auto" w:sz="10" w:space="0"/>
              <w:left w:val="single" w:color="auto" w:sz="10" w:space="0"/>
              <w:bottom w:val="single" w:color="auto" w:sz="10" w:space="0"/>
              <w:right w:val="single" w:color="auto" w:sz="10" w:space="0"/>
              <w:insideV w:val="single" w:sz="10" w:space="0"/>
            </w:tcBorders>
          </w:tcPr>
          <w:p w14:paraId="05FCAA22"/>
        </w:tc>
        <w:tc>
          <w:tcPr>
            <w:tcW w:w="616" w:type="dxa"/>
            <w:tcBorders>
              <w:top w:val="single" w:color="auto" w:sz="10" w:space="0"/>
              <w:left w:val="single" w:color="auto" w:sz="10" w:space="0"/>
              <w:bottom w:val="single" w:color="auto" w:sz="10" w:space="0"/>
              <w:right w:val="single" w:color="auto" w:sz="10" w:space="0"/>
              <w:insideV w:val="single" w:sz="10" w:space="0"/>
            </w:tcBorders>
          </w:tcPr>
          <w:p w14:paraId="3F435A5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0B42F6">
            <w:pPr>
              <w:jc w:val="center"/>
            </w:pPr>
            <w:r>
              <w:rPr>
                <w:rFonts w:ascii="宋体" w:hAnsi="宋体" w:eastAsia="宋体"/>
                <w:sz w:val="16"/>
              </w:rPr>
              <w:t>100.00分</w:t>
            </w:r>
          </w:p>
        </w:tc>
        <w:tc>
          <w:tcPr>
            <w:tcW w:w="702" w:type="dxa"/>
            <w:tcBorders>
              <w:top w:val="single" w:color="auto" w:sz="10" w:space="0"/>
              <w:left w:val="single" w:color="auto" w:sz="10" w:space="0"/>
              <w:bottom w:val="single" w:color="auto" w:sz="10" w:space="0"/>
              <w:right w:val="single" w:color="auto" w:sz="10" w:space="0"/>
              <w:insideV w:val="single" w:sz="10" w:space="0"/>
            </w:tcBorders>
          </w:tcPr>
          <w:p w14:paraId="0EE7BF19"/>
        </w:tc>
      </w:tr>
    </w:tbl>
    <w:p w14:paraId="7EBFB1B7">
      <w:r>
        <w:br w:type="page"/>
      </w:r>
    </w:p>
    <w:p w14:paraId="27B00B50">
      <w:pPr>
        <w:spacing w:line="640" w:lineRule="exact"/>
        <w:ind w:firstLine="640"/>
        <w:jc w:val="both"/>
        <w:outlineLvl w:val="2"/>
      </w:pPr>
      <w:r>
        <w:rPr>
          <w:rFonts w:ascii="黑体" w:hAnsi="黑体" w:eastAsia="黑体"/>
          <w:sz w:val="32"/>
        </w:rPr>
        <w:t>十二、其他需说明的事项</w:t>
      </w:r>
    </w:p>
    <w:p w14:paraId="6CEAB737">
      <w:pPr>
        <w:spacing w:line="580" w:lineRule="exact"/>
        <w:ind w:firstLine="640"/>
        <w:jc w:val="both"/>
      </w:pPr>
      <w:r>
        <w:rPr>
          <w:rFonts w:ascii="仿宋_GB2312" w:hAnsi="仿宋_GB2312" w:eastAsia="仿宋_GB2312"/>
          <w:b w:val="0"/>
          <w:sz w:val="32"/>
        </w:rPr>
        <w:t>本单位无其他需说明的事项。</w:t>
      </w:r>
    </w:p>
    <w:p w14:paraId="43DEC399">
      <w:r>
        <w:br w:type="page"/>
      </w:r>
    </w:p>
    <w:p w14:paraId="78B22E49">
      <w:pPr>
        <w:spacing w:line="240" w:lineRule="auto"/>
        <w:jc w:val="center"/>
        <w:outlineLvl w:val="1"/>
      </w:pPr>
      <w:r>
        <w:rPr>
          <w:rFonts w:ascii="黑体" w:hAnsi="黑体" w:eastAsia="黑体"/>
          <w:sz w:val="32"/>
        </w:rPr>
        <w:t>第三部分 专业名词解释</w:t>
      </w:r>
    </w:p>
    <w:p w14:paraId="71DC67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FCE3F1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F334E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96516A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FB3E8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8C9D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E7C868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3225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842CA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536DB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E36F8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281E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18D4EA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141E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A84425">
      <w:r>
        <w:br w:type="page"/>
      </w:r>
    </w:p>
    <w:p w14:paraId="72DB2430">
      <w:pPr>
        <w:spacing w:line="240" w:lineRule="auto"/>
        <w:jc w:val="center"/>
        <w:outlineLvl w:val="1"/>
      </w:pPr>
      <w:r>
        <w:rPr>
          <w:rFonts w:ascii="黑体" w:hAnsi="黑体" w:eastAsia="黑体"/>
          <w:sz w:val="32"/>
        </w:rPr>
        <w:t>第四部分 部门决算报表（见附表）</w:t>
      </w:r>
    </w:p>
    <w:p w14:paraId="62674E1B">
      <w:pPr>
        <w:spacing w:line="240" w:lineRule="auto"/>
        <w:ind w:firstLine="640"/>
        <w:jc w:val="both"/>
      </w:pPr>
      <w:r>
        <w:rPr>
          <w:rFonts w:ascii="仿宋_GB2312" w:hAnsi="仿宋_GB2312" w:eastAsia="仿宋_GB2312"/>
          <w:b w:val="0"/>
          <w:sz w:val="32"/>
        </w:rPr>
        <w:t>一、《收入支出决算总表》</w:t>
      </w:r>
    </w:p>
    <w:p w14:paraId="00EA26D2">
      <w:pPr>
        <w:spacing w:line="240" w:lineRule="auto"/>
        <w:ind w:firstLine="640"/>
        <w:jc w:val="both"/>
      </w:pPr>
      <w:r>
        <w:rPr>
          <w:rFonts w:ascii="仿宋_GB2312" w:hAnsi="仿宋_GB2312" w:eastAsia="仿宋_GB2312"/>
          <w:b w:val="0"/>
          <w:sz w:val="32"/>
        </w:rPr>
        <w:t>二、《收入决算表》</w:t>
      </w:r>
    </w:p>
    <w:p w14:paraId="63F3714D">
      <w:pPr>
        <w:spacing w:line="240" w:lineRule="auto"/>
        <w:ind w:firstLine="640"/>
        <w:jc w:val="both"/>
      </w:pPr>
      <w:r>
        <w:rPr>
          <w:rFonts w:ascii="仿宋_GB2312" w:hAnsi="仿宋_GB2312" w:eastAsia="仿宋_GB2312"/>
          <w:b w:val="0"/>
          <w:sz w:val="32"/>
        </w:rPr>
        <w:t>三、《支出决算表》</w:t>
      </w:r>
    </w:p>
    <w:p w14:paraId="059895EB">
      <w:pPr>
        <w:spacing w:line="240" w:lineRule="auto"/>
        <w:ind w:firstLine="640"/>
        <w:jc w:val="both"/>
      </w:pPr>
      <w:r>
        <w:rPr>
          <w:rFonts w:ascii="仿宋_GB2312" w:hAnsi="仿宋_GB2312" w:eastAsia="仿宋_GB2312"/>
          <w:b w:val="0"/>
          <w:sz w:val="32"/>
        </w:rPr>
        <w:t>四、《财政拨款收入支出决算总表》</w:t>
      </w:r>
    </w:p>
    <w:p w14:paraId="679F3B56">
      <w:pPr>
        <w:spacing w:line="240" w:lineRule="auto"/>
        <w:ind w:firstLine="640"/>
        <w:jc w:val="both"/>
      </w:pPr>
      <w:r>
        <w:rPr>
          <w:rFonts w:ascii="仿宋_GB2312" w:hAnsi="仿宋_GB2312" w:eastAsia="仿宋_GB2312"/>
          <w:b w:val="0"/>
          <w:sz w:val="32"/>
        </w:rPr>
        <w:t>五、《一般公共预算财政拨款支出决算表》</w:t>
      </w:r>
    </w:p>
    <w:p w14:paraId="42DF03FE">
      <w:pPr>
        <w:spacing w:line="240" w:lineRule="auto"/>
        <w:ind w:firstLine="640"/>
        <w:jc w:val="both"/>
      </w:pPr>
      <w:r>
        <w:rPr>
          <w:rFonts w:ascii="仿宋_GB2312" w:hAnsi="仿宋_GB2312" w:eastAsia="仿宋_GB2312"/>
          <w:b w:val="0"/>
          <w:sz w:val="32"/>
        </w:rPr>
        <w:t>六、《一般公共预算财政拨款基本支出决算表》</w:t>
      </w:r>
    </w:p>
    <w:p w14:paraId="60F377F3">
      <w:pPr>
        <w:spacing w:line="240" w:lineRule="auto"/>
        <w:ind w:firstLine="640"/>
        <w:jc w:val="both"/>
      </w:pPr>
      <w:r>
        <w:rPr>
          <w:rFonts w:ascii="仿宋_GB2312" w:hAnsi="仿宋_GB2312" w:eastAsia="仿宋_GB2312"/>
          <w:b w:val="0"/>
          <w:sz w:val="32"/>
        </w:rPr>
        <w:t>七、《政府性基金预算财政拨款收入支出决算表》</w:t>
      </w:r>
    </w:p>
    <w:p w14:paraId="215CB87B">
      <w:pPr>
        <w:spacing w:line="240" w:lineRule="auto"/>
        <w:ind w:firstLine="640"/>
        <w:jc w:val="both"/>
      </w:pPr>
      <w:r>
        <w:rPr>
          <w:rFonts w:ascii="仿宋_GB2312" w:hAnsi="仿宋_GB2312" w:eastAsia="仿宋_GB2312"/>
          <w:b w:val="0"/>
          <w:sz w:val="32"/>
        </w:rPr>
        <w:t>八、《国有资本经营预算财政拨款收入支出决算表》</w:t>
      </w:r>
    </w:p>
    <w:p w14:paraId="6F330A2E">
      <w:pPr>
        <w:spacing w:line="240" w:lineRule="auto"/>
        <w:ind w:firstLine="640"/>
        <w:jc w:val="both"/>
      </w:pPr>
      <w:r>
        <w:rPr>
          <w:rFonts w:ascii="仿宋_GB2312" w:hAnsi="仿宋_GB2312" w:eastAsia="仿宋_GB2312"/>
          <w:b w:val="0"/>
          <w:sz w:val="32"/>
        </w:rPr>
        <w:t>九、《财政拨款“三公”经费支出决算表》</w:t>
      </w:r>
    </w:p>
    <w:p w14:paraId="67B03CED">
      <w:pPr>
        <w:spacing w:line="240" w:lineRule="auto"/>
        <w:ind w:firstLine="640"/>
        <w:jc w:val="both"/>
      </w:pPr>
    </w:p>
    <w:p w14:paraId="475A4A32">
      <w:pPr>
        <w:spacing w:line="240" w:lineRule="auto"/>
        <w:ind w:firstLine="640"/>
        <w:jc w:val="both"/>
      </w:pPr>
    </w:p>
    <w:p w14:paraId="20FFE5D2">
      <w:pPr>
        <w:spacing w:line="240" w:lineRule="auto"/>
        <w:ind w:firstLine="640"/>
        <w:jc w:val="both"/>
      </w:pPr>
    </w:p>
    <w:p w14:paraId="43A169F5">
      <w:pPr>
        <w:spacing w:line="240" w:lineRule="auto"/>
        <w:ind w:firstLine="640"/>
        <w:jc w:val="both"/>
      </w:pPr>
    </w:p>
    <w:p w14:paraId="0B967E6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33B146-2353-4766-BEAE-555AF0C8A5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5D653EB-B0B6-4961-888C-1570FA8A7721}"/>
  </w:font>
  <w:font w:name="仿宋_GB2312">
    <w:panose1 w:val="02010609030101010101"/>
    <w:charset w:val="86"/>
    <w:family w:val="modern"/>
    <w:pitch w:val="default"/>
    <w:sig w:usb0="00000001" w:usb1="080E0000" w:usb2="00000000" w:usb3="00000000" w:csb0="00040000" w:csb1="00000000"/>
    <w:embedRegular r:id="rId3" w:fontKey="{549C6396-A6EB-45C0-864F-BB1E87530D47}"/>
  </w:font>
  <w:font w:name="楷体_GB2312">
    <w:panose1 w:val="02010609030101010101"/>
    <w:charset w:val="86"/>
    <w:family w:val="auto"/>
    <w:pitch w:val="default"/>
    <w:sig w:usb0="00000001" w:usb1="080E0000" w:usb2="00000000" w:usb3="00000000" w:csb0="00040000" w:csb1="00000000"/>
    <w:embedRegular r:id="rId4" w:fontKey="{0EC08135-1BDA-4251-B55E-16A92EEF571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EC7E46"/>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17398B"/>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3474</Words>
  <Characters>4115</Characters>
  <Lines>0</Lines>
  <Paragraphs>0</Paragraphs>
  <TotalTime>8</TotalTime>
  <ScaleCrop>false</ScaleCrop>
  <LinksUpToDate>false</LinksUpToDate>
  <CharactersWithSpaces>4123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2025-09-16T05:25:05Z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