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轮台县轮台镇中心幼儿园2024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2A78479">
      <w:r>
        <w:br w:type="page"/>
      </w:r>
    </w:p>
    <w:p w14:paraId="001E4EC1">
      <w:pPr>
        <w:spacing w:line="640" w:lineRule="exact"/>
        <w:jc w:val="center"/>
        <w:outlineLvl w:val="1"/>
      </w:pPr>
      <w:r>
        <w:rPr>
          <w:rFonts w:ascii="黑体" w:hAnsi="黑体" w:eastAsia="黑体"/>
          <w:sz w:val="32"/>
        </w:rPr>
        <w:t>第一部分 单位概况</w:t>
      </w:r>
    </w:p>
    <w:p w14:paraId="00A2DCD7">
      <w:pPr>
        <w:spacing w:line="640" w:lineRule="exact"/>
        <w:ind w:firstLine="640"/>
        <w:jc w:val="both"/>
        <w:outlineLvl w:val="2"/>
      </w:pPr>
      <w:r>
        <w:rPr>
          <w:rFonts w:ascii="黑体" w:hAnsi="黑体" w:eastAsia="黑体"/>
          <w:sz w:val="32"/>
        </w:rPr>
        <w:t>一、主要职能</w:t>
      </w:r>
    </w:p>
    <w:p w14:paraId="3D4CDA48">
      <w:pPr>
        <w:spacing w:line="580" w:lineRule="exact"/>
        <w:ind w:firstLine="640"/>
        <w:jc w:val="both"/>
      </w:pPr>
      <w:r>
        <w:rPr>
          <w:rFonts w:ascii="仿宋_GB2312" w:hAnsi="仿宋_GB2312" w:eastAsia="仿宋_GB2312"/>
          <w:sz w:val="32"/>
        </w:rPr>
        <w:t>轮台县轮台镇中心幼儿园主要工作是对全校学生进行教书育人工作，坚持教育与社会实践相结合，以提高国民素质为根本宗旨，以培养学生的创新精神和实践能力为重点，努力造就有理想、有道德、有文化、有纪律，德育、智育、体育、美育等全面发展的社会主义事业建设者和接班人，</w:t>
      </w:r>
      <w:r>
        <w:rPr>
          <w:rFonts w:hint="eastAsia" w:ascii="仿宋_GB2312" w:hAnsi="仿宋_GB2312" w:eastAsia="仿宋_GB2312"/>
          <w:sz w:val="32"/>
          <w:lang w:eastAsia="zh-CN"/>
        </w:rPr>
        <w:t>办好人民满意的教育</w:t>
      </w:r>
      <w:r>
        <w:rPr>
          <w:rFonts w:ascii="仿宋_GB2312" w:hAnsi="仿宋_GB2312" w:eastAsia="仿宋_GB2312"/>
          <w:sz w:val="32"/>
        </w:rPr>
        <w:t>。</w:t>
      </w:r>
    </w:p>
    <w:p w14:paraId="0F6324C3">
      <w:pPr>
        <w:spacing w:line="640" w:lineRule="exact"/>
        <w:ind w:firstLine="640"/>
        <w:jc w:val="both"/>
        <w:outlineLvl w:val="2"/>
      </w:pPr>
      <w:r>
        <w:rPr>
          <w:rFonts w:ascii="黑体" w:hAnsi="黑体" w:eastAsia="黑体"/>
          <w:sz w:val="32"/>
        </w:rPr>
        <w:t>二、机构设置及人员情况</w:t>
      </w:r>
    </w:p>
    <w:p w14:paraId="75691E5B">
      <w:pPr>
        <w:spacing w:line="580" w:lineRule="exact"/>
        <w:ind w:firstLine="640"/>
        <w:jc w:val="both"/>
      </w:pPr>
      <w:r>
        <w:rPr>
          <w:rFonts w:ascii="仿宋_GB2312" w:hAnsi="仿宋_GB2312" w:eastAsia="仿宋_GB2312"/>
          <w:sz w:val="32"/>
        </w:rPr>
        <w:t>轮台县轮台镇中心幼儿园2024年度，实有人数28人，其中：在职人员28人，减少58人；离休人员0人，增加0人；退休人员0人,减少85人。</w:t>
      </w:r>
    </w:p>
    <w:p w14:paraId="3591BBD6">
      <w:pPr>
        <w:spacing w:line="580" w:lineRule="exact"/>
        <w:ind w:firstLine="640"/>
        <w:jc w:val="both"/>
      </w:pPr>
      <w:r>
        <w:rPr>
          <w:rFonts w:ascii="仿宋_GB2312" w:hAnsi="仿宋_GB2312" w:eastAsia="仿宋_GB2312"/>
          <w:sz w:val="32"/>
        </w:rPr>
        <w:t>轮台县轮台镇中心幼儿园无下属预算单位，下设5个科室，分别是：党办公室、行政办公室、德育处、教务处、财务室。</w:t>
      </w:r>
    </w:p>
    <w:p w14:paraId="2AADB59A">
      <w:r>
        <w:br w:type="page"/>
      </w:r>
    </w:p>
    <w:p w14:paraId="4F86C045">
      <w:pPr>
        <w:spacing w:line="240" w:lineRule="auto"/>
        <w:jc w:val="center"/>
        <w:outlineLvl w:val="1"/>
      </w:pPr>
      <w:r>
        <w:rPr>
          <w:rFonts w:ascii="黑体" w:hAnsi="黑体" w:eastAsia="黑体"/>
          <w:sz w:val="32"/>
        </w:rPr>
        <w:t>第二部分 部门决算情况说明</w:t>
      </w:r>
    </w:p>
    <w:p w14:paraId="526CD09F">
      <w:pPr>
        <w:spacing w:line="640" w:lineRule="exact"/>
        <w:ind w:firstLine="640"/>
        <w:jc w:val="both"/>
        <w:outlineLvl w:val="2"/>
      </w:pPr>
      <w:r>
        <w:rPr>
          <w:rFonts w:ascii="黑体" w:hAnsi="黑体" w:eastAsia="黑体"/>
          <w:sz w:val="32"/>
        </w:rPr>
        <w:t>一、收入支出决算总体情况说明</w:t>
      </w:r>
    </w:p>
    <w:p w14:paraId="7D785EE1">
      <w:pPr>
        <w:spacing w:line="580" w:lineRule="exact"/>
        <w:ind w:firstLine="640"/>
        <w:jc w:val="both"/>
      </w:pPr>
      <w:r>
        <w:rPr>
          <w:rFonts w:ascii="仿宋_GB2312" w:hAnsi="仿宋_GB2312" w:eastAsia="仿宋_GB2312"/>
          <w:b/>
          <w:sz w:val="32"/>
        </w:rPr>
        <w:t>2024年度收入总计503.20万元，</w:t>
      </w:r>
      <w:r>
        <w:rPr>
          <w:rFonts w:ascii="仿宋_GB2312" w:hAnsi="仿宋_GB2312" w:eastAsia="仿宋_GB2312"/>
          <w:b w:val="0"/>
          <w:sz w:val="32"/>
        </w:rPr>
        <w:t>其中：本年收入合计494.43万元，使用非财政拨款结余（含专用结余）0.00万元，年初结转和结余8.77万元。</w:t>
      </w:r>
    </w:p>
    <w:p w14:paraId="42C4DFEF">
      <w:pPr>
        <w:spacing w:line="580" w:lineRule="exact"/>
        <w:ind w:firstLine="640"/>
        <w:jc w:val="both"/>
      </w:pPr>
      <w:r>
        <w:rPr>
          <w:rFonts w:ascii="仿宋_GB2312" w:hAnsi="仿宋_GB2312" w:eastAsia="仿宋_GB2312"/>
          <w:b/>
          <w:sz w:val="32"/>
        </w:rPr>
        <w:t>2024年度支出总计503.20万元，</w:t>
      </w:r>
      <w:r>
        <w:rPr>
          <w:rFonts w:ascii="仿宋_GB2312" w:hAnsi="仿宋_GB2312" w:eastAsia="仿宋_GB2312"/>
          <w:b w:val="0"/>
          <w:sz w:val="32"/>
        </w:rPr>
        <w:t>其中：本年支出合计494.29万元，结余分配0.00万元，年末结转和结余8.91万元。</w:t>
      </w:r>
    </w:p>
    <w:p w14:paraId="0B9B8924">
      <w:pPr>
        <w:spacing w:line="580" w:lineRule="exact"/>
        <w:ind w:firstLine="640"/>
        <w:jc w:val="both"/>
      </w:pPr>
      <w:r>
        <w:rPr>
          <w:rFonts w:ascii="仿宋_GB2312" w:hAnsi="仿宋_GB2312" w:eastAsia="仿宋_GB2312"/>
          <w:b w:val="0"/>
          <w:sz w:val="32"/>
        </w:rPr>
        <w:t>收入支出总体与上年相比，减少1,152.16万元，下降69.60%，主要原因是：本年因机构改革，人员、公用经费减少，导致相关经费减少。</w:t>
      </w:r>
    </w:p>
    <w:p w14:paraId="582FCEFF">
      <w:pPr>
        <w:spacing w:line="640" w:lineRule="exact"/>
        <w:ind w:firstLine="640"/>
        <w:jc w:val="both"/>
        <w:outlineLvl w:val="2"/>
      </w:pPr>
      <w:r>
        <w:rPr>
          <w:rFonts w:ascii="黑体" w:hAnsi="黑体" w:eastAsia="黑体"/>
          <w:sz w:val="32"/>
        </w:rPr>
        <w:t>二、收入决算情况说明</w:t>
      </w:r>
    </w:p>
    <w:p w14:paraId="569F508D">
      <w:pPr>
        <w:spacing w:line="580" w:lineRule="exact"/>
        <w:ind w:firstLine="640"/>
        <w:jc w:val="both"/>
      </w:pPr>
      <w:r>
        <w:rPr>
          <w:rFonts w:ascii="仿宋_GB2312" w:hAnsi="仿宋_GB2312" w:eastAsia="仿宋_GB2312"/>
          <w:b/>
          <w:sz w:val="32"/>
        </w:rPr>
        <w:t>本年收入494.43万元，</w:t>
      </w:r>
      <w:r>
        <w:rPr>
          <w:rFonts w:ascii="仿宋_GB2312" w:hAnsi="仿宋_GB2312" w:eastAsia="仿宋_GB2312"/>
          <w:b w:val="0"/>
          <w:sz w:val="32"/>
        </w:rPr>
        <w:t>其中：财政拨款收入494.04万元，占99.92%；上级补助收入0.00万元，占0.00%；事业收入0.00万元，占0.00%；经营收入0.00万元，占0.00%；附属单位上缴收入0.00万元，占0.00%；其他收入0.39万元，占0.08%。</w:t>
      </w:r>
    </w:p>
    <w:p w14:paraId="050A292B">
      <w:pPr>
        <w:spacing w:line="640" w:lineRule="exact"/>
        <w:ind w:firstLine="640"/>
        <w:jc w:val="both"/>
        <w:outlineLvl w:val="2"/>
      </w:pPr>
      <w:r>
        <w:rPr>
          <w:rFonts w:ascii="黑体" w:hAnsi="黑体" w:eastAsia="黑体"/>
          <w:sz w:val="32"/>
        </w:rPr>
        <w:t>三、支出决算情况说明</w:t>
      </w:r>
    </w:p>
    <w:p w14:paraId="350705B4">
      <w:pPr>
        <w:spacing w:line="580" w:lineRule="exact"/>
        <w:ind w:firstLine="640"/>
        <w:jc w:val="both"/>
      </w:pPr>
      <w:r>
        <w:rPr>
          <w:rFonts w:ascii="仿宋_GB2312" w:hAnsi="仿宋_GB2312" w:eastAsia="仿宋_GB2312"/>
          <w:b/>
          <w:sz w:val="32"/>
        </w:rPr>
        <w:t>本年支出494.29万元，</w:t>
      </w:r>
      <w:r>
        <w:rPr>
          <w:rFonts w:ascii="仿宋_GB2312" w:hAnsi="仿宋_GB2312" w:eastAsia="仿宋_GB2312"/>
          <w:b w:val="0"/>
          <w:sz w:val="32"/>
        </w:rPr>
        <w:t>其中：基本支出494.29万元，占100.00%；项目支出0.00万元，占0.00%；上缴上级支出0.00万元，占0.00%；经营支出0.00万元，占0.00%；对附属单位补助支出0.00万元，占0.00%。</w:t>
      </w:r>
    </w:p>
    <w:p w14:paraId="4694CAAF">
      <w:pPr>
        <w:spacing w:line="640" w:lineRule="exact"/>
        <w:ind w:firstLine="640"/>
        <w:jc w:val="both"/>
        <w:outlineLvl w:val="2"/>
      </w:pPr>
      <w:r>
        <w:rPr>
          <w:rFonts w:ascii="黑体" w:hAnsi="黑体" w:eastAsia="黑体"/>
          <w:sz w:val="32"/>
        </w:rPr>
        <w:t>四、财政拨款收入支出决算总体情况说明</w:t>
      </w:r>
    </w:p>
    <w:p w14:paraId="598F377B">
      <w:pPr>
        <w:spacing w:line="580" w:lineRule="exact"/>
        <w:ind w:firstLine="640"/>
        <w:jc w:val="both"/>
      </w:pPr>
      <w:r>
        <w:rPr>
          <w:rFonts w:ascii="仿宋_GB2312" w:hAnsi="仿宋_GB2312" w:eastAsia="仿宋_GB2312"/>
          <w:b/>
          <w:sz w:val="32"/>
        </w:rPr>
        <w:t>2024年度财政拨款收入总计494.04万元，</w:t>
      </w:r>
      <w:r>
        <w:rPr>
          <w:rFonts w:ascii="仿宋_GB2312" w:hAnsi="仿宋_GB2312" w:eastAsia="仿宋_GB2312"/>
          <w:b w:val="0"/>
          <w:sz w:val="32"/>
        </w:rPr>
        <w:t>其中：年初财政拨款结转和结余0.00万元，本年财政拨款收入494.04万元。</w:t>
      </w:r>
      <w:r>
        <w:rPr>
          <w:rFonts w:ascii="仿宋_GB2312" w:hAnsi="仿宋_GB2312" w:eastAsia="仿宋_GB2312"/>
          <w:b/>
          <w:sz w:val="32"/>
        </w:rPr>
        <w:t>财政拨款支出总计494.04万元，</w:t>
      </w:r>
      <w:r>
        <w:rPr>
          <w:rFonts w:ascii="仿宋_GB2312" w:hAnsi="仿宋_GB2312" w:eastAsia="仿宋_GB2312"/>
          <w:b w:val="0"/>
          <w:sz w:val="32"/>
        </w:rPr>
        <w:t>其中：年末财政拨款结转和结余0.00万元，本年财政拨款支出494.04万元。</w:t>
      </w:r>
    </w:p>
    <w:p w14:paraId="7ED2EAB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减少1,152.51万元，下降70.00%，主要原因是：本年因机构改革，人员、公用经费减少，导致相关经费减少。</w:t>
      </w:r>
      <w:r>
        <w:rPr>
          <w:rFonts w:ascii="仿宋_GB2312" w:hAnsi="仿宋_GB2312" w:eastAsia="仿宋_GB2312"/>
          <w:b/>
          <w:sz w:val="32"/>
        </w:rPr>
        <w:t>与年初预算相比，</w:t>
      </w:r>
      <w:r>
        <w:rPr>
          <w:rFonts w:ascii="仿宋_GB2312" w:hAnsi="仿宋_GB2312" w:eastAsia="仿宋_GB2312"/>
          <w:b w:val="0"/>
          <w:sz w:val="32"/>
        </w:rPr>
        <w:t>年初预算数560.90万元，决算数494.04万元，预决算差异率-11.92%，主要原因是：本年因机构改革，本年在职人员减少，年中调减人员经费，导致预决算存在差异。</w:t>
      </w:r>
    </w:p>
    <w:p w14:paraId="47A5B914">
      <w:pPr>
        <w:spacing w:line="640" w:lineRule="exact"/>
        <w:ind w:firstLine="640"/>
        <w:jc w:val="both"/>
        <w:outlineLvl w:val="2"/>
      </w:pPr>
      <w:r>
        <w:rPr>
          <w:rFonts w:ascii="黑体" w:hAnsi="黑体" w:eastAsia="黑体"/>
          <w:sz w:val="32"/>
        </w:rPr>
        <w:t>五、一般公共预算财政拨款支出决算情况说明</w:t>
      </w:r>
    </w:p>
    <w:p w14:paraId="722FBDE6">
      <w:pPr>
        <w:spacing w:line="640" w:lineRule="exact"/>
        <w:ind w:firstLine="640"/>
        <w:jc w:val="both"/>
        <w:outlineLvl w:val="3"/>
      </w:pPr>
      <w:r>
        <w:rPr>
          <w:rFonts w:ascii="楷体_GB2312" w:hAnsi="楷体_GB2312" w:eastAsia="楷体_GB2312"/>
          <w:b/>
          <w:sz w:val="32"/>
        </w:rPr>
        <w:t>（一）一般公共预算财政拨款支出决算总体情况</w:t>
      </w:r>
    </w:p>
    <w:p w14:paraId="103AA107">
      <w:pPr>
        <w:spacing w:line="580" w:lineRule="exact"/>
        <w:ind w:firstLine="640"/>
        <w:jc w:val="both"/>
      </w:pPr>
      <w:r>
        <w:rPr>
          <w:rFonts w:ascii="仿宋_GB2312" w:hAnsi="仿宋_GB2312" w:eastAsia="仿宋_GB2312"/>
          <w:b/>
          <w:sz w:val="32"/>
        </w:rPr>
        <w:t>2024年度一般公共预算财政拨款支出494.04万元，</w:t>
      </w:r>
      <w:r>
        <w:rPr>
          <w:rFonts w:ascii="仿宋_GB2312" w:hAnsi="仿宋_GB2312" w:eastAsia="仿宋_GB2312"/>
          <w:b w:val="0"/>
          <w:sz w:val="32"/>
        </w:rPr>
        <w:t>占本年支出合计的99.95%。</w:t>
      </w:r>
      <w:r>
        <w:rPr>
          <w:rFonts w:ascii="仿宋_GB2312" w:hAnsi="仿宋_GB2312" w:eastAsia="仿宋_GB2312"/>
          <w:b/>
          <w:sz w:val="32"/>
        </w:rPr>
        <w:t>与上年相比，</w:t>
      </w:r>
      <w:r>
        <w:rPr>
          <w:rFonts w:ascii="仿宋_GB2312" w:hAnsi="仿宋_GB2312" w:eastAsia="仿宋_GB2312"/>
          <w:b w:val="0"/>
          <w:sz w:val="32"/>
        </w:rPr>
        <w:t>减少1,152.51万元，下降70.00%，主要原因是：本年因机构改革，人员、公用经费减少，导致相关经费减少。</w:t>
      </w:r>
      <w:r>
        <w:rPr>
          <w:rFonts w:ascii="仿宋_GB2312" w:hAnsi="仿宋_GB2312" w:eastAsia="仿宋_GB2312"/>
          <w:b/>
          <w:sz w:val="32"/>
        </w:rPr>
        <w:t>与年初预算相比,</w:t>
      </w:r>
      <w:r>
        <w:rPr>
          <w:rFonts w:ascii="仿宋_GB2312" w:hAnsi="仿宋_GB2312" w:eastAsia="仿宋_GB2312"/>
          <w:b w:val="0"/>
          <w:sz w:val="32"/>
        </w:rPr>
        <w:t>年初预算数560.90万元，决算数494.04万元，预决算差异率-11.92%，主要原因是：本年因机构改革，本年在职人员减少，年中调减人员经费，导致预决算存在差异。</w:t>
      </w:r>
    </w:p>
    <w:p w14:paraId="6727A105">
      <w:pPr>
        <w:spacing w:line="640" w:lineRule="exact"/>
        <w:ind w:firstLine="640"/>
        <w:jc w:val="both"/>
        <w:outlineLvl w:val="3"/>
      </w:pPr>
      <w:r>
        <w:rPr>
          <w:rFonts w:ascii="楷体_GB2312" w:hAnsi="楷体_GB2312" w:eastAsia="楷体_GB2312"/>
          <w:b/>
          <w:sz w:val="32"/>
        </w:rPr>
        <w:t>（二）一般公共预算财政拨款支出决算结构情况</w:t>
      </w:r>
    </w:p>
    <w:p w14:paraId="78A91CA6">
      <w:pPr>
        <w:spacing w:line="580" w:lineRule="exact"/>
        <w:ind w:firstLine="640"/>
        <w:jc w:val="both"/>
      </w:pPr>
      <w:r>
        <w:rPr>
          <w:rFonts w:ascii="仿宋_GB2312" w:hAnsi="仿宋_GB2312" w:eastAsia="仿宋_GB2312"/>
          <w:b w:val="0"/>
          <w:sz w:val="32"/>
        </w:rPr>
        <w:t>1.教育支出(类)494.04万元,占100.00%。</w:t>
      </w:r>
    </w:p>
    <w:p w14:paraId="3731F2BE">
      <w:pPr>
        <w:spacing w:line="640" w:lineRule="exact"/>
        <w:ind w:firstLine="640"/>
        <w:jc w:val="both"/>
        <w:outlineLvl w:val="3"/>
      </w:pPr>
      <w:r>
        <w:rPr>
          <w:rFonts w:ascii="楷体_GB2312" w:hAnsi="楷体_GB2312" w:eastAsia="楷体_GB2312"/>
          <w:b/>
          <w:sz w:val="32"/>
        </w:rPr>
        <w:t>（三）一般公共预算财政拨款支出决算具体情况</w:t>
      </w:r>
    </w:p>
    <w:p w14:paraId="245CA426">
      <w:pPr>
        <w:spacing w:line="580" w:lineRule="exact"/>
        <w:ind w:firstLine="640"/>
        <w:jc w:val="both"/>
      </w:pPr>
      <w:r>
        <w:rPr>
          <w:rFonts w:ascii="仿宋_GB2312" w:hAnsi="仿宋_GB2312" w:eastAsia="仿宋_GB2312"/>
          <w:b w:val="0"/>
          <w:sz w:val="32"/>
        </w:rPr>
        <w:t>1.教育支出(类)普通教育(款)学前教育(项):支出决算数为494.04万元，比上年决算减少1,018.94万元，下降67.35%,主要原因是：本年因机构改革，人员、公用经费减少，导致相关经费减少。</w:t>
      </w:r>
    </w:p>
    <w:p w14:paraId="1ED94B0D">
      <w:pPr>
        <w:spacing w:line="580" w:lineRule="exact"/>
        <w:ind w:firstLine="640"/>
        <w:jc w:val="both"/>
      </w:pPr>
      <w:r>
        <w:rPr>
          <w:rFonts w:ascii="仿宋_GB2312" w:hAnsi="仿宋_GB2312" w:eastAsia="仿宋_GB2312"/>
          <w:b w:val="0"/>
          <w:sz w:val="32"/>
        </w:rPr>
        <w:t>2.教育支出(类)普通教育(款)小学教育(项):支出决算数为0.00万元，比上年决算减少132.14万元，下降100.00%,主要原因是：本年因机构改革，人员、公用经费减少，导致相关经费减少。</w:t>
      </w:r>
    </w:p>
    <w:p w14:paraId="31930E00">
      <w:pPr>
        <w:spacing w:line="580" w:lineRule="exact"/>
        <w:ind w:firstLine="640"/>
        <w:jc w:val="both"/>
      </w:pPr>
      <w:r>
        <w:rPr>
          <w:rFonts w:ascii="仿宋_GB2312" w:hAnsi="仿宋_GB2312" w:eastAsia="仿宋_GB2312"/>
          <w:b w:val="0"/>
          <w:sz w:val="32"/>
        </w:rPr>
        <w:t>3.教育支出(类)普通教育(款)其他普通教育支出(项):支出决算数为0.00万元，比上年决算减少1.43万元，下降100.00%,主要原因是：本年度减少校方责任险、期末试卷经费等，导致相关经费减少。</w:t>
      </w:r>
    </w:p>
    <w:p w14:paraId="2B5049C9">
      <w:pPr>
        <w:spacing w:line="640" w:lineRule="exact"/>
        <w:ind w:firstLine="640"/>
        <w:jc w:val="both"/>
        <w:outlineLvl w:val="2"/>
      </w:pPr>
      <w:r>
        <w:rPr>
          <w:rFonts w:ascii="黑体" w:hAnsi="黑体" w:eastAsia="黑体"/>
          <w:sz w:val="32"/>
        </w:rPr>
        <w:t>六、一般公共预算财政拨款基本支出决算情况说明</w:t>
      </w:r>
    </w:p>
    <w:p w14:paraId="5B0B95E4">
      <w:pPr>
        <w:spacing w:line="580" w:lineRule="exact"/>
        <w:ind w:firstLine="640"/>
        <w:jc w:val="both"/>
      </w:pPr>
      <w:r>
        <w:rPr>
          <w:rFonts w:ascii="仿宋_GB2312" w:hAnsi="仿宋_GB2312" w:eastAsia="仿宋_GB2312"/>
          <w:b w:val="0"/>
          <w:sz w:val="32"/>
        </w:rPr>
        <w:t>2024年度一般公共预算财政拨款基本支出494.04万元，其中：</w:t>
      </w:r>
      <w:r>
        <w:rPr>
          <w:rFonts w:ascii="仿宋_GB2312" w:hAnsi="仿宋_GB2312" w:eastAsia="仿宋_GB2312"/>
          <w:b/>
          <w:sz w:val="32"/>
        </w:rPr>
        <w:t>人员经费471.75万元，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包括：基本工资、津贴补贴、奖金、绩效工资、机关事业单位基本养老保险缴费、职工基本医疗保险缴费、其他社会保障缴费、住房公积金、其他工资福利支出、抚恤金、生活补助、助学金、奖励金。</w:t>
      </w:r>
    </w:p>
    <w:p w14:paraId="769E0D86">
      <w:pPr>
        <w:spacing w:line="580" w:lineRule="exact"/>
        <w:ind w:firstLine="640"/>
        <w:jc w:val="both"/>
      </w:pPr>
      <w:r>
        <w:rPr>
          <w:rFonts w:ascii="仿宋_GB2312" w:hAnsi="仿宋_GB2312" w:eastAsia="仿宋_GB2312"/>
          <w:b/>
          <w:sz w:val="32"/>
        </w:rPr>
        <w:t>公用经费22.29万元，</w:t>
      </w:r>
      <w:r>
        <w:rPr>
          <w:rFonts w:ascii="仿宋_GB2312" w:hAnsi="仿宋_GB2312" w:eastAsia="仿宋_GB2312"/>
          <w:b w:val="0"/>
          <w:sz w:val="32"/>
        </w:rPr>
        <w:t>包括：办公费、印刷费、电费、邮电费、取暖费、维修（护）费、培训费、专用设备购置。</w:t>
      </w:r>
    </w:p>
    <w:p w14:paraId="78560A79">
      <w:pPr>
        <w:spacing w:line="640" w:lineRule="exact"/>
        <w:ind w:firstLine="640"/>
        <w:jc w:val="both"/>
        <w:outlineLvl w:val="2"/>
      </w:pPr>
      <w:r>
        <w:rPr>
          <w:rFonts w:ascii="黑体" w:hAnsi="黑体" w:eastAsia="黑体"/>
          <w:sz w:val="32"/>
        </w:rPr>
        <w:t>七、政府性基金预算财政拨款收入支出决算情况说明</w:t>
      </w:r>
    </w:p>
    <w:p w14:paraId="211E3B9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B052973">
      <w:pPr>
        <w:spacing w:line="640" w:lineRule="exact"/>
        <w:ind w:firstLine="640"/>
        <w:jc w:val="both"/>
        <w:outlineLvl w:val="2"/>
      </w:pPr>
      <w:r>
        <w:rPr>
          <w:rFonts w:ascii="黑体" w:hAnsi="黑体" w:eastAsia="黑体"/>
          <w:sz w:val="32"/>
        </w:rPr>
        <w:t>八、国有资本经营预算财政拨款收入支出决算情况说明</w:t>
      </w:r>
    </w:p>
    <w:p w14:paraId="674F954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E71DA02">
      <w:pPr>
        <w:spacing w:line="640" w:lineRule="exact"/>
        <w:ind w:firstLine="640"/>
        <w:jc w:val="both"/>
        <w:outlineLvl w:val="2"/>
      </w:pPr>
      <w:r>
        <w:rPr>
          <w:rFonts w:ascii="黑体" w:hAnsi="黑体" w:eastAsia="黑体"/>
          <w:sz w:val="32"/>
        </w:rPr>
        <w:t>九、财政拨款“三公”经费支出决算情况说明</w:t>
      </w:r>
    </w:p>
    <w:p w14:paraId="413B352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D9E3BAF">
      <w:pPr>
        <w:spacing w:line="580" w:lineRule="exact"/>
        <w:ind w:firstLine="640"/>
        <w:jc w:val="both"/>
      </w:pPr>
      <w:r>
        <w:rPr>
          <w:rFonts w:ascii="仿宋_GB2312" w:hAnsi="仿宋_GB2312" w:eastAsia="仿宋_GB2312"/>
          <w:b/>
          <w:sz w:val="32"/>
        </w:rPr>
        <w:t>具体情况如下：</w:t>
      </w:r>
    </w:p>
    <w:p w14:paraId="05D155B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4B2C7E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304BDA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D8BD36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78B7A2D">
      <w:pPr>
        <w:spacing w:line="640" w:lineRule="exact"/>
        <w:ind w:firstLine="640"/>
        <w:jc w:val="both"/>
        <w:outlineLvl w:val="2"/>
      </w:pPr>
      <w:r>
        <w:rPr>
          <w:rFonts w:ascii="黑体" w:hAnsi="黑体" w:eastAsia="黑体"/>
          <w:sz w:val="32"/>
        </w:rPr>
        <w:t>十、其他重要事项的情况说明</w:t>
      </w:r>
    </w:p>
    <w:p w14:paraId="2D523908">
      <w:pPr>
        <w:spacing w:line="640" w:lineRule="exact"/>
        <w:ind w:firstLine="640"/>
        <w:jc w:val="both"/>
        <w:outlineLvl w:val="3"/>
      </w:pPr>
      <w:r>
        <w:rPr>
          <w:rFonts w:ascii="楷体_GB2312" w:hAnsi="楷体_GB2312" w:eastAsia="楷体_GB2312"/>
          <w:b/>
          <w:sz w:val="32"/>
        </w:rPr>
        <w:t>（一）机关运行经费及公用经费支出情况</w:t>
      </w:r>
    </w:p>
    <w:p w14:paraId="4C79BB9F">
      <w:pPr>
        <w:spacing w:line="580" w:lineRule="exact"/>
        <w:ind w:firstLine="640"/>
        <w:jc w:val="both"/>
      </w:pPr>
      <w:r>
        <w:rPr>
          <w:rFonts w:ascii="仿宋_GB2312" w:hAnsi="仿宋_GB2312" w:eastAsia="仿宋_GB2312"/>
          <w:b w:val="0"/>
          <w:sz w:val="32"/>
        </w:rPr>
        <w:t>2024年度轮台县轮台镇中心幼儿园（事业单位）公用经费支出22.29万元，比上年减少167.77万元，下降88.27%，主要原因是：本年因机构改革，导致公用经费减少。</w:t>
      </w:r>
    </w:p>
    <w:p w14:paraId="58052A78">
      <w:pPr>
        <w:spacing w:line="640" w:lineRule="exact"/>
        <w:ind w:firstLine="640"/>
        <w:jc w:val="both"/>
        <w:outlineLvl w:val="3"/>
      </w:pPr>
      <w:r>
        <w:rPr>
          <w:rFonts w:ascii="楷体_GB2312" w:hAnsi="楷体_GB2312" w:eastAsia="楷体_GB2312"/>
          <w:b/>
          <w:sz w:val="32"/>
        </w:rPr>
        <w:t>（二）政府采购情况</w:t>
      </w:r>
    </w:p>
    <w:p w14:paraId="6147F457">
      <w:pPr>
        <w:spacing w:line="580" w:lineRule="exact"/>
        <w:ind w:firstLine="640"/>
        <w:jc w:val="both"/>
      </w:pPr>
      <w:r>
        <w:rPr>
          <w:rFonts w:ascii="仿宋_GB2312" w:hAnsi="仿宋_GB2312" w:eastAsia="仿宋_GB2312"/>
          <w:b w:val="0"/>
          <w:sz w:val="32"/>
        </w:rPr>
        <w:t>2024年度政府采购支出总额22.29万元，其中：政府采购货物支出17.53万元、政府采购工程支出0.00万元、政府采购服务支出4.76万元。</w:t>
      </w:r>
    </w:p>
    <w:p w14:paraId="3F67E919">
      <w:pPr>
        <w:spacing w:line="580" w:lineRule="exact"/>
        <w:ind w:firstLine="640"/>
        <w:jc w:val="both"/>
      </w:pPr>
      <w:r>
        <w:rPr>
          <w:rFonts w:ascii="仿宋_GB2312" w:hAnsi="仿宋_GB2312" w:eastAsia="仿宋_GB2312"/>
          <w:b w:val="0"/>
          <w:sz w:val="32"/>
        </w:rPr>
        <w:t>授予中小企业合同金额9.42万元，占政府采购支出总额的42.26%，其中：授予小微企业合同金额9.42万元，占政府采购支出总额的42.26%。</w:t>
      </w:r>
    </w:p>
    <w:p w14:paraId="5E5F6DBF">
      <w:pPr>
        <w:spacing w:line="640" w:lineRule="exact"/>
        <w:ind w:firstLine="640"/>
        <w:jc w:val="both"/>
        <w:outlineLvl w:val="3"/>
      </w:pPr>
      <w:r>
        <w:rPr>
          <w:rFonts w:ascii="楷体_GB2312" w:hAnsi="楷体_GB2312" w:eastAsia="楷体_GB2312"/>
          <w:b/>
          <w:sz w:val="32"/>
        </w:rPr>
        <w:t>（三）国有资产占用情况说明</w:t>
      </w:r>
    </w:p>
    <w:p w14:paraId="30F5E6FA">
      <w:pPr>
        <w:spacing w:line="580" w:lineRule="exact"/>
        <w:ind w:firstLine="640"/>
        <w:jc w:val="both"/>
      </w:pPr>
      <w:r>
        <w:rPr>
          <w:rFonts w:ascii="仿宋_GB2312" w:hAnsi="仿宋_GB2312" w:eastAsia="仿宋_GB2312"/>
          <w:b w:val="0"/>
          <w:sz w:val="32"/>
        </w:rPr>
        <w:t>截至2024年12月31日，房屋1,003.00平方米，价值146.87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D609BC3">
      <w:pPr>
        <w:spacing w:line="640" w:lineRule="exact"/>
        <w:ind w:firstLine="640"/>
        <w:jc w:val="both"/>
        <w:outlineLvl w:val="2"/>
      </w:pPr>
      <w:r>
        <w:rPr>
          <w:rFonts w:ascii="黑体" w:hAnsi="黑体" w:eastAsia="黑体"/>
          <w:sz w:val="32"/>
        </w:rPr>
        <w:t>十一、预算绩效的情况说明</w:t>
      </w:r>
    </w:p>
    <w:p w14:paraId="3004AE3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503.20万元，实际执行总额494.29万元；预算绩效评价项目0个，全年预算数0.00万元，全年执行数0.00万元。预算绩效管理取得的成效：一是强化组织保障和制度建设。成立了以项目为主的预算项目绩效工作小组，指导、督促、协调开展预算项目绩效实施工作，组织学习、传达有关文件和会议精神，提高了单位预算管理认识，明确“花钱必问效，无效必问责”绩效管理理念。二是提升绩效管理理论知识水平。积极组织项目单位人员学习预算绩效管理相关政策概念、业务流程。三是强化预算绩效目标设置。围绕本部门和单位职责、业务活动，从运行成本、管理效率、履职效能、社会效应、可持续发展能力和服务对象满意度等方面，科学设置部门和单位预算项目绩效目标。四是强化部门预算的监督管理。预算执行过程中，严格按照“谁支出，谁负责”的原则，对绩效目标完成情况和预算执行进度实行日常监控，发现绩效目标偏离、资金使用低效等问题及时分析原因，采取措施予以纠正，确保绩效目标如期实现。同时，按照财政部门工作安排和部署，定期组织单位开展预算项目绩效运行自评，建立定期分析报告制度。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持续提高教学质量，加强对学生的思想品德教育，使学生的德智体美劳全面发展，全方位保障校园安全；二是保证享受补助学生人数2493人，保证适龄儿童入学率，控掇保学率达到100%，学生、家长对学校教育教学工作的满意度达到95%以上。具体附整体支出绩效自评表。</w:t>
      </w:r>
    </w:p>
    <w:p w14:paraId="2C069B1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99C14A4">
        <w:tblPrEx>
          <w:tblCellMar>
            <w:top w:w="0" w:type="dxa"/>
            <w:left w:w="108" w:type="dxa"/>
            <w:bottom w:w="0" w:type="dxa"/>
            <w:right w:w="108" w:type="dxa"/>
          </w:tblCellMar>
        </w:tblPrEx>
        <w:tc>
          <w:tcPr>
            <w:tcW w:w="8840" w:type="dxa"/>
            <w:gridSpan w:val="8"/>
            <w:vAlign w:val="center"/>
          </w:tcPr>
          <w:p w14:paraId="2365F800">
            <w:pPr>
              <w:jc w:val="center"/>
            </w:pPr>
            <w:r>
              <w:rPr>
                <w:rFonts w:ascii="宋体" w:hAnsi="宋体" w:eastAsia="宋体"/>
                <w:sz w:val="24"/>
              </w:rPr>
              <w:t>单位整体支出绩效自评表</w:t>
            </w:r>
          </w:p>
        </w:tc>
      </w:tr>
      <w:tr w14:paraId="046F3B85">
        <w:tblPrEx>
          <w:tblCellMar>
            <w:top w:w="0" w:type="dxa"/>
            <w:left w:w="108" w:type="dxa"/>
            <w:bottom w:w="0" w:type="dxa"/>
            <w:right w:w="108" w:type="dxa"/>
          </w:tblCellMar>
        </w:tblPrEx>
        <w:tc>
          <w:tcPr>
            <w:tcW w:w="8840" w:type="dxa"/>
            <w:gridSpan w:val="8"/>
            <w:vAlign w:val="center"/>
          </w:tcPr>
          <w:p w14:paraId="1079E8FC">
            <w:pPr>
              <w:jc w:val="center"/>
            </w:pPr>
            <w:r>
              <w:rPr>
                <w:rFonts w:ascii="宋体" w:hAnsi="宋体" w:eastAsia="宋体"/>
                <w:sz w:val="24"/>
              </w:rPr>
              <w:t>（2024年度）</w:t>
            </w:r>
          </w:p>
        </w:tc>
      </w:tr>
      <w:tr w14:paraId="757F114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05AC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7BCC33">
            <w:pPr>
              <w:jc w:val="center"/>
            </w:pPr>
            <w:r>
              <w:rPr>
                <w:rFonts w:ascii="宋体" w:hAnsi="宋体" w:eastAsia="宋体"/>
                <w:sz w:val="16"/>
              </w:rPr>
              <w:t>轮台县轮台镇中心幼儿园</w:t>
            </w:r>
          </w:p>
        </w:tc>
      </w:tr>
      <w:tr w14:paraId="66718F0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6D9D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2163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9E80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BBFE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A4340">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4E9E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3AD8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21673">
            <w:pPr>
              <w:jc w:val="center"/>
            </w:pPr>
            <w:r>
              <w:rPr>
                <w:rFonts w:ascii="宋体" w:hAnsi="宋体" w:eastAsia="宋体"/>
                <w:sz w:val="16"/>
              </w:rPr>
              <w:t>得分</w:t>
            </w:r>
          </w:p>
        </w:tc>
      </w:tr>
      <w:tr w14:paraId="27C00A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BB90D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7173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9E1AE">
            <w:pPr>
              <w:jc w:val="center"/>
            </w:pPr>
            <w:r>
              <w:rPr>
                <w:rFonts w:ascii="宋体" w:hAnsi="宋体" w:eastAsia="宋体"/>
                <w:sz w:val="16"/>
              </w:rPr>
              <w:t>560.90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11F2D">
            <w:pPr>
              <w:jc w:val="center"/>
            </w:pPr>
            <w:r>
              <w:rPr>
                <w:rFonts w:ascii="宋体" w:hAnsi="宋体" w:eastAsia="宋体"/>
                <w:sz w:val="16"/>
              </w:rPr>
              <w:t>503.20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2DE62">
            <w:pPr>
              <w:jc w:val="center"/>
            </w:pPr>
            <w:r>
              <w:rPr>
                <w:rFonts w:ascii="宋体" w:hAnsi="宋体" w:eastAsia="宋体"/>
                <w:sz w:val="16"/>
              </w:rPr>
              <w:t>494.29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165A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85325">
            <w:pPr>
              <w:jc w:val="center"/>
            </w:pPr>
            <w:r>
              <w:rPr>
                <w:rFonts w:ascii="宋体" w:hAnsi="宋体" w:eastAsia="宋体"/>
                <w:sz w:val="16"/>
              </w:rPr>
              <w:t>98.23%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6781D">
            <w:pPr>
              <w:jc w:val="center"/>
            </w:pPr>
            <w:r>
              <w:rPr>
                <w:rFonts w:ascii="宋体" w:hAnsi="宋体" w:eastAsia="宋体"/>
                <w:sz w:val="16"/>
              </w:rPr>
              <w:t>9.82</w:t>
            </w:r>
          </w:p>
        </w:tc>
      </w:tr>
      <w:tr w14:paraId="10DCCB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9207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256EE">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3CE90">
            <w:pPr>
              <w:jc w:val="center"/>
            </w:pPr>
            <w:r>
              <w:rPr>
                <w:rFonts w:ascii="宋体" w:hAnsi="宋体" w:eastAsia="宋体"/>
                <w:sz w:val="16"/>
              </w:rPr>
              <w:t>10.56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CEF0A">
            <w:pPr>
              <w:jc w:val="center"/>
            </w:pPr>
            <w:r>
              <w:rPr>
                <w:rFonts w:ascii="宋体" w:hAnsi="宋体" w:eastAsia="宋体"/>
                <w:sz w:val="16"/>
              </w:rPr>
              <w:t>10.66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C10D5">
            <w:pPr>
              <w:jc w:val="center"/>
            </w:pPr>
            <w:r>
              <w:rPr>
                <w:rFonts w:ascii="宋体" w:hAnsi="宋体" w:eastAsia="宋体"/>
                <w:sz w:val="16"/>
              </w:rPr>
              <w:t>10.66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BC4F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F5C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AE7BC">
            <w:pPr>
              <w:jc w:val="center"/>
            </w:pPr>
            <w:r>
              <w:rPr>
                <w:rFonts w:ascii="宋体" w:hAnsi="宋体" w:eastAsia="宋体"/>
                <w:sz w:val="16"/>
              </w:rPr>
              <w:t>-</w:t>
            </w:r>
          </w:p>
        </w:tc>
      </w:tr>
      <w:tr w14:paraId="451F35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AD16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9D44B">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31FBD">
            <w:pPr>
              <w:jc w:val="center"/>
            </w:pPr>
            <w:r>
              <w:rPr>
                <w:rFonts w:ascii="宋体" w:hAnsi="宋体" w:eastAsia="宋体"/>
                <w:sz w:val="16"/>
              </w:rPr>
              <w:t>550.34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5B898">
            <w:pPr>
              <w:jc w:val="center"/>
            </w:pPr>
            <w:r>
              <w:rPr>
                <w:rFonts w:ascii="宋体" w:hAnsi="宋体" w:eastAsia="宋体"/>
                <w:sz w:val="16"/>
              </w:rPr>
              <w:t>483.38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F9D7D">
            <w:pPr>
              <w:jc w:val="center"/>
            </w:pPr>
            <w:r>
              <w:rPr>
                <w:rFonts w:ascii="宋体" w:hAnsi="宋体" w:eastAsia="宋体"/>
                <w:sz w:val="16"/>
              </w:rPr>
              <w:t>483.38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C33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59D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7E84E">
            <w:pPr>
              <w:jc w:val="center"/>
            </w:pPr>
            <w:r>
              <w:rPr>
                <w:rFonts w:ascii="宋体" w:hAnsi="宋体" w:eastAsia="宋体"/>
                <w:sz w:val="16"/>
              </w:rPr>
              <w:t>-</w:t>
            </w:r>
          </w:p>
        </w:tc>
      </w:tr>
      <w:tr w14:paraId="37B8B5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616F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62136">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522B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E71A5">
            <w:pPr>
              <w:jc w:val="center"/>
            </w:pPr>
            <w:r>
              <w:rPr>
                <w:rFonts w:ascii="宋体" w:hAnsi="宋体" w:eastAsia="宋体"/>
                <w:sz w:val="16"/>
              </w:rPr>
              <w:t>9.16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33B20">
            <w:pPr>
              <w:jc w:val="center"/>
            </w:pPr>
            <w:r>
              <w:rPr>
                <w:rFonts w:ascii="宋体" w:hAnsi="宋体" w:eastAsia="宋体"/>
                <w:sz w:val="16"/>
              </w:rPr>
              <w:t>0.25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7CC7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B884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C8D29">
            <w:pPr>
              <w:jc w:val="center"/>
            </w:pPr>
            <w:r>
              <w:rPr>
                <w:rFonts w:ascii="宋体" w:hAnsi="宋体" w:eastAsia="宋体"/>
                <w:sz w:val="16"/>
              </w:rPr>
              <w:t>-</w:t>
            </w:r>
          </w:p>
        </w:tc>
      </w:tr>
      <w:tr w14:paraId="7E89351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083E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76B12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172F4B">
            <w:pPr>
              <w:jc w:val="center"/>
            </w:pPr>
            <w:r>
              <w:rPr>
                <w:rFonts w:ascii="宋体" w:hAnsi="宋体" w:eastAsia="宋体"/>
                <w:sz w:val="16"/>
              </w:rPr>
              <w:t>实际完成情况</w:t>
            </w:r>
          </w:p>
        </w:tc>
      </w:tr>
      <w:tr w14:paraId="6724DC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95E3D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B200E6">
            <w:pPr>
              <w:jc w:val="both"/>
            </w:pPr>
            <w:r>
              <w:rPr>
                <w:rFonts w:ascii="宋体" w:hAnsi="宋体" w:eastAsia="宋体"/>
                <w:sz w:val="16"/>
              </w:rPr>
              <w:t>1.认真贯彻《3—6岁儿童学习与发展指南</w:t>
            </w:r>
            <w:r>
              <w:rPr>
                <w:rFonts w:hint="eastAsia" w:ascii="宋体" w:hAnsi="宋体"/>
                <w:sz w:val="16"/>
                <w:lang w:eastAsia="zh-CN"/>
              </w:rPr>
              <w:t>》《</w:t>
            </w:r>
            <w:r>
              <w:rPr>
                <w:rFonts w:ascii="宋体" w:hAnsi="宋体" w:eastAsia="宋体"/>
                <w:sz w:val="16"/>
              </w:rPr>
              <w:t>纲要》；坚持正确的办学方向，对幼儿实施德、智、体方面全面发展的教育，完成好上级下达的教学任务，确保适龄儿童入学率达到100%；控掇保学率达到100%；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2.落实享受资助补助政策幼儿数达到106人，切实减轻学生学业负担，减轻家长经济负担；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3.严把发展党员关，落实“双培养”机制，组织开展教师专业知识培训8次，激励教职工提高自身素质和教学能力，重视教研教改和教学常规工作，不断提高教育教学质量；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4.组织开展专题教育不少于8次，强健幼儿体魄，丰富幼儿的校园生活，促进幼儿全面健康发展。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1BCBAA">
            <w:pPr>
              <w:jc w:val="both"/>
            </w:pPr>
            <w:r>
              <w:rPr>
                <w:rFonts w:ascii="宋体" w:hAnsi="宋体" w:eastAsia="宋体"/>
                <w:sz w:val="16"/>
              </w:rPr>
              <w:t>认真贯彻《3—6岁儿童学习与发展指南</w:t>
            </w:r>
            <w:r>
              <w:rPr>
                <w:rFonts w:hint="eastAsia" w:ascii="宋体" w:hAnsi="宋体"/>
                <w:sz w:val="16"/>
                <w:lang w:eastAsia="zh-CN"/>
              </w:rPr>
              <w:t>》《</w:t>
            </w:r>
            <w:r>
              <w:rPr>
                <w:rFonts w:ascii="宋体" w:hAnsi="宋体" w:eastAsia="宋体"/>
                <w:sz w:val="16"/>
              </w:rPr>
              <w:t>纲要》；坚持正确的办学方向，2024年已完成：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1.已完成适龄儿童入学率达到100%；控掇保学率达到100%。完成了上级下达的教学任务，对幼儿实施了德、智、体方面全面发展的教育。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w:t>
            </w:r>
            <w:r>
              <w:rPr>
                <w:rFonts w:hint="eastAsia" w:ascii="宋体" w:hAnsi="宋体"/>
                <w:sz w:val="16"/>
                <w:lang w:eastAsia="zh-CN"/>
              </w:rPr>
              <w:t>已</w:t>
            </w:r>
            <w:r>
              <w:rPr>
                <w:rFonts w:ascii="宋体" w:hAnsi="宋体" w:eastAsia="宋体"/>
                <w:sz w:val="16"/>
              </w:rPr>
              <w:t>完成落实享受资助补助政策幼儿数达到106人，切实减轻了学生学业负担以及家长经济负担。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3.已完成组织开展教师专业知识培训8次，进一步提高了教职工自身素质和教学能力以及让教师重视教研教改和教学常规工作，提高了教育教学质量。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4.已完成组织开展专题教育8次，进一步强健幼儿体魄以及丰富幼儿的校园生活，促进了幼儿全面健康发展。</w:t>
            </w:r>
          </w:p>
        </w:tc>
      </w:tr>
      <w:tr w14:paraId="0D942FD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010B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D0A9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0113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0F4A5">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1F48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7C82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A5EEA">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B3D4A">
            <w:pPr>
              <w:jc w:val="center"/>
            </w:pPr>
            <w:r>
              <w:rPr>
                <w:rFonts w:ascii="宋体" w:hAnsi="宋体" w:eastAsia="宋体"/>
                <w:sz w:val="16"/>
              </w:rPr>
              <w:t>得分</w:t>
            </w:r>
          </w:p>
        </w:tc>
      </w:tr>
      <w:tr w14:paraId="6328F1D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A97B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4855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3EDD3">
            <w:pPr>
              <w:jc w:val="center"/>
            </w:pPr>
            <w:r>
              <w:rPr>
                <w:rFonts w:ascii="宋体" w:hAnsi="宋体" w:eastAsia="宋体"/>
                <w:sz w:val="16"/>
              </w:rPr>
              <w:t>享受资助补助政策幼儿数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9AC4B">
            <w:pPr>
              <w:jc w:val="center"/>
            </w:pPr>
            <w:r>
              <w:rPr>
                <w:rFonts w:ascii="宋体" w:hAnsi="宋体" w:eastAsia="宋体"/>
                <w:sz w:val="16"/>
              </w:rPr>
              <w:t>&gt;=106人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B6A21">
            <w:pPr>
              <w:jc w:val="center"/>
            </w:pPr>
            <w:r>
              <w:rPr>
                <w:rFonts w:ascii="宋体" w:hAnsi="宋体" w:eastAsia="宋体"/>
                <w:sz w:val="16"/>
              </w:rPr>
              <w:t>轮台县轮台镇中心幼儿园2024学年工作计划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43AD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CB8D8">
            <w:pPr>
              <w:jc w:val="center"/>
            </w:pPr>
            <w:r>
              <w:rPr>
                <w:rFonts w:ascii="宋体" w:hAnsi="宋体" w:eastAsia="宋体"/>
                <w:sz w:val="16"/>
              </w:rPr>
              <w:t>106人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D2C1B">
            <w:pPr>
              <w:jc w:val="center"/>
            </w:pPr>
            <w:r>
              <w:rPr>
                <w:rFonts w:ascii="宋体" w:hAnsi="宋体" w:eastAsia="宋体"/>
                <w:sz w:val="16"/>
              </w:rPr>
              <w:t>15</w:t>
            </w:r>
          </w:p>
        </w:tc>
      </w:tr>
      <w:tr w14:paraId="4BA7F3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A9083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181C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976F8">
            <w:pPr>
              <w:jc w:val="center"/>
            </w:pPr>
            <w:r>
              <w:rPr>
                <w:rFonts w:ascii="宋体" w:hAnsi="宋体" w:eastAsia="宋体"/>
                <w:sz w:val="16"/>
              </w:rPr>
              <w:t>教师专业知识培训次数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EE2B4">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C6FC6">
            <w:pPr>
              <w:jc w:val="center"/>
            </w:pPr>
            <w:r>
              <w:rPr>
                <w:rFonts w:ascii="宋体" w:hAnsi="宋体" w:eastAsia="宋体"/>
                <w:sz w:val="16"/>
              </w:rPr>
              <w:t>轮台县轮台镇中心幼儿园2024学年工作计划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E119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C2D4B">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7E26B">
            <w:pPr>
              <w:jc w:val="center"/>
            </w:pPr>
            <w:r>
              <w:rPr>
                <w:rFonts w:ascii="宋体" w:hAnsi="宋体" w:eastAsia="宋体"/>
                <w:sz w:val="16"/>
              </w:rPr>
              <w:t>15</w:t>
            </w:r>
          </w:p>
        </w:tc>
      </w:tr>
      <w:tr w14:paraId="343F4A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F9EC3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550EE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1CE119">
            <w:pPr>
              <w:jc w:val="center"/>
            </w:pPr>
            <w:r>
              <w:rPr>
                <w:rFonts w:ascii="宋体" w:hAnsi="宋体" w:eastAsia="宋体"/>
                <w:sz w:val="16"/>
              </w:rPr>
              <w:t>开展专题教育活动次数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3B163">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A0F3E">
            <w:pPr>
              <w:jc w:val="center"/>
            </w:pPr>
            <w:r>
              <w:rPr>
                <w:rFonts w:ascii="宋体" w:hAnsi="宋体" w:eastAsia="宋体"/>
                <w:sz w:val="16"/>
              </w:rPr>
              <w:t>轮台县轮台镇中心幼儿园2024学年工作计划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83A3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7FEFB">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8BC48">
            <w:pPr>
              <w:jc w:val="center"/>
            </w:pPr>
            <w:r>
              <w:rPr>
                <w:rFonts w:ascii="宋体" w:hAnsi="宋体" w:eastAsia="宋体"/>
                <w:sz w:val="16"/>
              </w:rPr>
              <w:t>15</w:t>
            </w:r>
          </w:p>
        </w:tc>
      </w:tr>
      <w:tr w14:paraId="6CE0A3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BA6D7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79B9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B8B7F">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42A7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5D52B">
            <w:pPr>
              <w:jc w:val="center"/>
            </w:pPr>
            <w:r>
              <w:rPr>
                <w:rFonts w:ascii="宋体" w:hAnsi="宋体" w:eastAsia="宋体"/>
                <w:sz w:val="16"/>
              </w:rPr>
              <w:t>轮台县轮台镇中心幼儿园2024学年工作计划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12BD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9842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E1613">
            <w:pPr>
              <w:jc w:val="center"/>
            </w:pPr>
            <w:r>
              <w:rPr>
                <w:rFonts w:ascii="宋体" w:hAnsi="宋体" w:eastAsia="宋体"/>
                <w:sz w:val="16"/>
              </w:rPr>
              <w:t>15</w:t>
            </w:r>
          </w:p>
        </w:tc>
      </w:tr>
      <w:tr w14:paraId="366DD4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1C8FE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ADE7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B8141">
            <w:pPr>
              <w:jc w:val="center"/>
            </w:pPr>
            <w:bookmarkStart w:id="0" w:name="_GoBack"/>
            <w:r>
              <w:rPr>
                <w:rFonts w:ascii="宋体" w:hAnsi="宋体" w:eastAsia="宋体"/>
                <w:sz w:val="16"/>
              </w:rPr>
              <w:t>控掇</w:t>
            </w:r>
            <w:bookmarkEnd w:id="0"/>
            <w:r>
              <w:rPr>
                <w:rFonts w:ascii="宋体" w:hAnsi="宋体" w:eastAsia="宋体"/>
                <w:sz w:val="16"/>
              </w:rPr>
              <w:t>保学率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8AF7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B6218">
            <w:pPr>
              <w:jc w:val="center"/>
            </w:pPr>
            <w:r>
              <w:rPr>
                <w:rFonts w:ascii="宋体" w:hAnsi="宋体" w:eastAsia="宋体"/>
                <w:sz w:val="16"/>
              </w:rPr>
              <w:t>轮台县轮台镇中心幼儿园2024学年工作计划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B9EA6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DE62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851B8">
            <w:pPr>
              <w:jc w:val="center"/>
            </w:pPr>
            <w:r>
              <w:rPr>
                <w:rFonts w:ascii="宋体" w:hAnsi="宋体" w:eastAsia="宋体"/>
                <w:sz w:val="16"/>
              </w:rPr>
              <w:t>15</w:t>
            </w:r>
          </w:p>
        </w:tc>
      </w:tr>
      <w:tr w14:paraId="30C765D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69872">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83D80">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1FE058">
            <w:pPr>
              <w:jc w:val="center"/>
            </w:pPr>
            <w:r>
              <w:rPr>
                <w:rFonts w:ascii="宋体" w:hAnsi="宋体" w:eastAsia="宋体"/>
                <w:sz w:val="16"/>
              </w:rPr>
              <w:t>学生、家长对学校教育教学工作的满意度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CE13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ADC1D">
            <w:pPr>
              <w:jc w:val="center"/>
            </w:pPr>
            <w:r>
              <w:rPr>
                <w:rFonts w:ascii="宋体" w:hAnsi="宋体" w:eastAsia="宋体"/>
                <w:sz w:val="16"/>
              </w:rPr>
              <w:t>轮台县轮台镇中心幼儿园2024学年工作计划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1A65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C9F99">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07576">
            <w:pPr>
              <w:jc w:val="center"/>
            </w:pPr>
            <w:r>
              <w:rPr>
                <w:rFonts w:ascii="宋体" w:hAnsi="宋体" w:eastAsia="宋体"/>
                <w:sz w:val="16"/>
              </w:rPr>
              <w:t>15</w:t>
            </w:r>
          </w:p>
        </w:tc>
      </w:tr>
    </w:tbl>
    <w:p w14:paraId="5D650D8B">
      <w:r>
        <w:br w:type="page"/>
      </w:r>
    </w:p>
    <w:p w14:paraId="140B52D4">
      <w:pPr>
        <w:spacing w:line="640" w:lineRule="exact"/>
        <w:ind w:firstLine="640"/>
        <w:jc w:val="both"/>
        <w:outlineLvl w:val="2"/>
      </w:pPr>
      <w:r>
        <w:rPr>
          <w:rFonts w:ascii="黑体" w:hAnsi="黑体" w:eastAsia="黑体"/>
          <w:sz w:val="32"/>
        </w:rPr>
        <w:t>十二、其他需说明的事项</w:t>
      </w:r>
    </w:p>
    <w:p w14:paraId="65DDBF04">
      <w:pPr>
        <w:spacing w:line="580" w:lineRule="exact"/>
        <w:ind w:firstLine="640"/>
        <w:jc w:val="both"/>
      </w:pPr>
      <w:r>
        <w:rPr>
          <w:rFonts w:ascii="仿宋_GB2312" w:hAnsi="仿宋_GB2312" w:eastAsia="仿宋_GB2312"/>
          <w:b w:val="0"/>
          <w:sz w:val="32"/>
        </w:rPr>
        <w:t>本单位无其他需说明的事项。</w:t>
      </w:r>
    </w:p>
    <w:p w14:paraId="3790ABBA">
      <w:r>
        <w:br w:type="page"/>
      </w:r>
    </w:p>
    <w:p w14:paraId="002CD66B">
      <w:pPr>
        <w:spacing w:line="240" w:lineRule="auto"/>
        <w:jc w:val="center"/>
        <w:outlineLvl w:val="1"/>
      </w:pPr>
      <w:r>
        <w:rPr>
          <w:rFonts w:ascii="黑体" w:hAnsi="黑体" w:eastAsia="黑体"/>
          <w:sz w:val="32"/>
        </w:rPr>
        <w:t>第三部分 专业名词解释</w:t>
      </w:r>
    </w:p>
    <w:p w14:paraId="2675C35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9310AB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3C68A8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6CAB60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B037AC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91D79E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90235A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8630C7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5980E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1BB66D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824CC9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3D4ADC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99723F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23A87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E52DA1D">
      <w:r>
        <w:br w:type="page"/>
      </w:r>
    </w:p>
    <w:p w14:paraId="42B57404">
      <w:pPr>
        <w:spacing w:line="240" w:lineRule="auto"/>
        <w:jc w:val="center"/>
        <w:outlineLvl w:val="1"/>
      </w:pPr>
      <w:r>
        <w:rPr>
          <w:rFonts w:ascii="黑体" w:hAnsi="黑体" w:eastAsia="黑体"/>
          <w:sz w:val="32"/>
        </w:rPr>
        <w:t>第四部分 部门决算报表（见附表）</w:t>
      </w:r>
    </w:p>
    <w:p w14:paraId="78E56B09">
      <w:pPr>
        <w:spacing w:line="240" w:lineRule="auto"/>
        <w:ind w:firstLine="640"/>
        <w:jc w:val="both"/>
      </w:pPr>
      <w:r>
        <w:rPr>
          <w:rFonts w:ascii="仿宋_GB2312" w:hAnsi="仿宋_GB2312" w:eastAsia="仿宋_GB2312"/>
          <w:b w:val="0"/>
          <w:sz w:val="32"/>
        </w:rPr>
        <w:t>一、《收入支出决算总表》</w:t>
      </w:r>
    </w:p>
    <w:p w14:paraId="46CDA437">
      <w:pPr>
        <w:spacing w:line="240" w:lineRule="auto"/>
        <w:ind w:firstLine="640"/>
        <w:jc w:val="both"/>
      </w:pPr>
      <w:r>
        <w:rPr>
          <w:rFonts w:ascii="仿宋_GB2312" w:hAnsi="仿宋_GB2312" w:eastAsia="仿宋_GB2312"/>
          <w:b w:val="0"/>
          <w:sz w:val="32"/>
        </w:rPr>
        <w:t>二、《收入决算表》</w:t>
      </w:r>
    </w:p>
    <w:p w14:paraId="6BB064FD">
      <w:pPr>
        <w:spacing w:line="240" w:lineRule="auto"/>
        <w:ind w:firstLine="640"/>
        <w:jc w:val="both"/>
      </w:pPr>
      <w:r>
        <w:rPr>
          <w:rFonts w:ascii="仿宋_GB2312" w:hAnsi="仿宋_GB2312" w:eastAsia="仿宋_GB2312"/>
          <w:b w:val="0"/>
          <w:sz w:val="32"/>
        </w:rPr>
        <w:t>三、《支出决算表》</w:t>
      </w:r>
    </w:p>
    <w:p w14:paraId="1F6D5B28">
      <w:pPr>
        <w:spacing w:line="240" w:lineRule="auto"/>
        <w:ind w:firstLine="640"/>
        <w:jc w:val="both"/>
      </w:pPr>
      <w:r>
        <w:rPr>
          <w:rFonts w:ascii="仿宋_GB2312" w:hAnsi="仿宋_GB2312" w:eastAsia="仿宋_GB2312"/>
          <w:b w:val="0"/>
          <w:sz w:val="32"/>
        </w:rPr>
        <w:t>四、《财政拨款收入支出决算总表》</w:t>
      </w:r>
    </w:p>
    <w:p w14:paraId="7574F32D">
      <w:pPr>
        <w:spacing w:line="240" w:lineRule="auto"/>
        <w:ind w:firstLine="640"/>
        <w:jc w:val="both"/>
      </w:pPr>
      <w:r>
        <w:rPr>
          <w:rFonts w:ascii="仿宋_GB2312" w:hAnsi="仿宋_GB2312" w:eastAsia="仿宋_GB2312"/>
          <w:b w:val="0"/>
          <w:sz w:val="32"/>
        </w:rPr>
        <w:t>五、《一般公共预算财政拨款支出决算表》</w:t>
      </w:r>
    </w:p>
    <w:p w14:paraId="32590E57">
      <w:pPr>
        <w:spacing w:line="240" w:lineRule="auto"/>
        <w:ind w:firstLine="640"/>
        <w:jc w:val="both"/>
      </w:pPr>
      <w:r>
        <w:rPr>
          <w:rFonts w:ascii="仿宋_GB2312" w:hAnsi="仿宋_GB2312" w:eastAsia="仿宋_GB2312"/>
          <w:b w:val="0"/>
          <w:sz w:val="32"/>
        </w:rPr>
        <w:t>六、《一般公共预算财政拨款基本支出决算表》</w:t>
      </w:r>
    </w:p>
    <w:p w14:paraId="46A93D14">
      <w:pPr>
        <w:spacing w:line="240" w:lineRule="auto"/>
        <w:ind w:firstLine="640"/>
        <w:jc w:val="both"/>
      </w:pPr>
      <w:r>
        <w:rPr>
          <w:rFonts w:ascii="仿宋_GB2312" w:hAnsi="仿宋_GB2312" w:eastAsia="仿宋_GB2312"/>
          <w:b w:val="0"/>
          <w:sz w:val="32"/>
        </w:rPr>
        <w:t>七、《政府性基金预算财政拨款收入支出决算表》</w:t>
      </w:r>
    </w:p>
    <w:p w14:paraId="22FBF793">
      <w:pPr>
        <w:spacing w:line="240" w:lineRule="auto"/>
        <w:ind w:firstLine="640"/>
        <w:jc w:val="both"/>
      </w:pPr>
      <w:r>
        <w:rPr>
          <w:rFonts w:ascii="仿宋_GB2312" w:hAnsi="仿宋_GB2312" w:eastAsia="仿宋_GB2312"/>
          <w:b w:val="0"/>
          <w:sz w:val="32"/>
        </w:rPr>
        <w:t>八、《国有资本经营预算财政拨款收入支出决算表》</w:t>
      </w:r>
    </w:p>
    <w:p w14:paraId="37026EE9">
      <w:pPr>
        <w:spacing w:line="240" w:lineRule="auto"/>
        <w:ind w:firstLine="640"/>
        <w:jc w:val="both"/>
      </w:pPr>
      <w:r>
        <w:rPr>
          <w:rFonts w:ascii="仿宋_GB2312" w:hAnsi="仿宋_GB2312" w:eastAsia="仿宋_GB2312"/>
          <w:b w:val="0"/>
          <w:sz w:val="32"/>
        </w:rPr>
        <w:t>九、《财政拨款“三公”经费支出决算表》</w:t>
      </w:r>
    </w:p>
    <w:p w14:paraId="40011E02">
      <w:pPr>
        <w:spacing w:line="240" w:lineRule="auto"/>
        <w:ind w:firstLine="640"/>
        <w:jc w:val="both"/>
      </w:pPr>
    </w:p>
    <w:p w14:paraId="75A380C0">
      <w:pPr>
        <w:spacing w:line="240" w:lineRule="auto"/>
        <w:ind w:firstLine="640"/>
        <w:jc w:val="both"/>
      </w:pPr>
    </w:p>
    <w:p w14:paraId="076BB85E">
      <w:pPr>
        <w:spacing w:line="240" w:lineRule="auto"/>
        <w:ind w:firstLine="640"/>
        <w:jc w:val="both"/>
      </w:pPr>
    </w:p>
    <w:p w14:paraId="14EBAD3C">
      <w:pPr>
        <w:spacing w:line="240" w:lineRule="auto"/>
        <w:ind w:firstLine="640"/>
        <w:jc w:val="both"/>
      </w:pPr>
    </w:p>
    <w:p w14:paraId="236504D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133FCD"/>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9D3BC5"/>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6116</Words>
  <Characters>6843</Characters>
  <Lines>0</Lines>
  <Paragraphs>0</Paragraphs>
  <TotalTime>9</TotalTime>
  <ScaleCrop>false</ScaleCrop>
  <LinksUpToDate>false</LinksUpToDate>
  <CharactersWithSpaces>6890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2025-09-16T07:56:05Z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