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轮台县铁热克巴扎乡九年一贯制学校2024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F84424D">
      <w:r>
        <w:br w:type="page"/>
      </w:r>
    </w:p>
    <w:p w14:paraId="18A2FB00">
      <w:pPr>
        <w:spacing w:line="640" w:lineRule="exact"/>
        <w:jc w:val="center"/>
        <w:outlineLvl w:val="1"/>
      </w:pPr>
      <w:r>
        <w:rPr>
          <w:rFonts w:ascii="黑体" w:hAnsi="黑体" w:eastAsia="黑体"/>
          <w:sz w:val="32"/>
        </w:rPr>
        <w:t>第一部分 单位概况</w:t>
      </w:r>
    </w:p>
    <w:p w14:paraId="1E706D1E">
      <w:pPr>
        <w:spacing w:line="640" w:lineRule="exact"/>
        <w:ind w:firstLine="640"/>
        <w:jc w:val="both"/>
        <w:outlineLvl w:val="2"/>
      </w:pPr>
      <w:r>
        <w:rPr>
          <w:rFonts w:ascii="黑体" w:hAnsi="黑体" w:eastAsia="黑体"/>
          <w:sz w:val="32"/>
        </w:rPr>
        <w:t>一、主要职能</w:t>
      </w:r>
    </w:p>
    <w:p w14:paraId="182F44D4">
      <w:pPr>
        <w:spacing w:line="580" w:lineRule="exact"/>
        <w:ind w:firstLine="640"/>
        <w:jc w:val="both"/>
      </w:pPr>
      <w:r>
        <w:rPr>
          <w:rFonts w:ascii="仿宋_GB2312" w:hAnsi="仿宋_GB2312" w:eastAsia="仿宋_GB2312"/>
          <w:sz w:val="32"/>
        </w:rPr>
        <w:t>(一）坚持四项基本原则，认真贯彻执行党的路线、方针和政策；坚持正确的办学方向；认真执行教委</w:t>
      </w:r>
      <w:r>
        <w:rPr>
          <w:rFonts w:hint="eastAsia" w:ascii="仿宋_GB2312" w:hAnsi="仿宋_GB2312" w:eastAsia="仿宋_GB2312"/>
          <w:sz w:val="32"/>
          <w:lang w:val="en-US" w:eastAsia="zh-CN"/>
        </w:rPr>
        <w:t>颁发</w:t>
      </w:r>
      <w:r>
        <w:rPr>
          <w:rFonts w:ascii="仿宋_GB2312" w:hAnsi="仿宋_GB2312" w:eastAsia="仿宋_GB2312"/>
          <w:sz w:val="32"/>
        </w:rPr>
        <w:t>的小学思想品德教育大纲，采取生动有效的教育措施和方法进行以爱祖国、爱人民、爱劳动、爱科学、爱社会主义为中心的思想品德教育，为把小学生培养成“四有”公民打下初步的思想基础。</w:t>
      </w:r>
    </w:p>
    <w:p w14:paraId="5C8E5DC0">
      <w:pPr>
        <w:spacing w:line="580" w:lineRule="exact"/>
        <w:ind w:firstLine="640"/>
        <w:jc w:val="both"/>
      </w:pPr>
      <w:r>
        <w:rPr>
          <w:rFonts w:ascii="仿宋_GB2312" w:hAnsi="仿宋_GB2312" w:eastAsia="仿宋_GB2312"/>
          <w:sz w:val="32"/>
        </w:rPr>
        <w:t>（二）认真完成普及初等教育的任务，严格执行小学教学大纲，保证完成小学教育、教学计划，力争“四率”均达到要求；按教育规律办事，坚持“德、智、体、美、劳”全面发展；积极进行教育思想、教学内容、教学方法和教育手段的改革；为初中输送合格的新生。</w:t>
      </w:r>
    </w:p>
    <w:p w14:paraId="698783BF">
      <w:pPr>
        <w:spacing w:line="580" w:lineRule="exact"/>
        <w:ind w:firstLine="640"/>
        <w:jc w:val="both"/>
      </w:pPr>
      <w:r>
        <w:rPr>
          <w:rFonts w:ascii="仿宋_GB2312" w:hAnsi="仿宋_GB2312" w:eastAsia="仿宋_GB2312"/>
          <w:sz w:val="32"/>
        </w:rPr>
        <w:t>（三）积极开展以普及为主的课外群体活动和体育传统项目运动队的训练；开展以预防为主、防治结合的卫生保健工作，做好常见病、多发病的预防和矫治。</w:t>
      </w:r>
    </w:p>
    <w:p w14:paraId="1A926E87">
      <w:pPr>
        <w:spacing w:line="580" w:lineRule="exact"/>
        <w:ind w:firstLine="640"/>
        <w:jc w:val="both"/>
      </w:pPr>
      <w:r>
        <w:rPr>
          <w:rFonts w:ascii="仿宋_GB2312" w:hAnsi="仿宋_GB2312" w:eastAsia="仿宋_GB2312"/>
          <w:sz w:val="32"/>
        </w:rPr>
        <w:t>（四）对全校学生进行教书育人工作，坚持教育为社会主义现代化建设服务、为人民服务，坚持教育与社会实践相结合，以提高国民素质为根本宗旨，以培养学生的创新精神和实践能力为重点，努力造就全面发展的社会主义事业建设者和接班人，</w:t>
      </w:r>
      <w:r>
        <w:rPr>
          <w:rFonts w:hint="eastAsia" w:ascii="仿宋_GB2312" w:hAnsi="仿宋_GB2312" w:eastAsia="仿宋_GB2312"/>
          <w:sz w:val="32"/>
          <w:lang w:eastAsia="zh-CN"/>
        </w:rPr>
        <w:t>办好人民满意的教育</w:t>
      </w:r>
      <w:r>
        <w:rPr>
          <w:rFonts w:ascii="仿宋_GB2312" w:hAnsi="仿宋_GB2312" w:eastAsia="仿宋_GB2312"/>
          <w:sz w:val="32"/>
        </w:rPr>
        <w:t>。</w:t>
      </w:r>
    </w:p>
    <w:p w14:paraId="5CAF6769">
      <w:pPr>
        <w:spacing w:line="640" w:lineRule="exact"/>
        <w:ind w:firstLine="640"/>
        <w:jc w:val="both"/>
        <w:outlineLvl w:val="2"/>
      </w:pPr>
      <w:r>
        <w:rPr>
          <w:rFonts w:ascii="黑体" w:hAnsi="黑体" w:eastAsia="黑体"/>
          <w:sz w:val="32"/>
        </w:rPr>
        <w:t>二、机构设置及人员情况</w:t>
      </w:r>
    </w:p>
    <w:p w14:paraId="17B8A3E5">
      <w:pPr>
        <w:spacing w:line="580" w:lineRule="exact"/>
        <w:ind w:firstLine="640"/>
        <w:jc w:val="both"/>
      </w:pPr>
      <w:r>
        <w:rPr>
          <w:rFonts w:ascii="仿宋_GB2312" w:hAnsi="仿宋_GB2312" w:eastAsia="仿宋_GB2312"/>
          <w:sz w:val="32"/>
        </w:rPr>
        <w:t>轮台县铁热克巴扎乡九年一贯制学校2024年度，实有人数181人，其中：在职人员147人，减少2人；离休人员0人，增加0人；退休人员34人,增加0人。</w:t>
      </w:r>
    </w:p>
    <w:p w14:paraId="60C1C6C5">
      <w:pPr>
        <w:spacing w:line="580" w:lineRule="exact"/>
        <w:ind w:firstLine="640"/>
        <w:jc w:val="both"/>
      </w:pPr>
      <w:r>
        <w:rPr>
          <w:rFonts w:ascii="仿宋_GB2312" w:hAnsi="仿宋_GB2312" w:eastAsia="仿宋_GB2312"/>
          <w:sz w:val="32"/>
        </w:rPr>
        <w:t>轮台县铁热克巴扎乡九年一贯制学校无下属预算单位，下设7个科室，分别是：学校办公室、教务处、教研室、工会、总务处、德育处、团委。</w:t>
      </w:r>
    </w:p>
    <w:p w14:paraId="28030DE8">
      <w:r>
        <w:br w:type="page"/>
      </w:r>
    </w:p>
    <w:p w14:paraId="3F70B36A">
      <w:pPr>
        <w:spacing w:line="240" w:lineRule="auto"/>
        <w:jc w:val="center"/>
        <w:outlineLvl w:val="1"/>
      </w:pPr>
      <w:r>
        <w:rPr>
          <w:rFonts w:ascii="黑体" w:hAnsi="黑体" w:eastAsia="黑体"/>
          <w:sz w:val="32"/>
        </w:rPr>
        <w:t>第二部分 部门决算情况说明</w:t>
      </w:r>
    </w:p>
    <w:p w14:paraId="3CA89FB5">
      <w:pPr>
        <w:spacing w:line="640" w:lineRule="exact"/>
        <w:ind w:firstLine="640"/>
        <w:jc w:val="both"/>
        <w:outlineLvl w:val="2"/>
      </w:pPr>
      <w:r>
        <w:rPr>
          <w:rFonts w:ascii="黑体" w:hAnsi="黑体" w:eastAsia="黑体"/>
          <w:sz w:val="32"/>
        </w:rPr>
        <w:t>一、收入支出决算总体情况说明</w:t>
      </w:r>
    </w:p>
    <w:p w14:paraId="03282D9D">
      <w:pPr>
        <w:spacing w:line="580" w:lineRule="exact"/>
        <w:ind w:firstLine="640"/>
        <w:jc w:val="both"/>
      </w:pPr>
      <w:r>
        <w:rPr>
          <w:rFonts w:ascii="仿宋_GB2312" w:hAnsi="仿宋_GB2312" w:eastAsia="仿宋_GB2312"/>
          <w:b/>
          <w:sz w:val="32"/>
        </w:rPr>
        <w:t>2024年度收入总计2,860.49万元，</w:t>
      </w:r>
      <w:r>
        <w:rPr>
          <w:rFonts w:ascii="仿宋_GB2312" w:hAnsi="仿宋_GB2312" w:eastAsia="仿宋_GB2312"/>
          <w:b w:val="0"/>
          <w:sz w:val="32"/>
        </w:rPr>
        <w:t>其中：本年收入合计2,859.92万元，使用非财政拨款结余（含专用结余）0.00万元，年初结转和结余0.58万元。</w:t>
      </w:r>
    </w:p>
    <w:p w14:paraId="22938032">
      <w:pPr>
        <w:spacing w:line="580" w:lineRule="exact"/>
        <w:ind w:firstLine="640"/>
        <w:jc w:val="both"/>
      </w:pPr>
      <w:r>
        <w:rPr>
          <w:rFonts w:ascii="仿宋_GB2312" w:hAnsi="仿宋_GB2312" w:eastAsia="仿宋_GB2312"/>
          <w:b/>
          <w:sz w:val="32"/>
        </w:rPr>
        <w:t>2024年度支出总计2,860.49万元，</w:t>
      </w:r>
      <w:r>
        <w:rPr>
          <w:rFonts w:ascii="仿宋_GB2312" w:hAnsi="仿宋_GB2312" w:eastAsia="仿宋_GB2312"/>
          <w:b w:val="0"/>
          <w:sz w:val="32"/>
        </w:rPr>
        <w:t>其中：本年支出合计2,850.99万元，结余分配0.00万元，年末结转和结余9.51万元。</w:t>
      </w:r>
    </w:p>
    <w:p w14:paraId="5E0B134D">
      <w:pPr>
        <w:spacing w:line="580" w:lineRule="exact"/>
        <w:ind w:firstLine="640"/>
        <w:jc w:val="both"/>
      </w:pPr>
      <w:r>
        <w:rPr>
          <w:rFonts w:ascii="仿宋_GB2312" w:hAnsi="仿宋_GB2312" w:eastAsia="仿宋_GB2312"/>
          <w:b w:val="0"/>
          <w:sz w:val="32"/>
        </w:rPr>
        <w:t>收入支出总体与上年相比，减少118.74万元，下降3.99%，主要原因是：本年度长期聘用人员24人9月移交轮台县第一小学管理，相关人员经费较上年减少；本年度办公费、教学楼取暖费、教师培训费减少。</w:t>
      </w:r>
    </w:p>
    <w:p w14:paraId="48D85D64">
      <w:pPr>
        <w:spacing w:line="640" w:lineRule="exact"/>
        <w:ind w:firstLine="640"/>
        <w:jc w:val="both"/>
        <w:outlineLvl w:val="2"/>
      </w:pPr>
      <w:r>
        <w:rPr>
          <w:rFonts w:ascii="黑体" w:hAnsi="黑体" w:eastAsia="黑体"/>
          <w:sz w:val="32"/>
        </w:rPr>
        <w:t>二、收入决算情况说明</w:t>
      </w:r>
    </w:p>
    <w:p w14:paraId="041EEE69">
      <w:pPr>
        <w:spacing w:line="580" w:lineRule="exact"/>
        <w:ind w:firstLine="640"/>
        <w:jc w:val="both"/>
      </w:pPr>
      <w:r>
        <w:rPr>
          <w:rFonts w:ascii="仿宋_GB2312" w:hAnsi="仿宋_GB2312" w:eastAsia="仿宋_GB2312"/>
          <w:b/>
          <w:sz w:val="32"/>
        </w:rPr>
        <w:t>本年收入2,859.92万元，</w:t>
      </w:r>
      <w:r>
        <w:rPr>
          <w:rFonts w:ascii="仿宋_GB2312" w:hAnsi="仿宋_GB2312" w:eastAsia="仿宋_GB2312"/>
          <w:b w:val="0"/>
          <w:sz w:val="32"/>
        </w:rPr>
        <w:t>其中：财政拨款收入2,848.70万元，占99.61%；上级补助收入0.00万元，占0.00%；事业收入0.00万元，占0.00%；经营收入0.00万元，占0.00%；附属单位上缴收入0.00万元，占0.00%；其他收入11.22万元，占0.39%。</w:t>
      </w:r>
    </w:p>
    <w:p w14:paraId="1718505B">
      <w:pPr>
        <w:spacing w:line="640" w:lineRule="exact"/>
        <w:ind w:firstLine="640"/>
        <w:jc w:val="both"/>
        <w:outlineLvl w:val="2"/>
      </w:pPr>
      <w:r>
        <w:rPr>
          <w:rFonts w:ascii="黑体" w:hAnsi="黑体" w:eastAsia="黑体"/>
          <w:sz w:val="32"/>
        </w:rPr>
        <w:t>三、支出决算情况说明</w:t>
      </w:r>
    </w:p>
    <w:p w14:paraId="4097B05B">
      <w:pPr>
        <w:spacing w:line="580" w:lineRule="exact"/>
        <w:ind w:firstLine="640"/>
        <w:jc w:val="both"/>
      </w:pPr>
      <w:r>
        <w:rPr>
          <w:rFonts w:ascii="仿宋_GB2312" w:hAnsi="仿宋_GB2312" w:eastAsia="仿宋_GB2312"/>
          <w:b/>
          <w:sz w:val="32"/>
        </w:rPr>
        <w:t>本年支出2,850.99万元，</w:t>
      </w:r>
      <w:r>
        <w:rPr>
          <w:rFonts w:ascii="仿宋_GB2312" w:hAnsi="仿宋_GB2312" w:eastAsia="仿宋_GB2312"/>
          <w:b w:val="0"/>
          <w:sz w:val="32"/>
        </w:rPr>
        <w:t>其中：基本支出2,850.99万元，占100.00%；项目支出0.00万元，占0.00%；上缴上级支出0.00万元，占0.00%；经营支出0.00万元，占0.00%；对附属单位补助支出0.00万元，占0.00%。</w:t>
      </w:r>
    </w:p>
    <w:p w14:paraId="75F8FF3E">
      <w:pPr>
        <w:spacing w:line="640" w:lineRule="exact"/>
        <w:ind w:firstLine="640"/>
        <w:jc w:val="both"/>
        <w:outlineLvl w:val="2"/>
      </w:pPr>
      <w:r>
        <w:rPr>
          <w:rFonts w:ascii="黑体" w:hAnsi="黑体" w:eastAsia="黑体"/>
          <w:sz w:val="32"/>
        </w:rPr>
        <w:t>四、财政拨款收入支出决算总体情况说明</w:t>
      </w:r>
    </w:p>
    <w:p w14:paraId="0A95FD40">
      <w:pPr>
        <w:spacing w:line="580" w:lineRule="exact"/>
        <w:ind w:firstLine="640"/>
        <w:jc w:val="both"/>
      </w:pPr>
      <w:r>
        <w:rPr>
          <w:rFonts w:ascii="仿宋_GB2312" w:hAnsi="仿宋_GB2312" w:eastAsia="仿宋_GB2312"/>
          <w:b/>
          <w:sz w:val="32"/>
        </w:rPr>
        <w:t>2024年度财政拨款收入总计2,848.70万元，</w:t>
      </w:r>
      <w:r>
        <w:rPr>
          <w:rFonts w:ascii="仿宋_GB2312" w:hAnsi="仿宋_GB2312" w:eastAsia="仿宋_GB2312"/>
          <w:b w:val="0"/>
          <w:sz w:val="32"/>
        </w:rPr>
        <w:t>其中：年初财政拨款结转和结余0.00万元，本年财政拨款收入2,848.70万元。</w:t>
      </w:r>
      <w:r>
        <w:rPr>
          <w:rFonts w:ascii="仿宋_GB2312" w:hAnsi="仿宋_GB2312" w:eastAsia="仿宋_GB2312"/>
          <w:b/>
          <w:sz w:val="32"/>
        </w:rPr>
        <w:t>财政拨款支出总计2,848.70万元，</w:t>
      </w:r>
      <w:r>
        <w:rPr>
          <w:rFonts w:ascii="仿宋_GB2312" w:hAnsi="仿宋_GB2312" w:eastAsia="仿宋_GB2312"/>
          <w:b w:val="0"/>
          <w:sz w:val="32"/>
        </w:rPr>
        <w:t>其中：年末财政拨款结转和结余0.00万元，本年财政拨款支出2,848.70万元。</w:t>
      </w:r>
    </w:p>
    <w:p w14:paraId="7907A47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减少129.92万元，下降4.36%，主要原因是：本年度长期聘用人员24人9月移交轮台县第一小学管理，相关人员经费较上年减少；本年度办公费、教学楼取暖费、教师培训费减少。</w:t>
      </w:r>
      <w:r>
        <w:rPr>
          <w:rFonts w:ascii="仿宋_GB2312" w:hAnsi="仿宋_GB2312" w:eastAsia="仿宋_GB2312"/>
          <w:b/>
          <w:sz w:val="32"/>
        </w:rPr>
        <w:t>与年初预算相比，</w:t>
      </w:r>
      <w:r>
        <w:rPr>
          <w:rFonts w:ascii="仿宋_GB2312" w:hAnsi="仿宋_GB2312" w:eastAsia="仿宋_GB2312"/>
          <w:b w:val="0"/>
          <w:sz w:val="32"/>
        </w:rPr>
        <w:t>年初预算数2,909.24万元，决算数2,848.70万元，预决算差异率-2.08%，主要原因是：年中长期聘用人员24人9月移交轮台县第一小学管理，调减相关人员经费，导致预决算存在差异。</w:t>
      </w:r>
    </w:p>
    <w:p w14:paraId="2679FFD3">
      <w:pPr>
        <w:spacing w:line="640" w:lineRule="exact"/>
        <w:ind w:firstLine="640"/>
        <w:jc w:val="both"/>
        <w:outlineLvl w:val="2"/>
      </w:pPr>
      <w:r>
        <w:rPr>
          <w:rFonts w:ascii="黑体" w:hAnsi="黑体" w:eastAsia="黑体"/>
          <w:sz w:val="32"/>
        </w:rPr>
        <w:t>五、一般公共预算财政拨款支出决算情况说明</w:t>
      </w:r>
    </w:p>
    <w:p w14:paraId="4C3D0865">
      <w:pPr>
        <w:spacing w:line="640" w:lineRule="exact"/>
        <w:ind w:firstLine="640"/>
        <w:jc w:val="both"/>
        <w:outlineLvl w:val="3"/>
      </w:pPr>
      <w:r>
        <w:rPr>
          <w:rFonts w:ascii="楷体_GB2312" w:hAnsi="楷体_GB2312" w:eastAsia="楷体_GB2312"/>
          <w:b/>
          <w:sz w:val="32"/>
        </w:rPr>
        <w:t>（一）一般公共预算财政拨款支出决算总体情况</w:t>
      </w:r>
    </w:p>
    <w:p w14:paraId="730EC808">
      <w:pPr>
        <w:spacing w:line="580" w:lineRule="exact"/>
        <w:ind w:firstLine="640"/>
        <w:jc w:val="both"/>
      </w:pPr>
      <w:r>
        <w:rPr>
          <w:rFonts w:ascii="仿宋_GB2312" w:hAnsi="仿宋_GB2312" w:eastAsia="仿宋_GB2312"/>
          <w:b/>
          <w:sz w:val="32"/>
        </w:rPr>
        <w:t>2024年度一般公共预算财政拨款支出2,848.70万元，</w:t>
      </w:r>
      <w:r>
        <w:rPr>
          <w:rFonts w:ascii="仿宋_GB2312" w:hAnsi="仿宋_GB2312" w:eastAsia="仿宋_GB2312"/>
          <w:b w:val="0"/>
          <w:sz w:val="32"/>
        </w:rPr>
        <w:t>占本年支出合计的99.92%。</w:t>
      </w:r>
      <w:r>
        <w:rPr>
          <w:rFonts w:ascii="仿宋_GB2312" w:hAnsi="仿宋_GB2312" w:eastAsia="仿宋_GB2312"/>
          <w:b/>
          <w:sz w:val="32"/>
        </w:rPr>
        <w:t>与上年相比，</w:t>
      </w:r>
      <w:r>
        <w:rPr>
          <w:rFonts w:ascii="仿宋_GB2312" w:hAnsi="仿宋_GB2312" w:eastAsia="仿宋_GB2312"/>
          <w:b w:val="0"/>
          <w:sz w:val="32"/>
        </w:rPr>
        <w:t>减少129.92万元，下降4.36%，主要原因是：本年度长期聘用人员24人9月移交轮台县第一小学管理，相关人员经费较上年减少；本年度办公费、教学楼取暖费、教师培训费减少。</w:t>
      </w:r>
      <w:r>
        <w:rPr>
          <w:rFonts w:ascii="仿宋_GB2312" w:hAnsi="仿宋_GB2312" w:eastAsia="仿宋_GB2312"/>
          <w:b/>
          <w:sz w:val="32"/>
        </w:rPr>
        <w:t>与年初预算相比,</w:t>
      </w:r>
      <w:r>
        <w:rPr>
          <w:rFonts w:ascii="仿宋_GB2312" w:hAnsi="仿宋_GB2312" w:eastAsia="仿宋_GB2312"/>
          <w:b w:val="0"/>
          <w:sz w:val="32"/>
        </w:rPr>
        <w:t>年初预算数2,909.24万元，决算数2,848.70万元，预决算差异率-2.08%，主要原因是：年中长期聘用人员24人9月移交轮台县第一小学管理，调减相关人员经费，导致预决算存在差异。</w:t>
      </w:r>
    </w:p>
    <w:p w14:paraId="6A76D5E0">
      <w:pPr>
        <w:spacing w:line="640" w:lineRule="exact"/>
        <w:ind w:firstLine="640"/>
        <w:jc w:val="both"/>
        <w:outlineLvl w:val="3"/>
      </w:pPr>
      <w:r>
        <w:rPr>
          <w:rFonts w:ascii="楷体_GB2312" w:hAnsi="楷体_GB2312" w:eastAsia="楷体_GB2312"/>
          <w:b/>
          <w:sz w:val="32"/>
        </w:rPr>
        <w:t>（二）一般公共预算财政拨款支出决算结构情况</w:t>
      </w:r>
    </w:p>
    <w:p w14:paraId="3B9CA38B">
      <w:pPr>
        <w:spacing w:line="580" w:lineRule="exact"/>
        <w:ind w:firstLine="640"/>
        <w:jc w:val="both"/>
      </w:pPr>
      <w:r>
        <w:rPr>
          <w:rFonts w:ascii="仿宋_GB2312" w:hAnsi="仿宋_GB2312" w:eastAsia="仿宋_GB2312"/>
          <w:b w:val="0"/>
          <w:sz w:val="32"/>
        </w:rPr>
        <w:t>1.教育支出(类)2,846.71万元,占99.93%。</w:t>
      </w:r>
    </w:p>
    <w:p w14:paraId="136A17B7">
      <w:pPr>
        <w:spacing w:line="580" w:lineRule="exact"/>
        <w:ind w:firstLine="640"/>
        <w:jc w:val="both"/>
      </w:pPr>
      <w:r>
        <w:rPr>
          <w:rFonts w:ascii="仿宋_GB2312" w:hAnsi="仿宋_GB2312" w:eastAsia="仿宋_GB2312"/>
          <w:b w:val="0"/>
          <w:sz w:val="32"/>
        </w:rPr>
        <w:t>2.卫生健康支出(类)1.98万元,占0.07%。</w:t>
      </w:r>
    </w:p>
    <w:p w14:paraId="742105F3">
      <w:pPr>
        <w:spacing w:line="640" w:lineRule="exact"/>
        <w:ind w:firstLine="640"/>
        <w:jc w:val="both"/>
        <w:outlineLvl w:val="3"/>
      </w:pPr>
      <w:r>
        <w:rPr>
          <w:rFonts w:ascii="楷体_GB2312" w:hAnsi="楷体_GB2312" w:eastAsia="楷体_GB2312"/>
          <w:b/>
          <w:sz w:val="32"/>
        </w:rPr>
        <w:t>（三）一般公共预算财政拨款支出决算具体情况</w:t>
      </w:r>
    </w:p>
    <w:p w14:paraId="79914FDE">
      <w:pPr>
        <w:spacing w:line="580" w:lineRule="exact"/>
        <w:ind w:firstLine="640"/>
        <w:jc w:val="both"/>
      </w:pPr>
      <w:r>
        <w:rPr>
          <w:rFonts w:ascii="仿宋_GB2312" w:hAnsi="仿宋_GB2312" w:eastAsia="仿宋_GB2312"/>
          <w:b w:val="0"/>
          <w:sz w:val="32"/>
        </w:rPr>
        <w:t>1.教育支出(类)普通教育(款)学前教育(项):支出决算数为37.98万元，比上年决算减少54.69万元，下降59.02%,主要原因是：本年度减少办公费、教学楼取暖费、教师培训费支出。</w:t>
      </w:r>
    </w:p>
    <w:p w14:paraId="772853F9">
      <w:pPr>
        <w:spacing w:line="580" w:lineRule="exact"/>
        <w:ind w:firstLine="640"/>
        <w:jc w:val="both"/>
      </w:pPr>
      <w:r>
        <w:rPr>
          <w:rFonts w:ascii="仿宋_GB2312" w:hAnsi="仿宋_GB2312" w:eastAsia="仿宋_GB2312"/>
          <w:b w:val="0"/>
          <w:sz w:val="32"/>
        </w:rPr>
        <w:t>2.教育支出(类)普通教育(款)小学教育(项):支出决算数为2,382.86万元，比上年决算减少53.97万元，下降2.21%,主要原因是：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本年度长期聘用人员24人，9月移交给轮台县第一小学管理，相关人员经费较上年减少。</w:t>
      </w:r>
    </w:p>
    <w:p w14:paraId="0E29B386">
      <w:pPr>
        <w:spacing w:line="580" w:lineRule="exact"/>
        <w:ind w:firstLine="640"/>
        <w:jc w:val="both"/>
      </w:pPr>
      <w:r>
        <w:rPr>
          <w:rFonts w:ascii="仿宋_GB2312" w:hAnsi="仿宋_GB2312" w:eastAsia="仿宋_GB2312"/>
          <w:b w:val="0"/>
          <w:sz w:val="32"/>
        </w:rPr>
        <w:t>3.教育支出(类)普通教育(款)初中教育(项):支出决算数为425.87万元，比上年决算减少23.25万元，下降5.18%,主要原因是：本年度减少取暖费、维修维护费支出。</w:t>
      </w:r>
    </w:p>
    <w:p w14:paraId="6B7D9519">
      <w:pPr>
        <w:spacing w:line="580" w:lineRule="exact"/>
        <w:ind w:firstLine="640"/>
        <w:jc w:val="both"/>
      </w:pPr>
      <w:r>
        <w:rPr>
          <w:rFonts w:ascii="仿宋_GB2312" w:hAnsi="仿宋_GB2312" w:eastAsia="仿宋_GB2312"/>
          <w:b w:val="0"/>
          <w:sz w:val="32"/>
        </w:rPr>
        <w:t>4.卫生健康支出(类)公共卫生(款)重大公共卫生服务(项):支出决算数为1.98万元，比上年决算增加1.98万元，增长100.00%,主要原因是：本年度学生伙食费增加。</w:t>
      </w:r>
    </w:p>
    <w:p w14:paraId="2666DBF0">
      <w:pPr>
        <w:spacing w:line="640" w:lineRule="exact"/>
        <w:ind w:firstLine="640"/>
        <w:jc w:val="both"/>
        <w:outlineLvl w:val="2"/>
      </w:pPr>
      <w:r>
        <w:rPr>
          <w:rFonts w:ascii="黑体" w:hAnsi="黑体" w:eastAsia="黑体"/>
          <w:sz w:val="32"/>
        </w:rPr>
        <w:t>六、一般公共预算财政拨款基本支出决算情况说明</w:t>
      </w:r>
    </w:p>
    <w:p w14:paraId="513A49C6">
      <w:pPr>
        <w:spacing w:line="580" w:lineRule="exact"/>
        <w:ind w:firstLine="640"/>
        <w:jc w:val="both"/>
      </w:pPr>
      <w:r>
        <w:rPr>
          <w:rFonts w:ascii="仿宋_GB2312" w:hAnsi="仿宋_GB2312" w:eastAsia="仿宋_GB2312"/>
          <w:b w:val="0"/>
          <w:sz w:val="32"/>
        </w:rPr>
        <w:t>2024年度一般公共预算财政拨款基本支出2,848.70万元，其中：</w:t>
      </w:r>
      <w:r>
        <w:rPr>
          <w:rFonts w:ascii="仿宋_GB2312" w:hAnsi="仿宋_GB2312" w:eastAsia="仿宋_GB2312"/>
          <w:b/>
          <w:sz w:val="32"/>
        </w:rPr>
        <w:t>人员经费2,655.14万元，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14:paraId="0E837214">
      <w:pPr>
        <w:spacing w:line="580" w:lineRule="exact"/>
        <w:ind w:firstLine="640"/>
        <w:jc w:val="both"/>
      </w:pPr>
      <w:r>
        <w:rPr>
          <w:rFonts w:ascii="仿宋_GB2312" w:hAnsi="仿宋_GB2312" w:eastAsia="仿宋_GB2312"/>
          <w:b/>
          <w:sz w:val="32"/>
        </w:rPr>
        <w:t>公用经费193.55万元，</w:t>
      </w:r>
      <w:r>
        <w:rPr>
          <w:rFonts w:ascii="仿宋_GB2312" w:hAnsi="仿宋_GB2312" w:eastAsia="仿宋_GB2312"/>
          <w:b w:val="0"/>
          <w:sz w:val="32"/>
        </w:rPr>
        <w:t>包括：办公费、印刷费、水费、电费、邮电费、取暖费、物业管理费、差旅费、维修（护）费、培训费、专用材料费、委托业务费、其他交通费用、办公设备购置。</w:t>
      </w:r>
    </w:p>
    <w:p w14:paraId="02FEB3CC">
      <w:pPr>
        <w:spacing w:line="640" w:lineRule="exact"/>
        <w:ind w:firstLine="640"/>
        <w:jc w:val="both"/>
        <w:outlineLvl w:val="2"/>
      </w:pPr>
      <w:r>
        <w:rPr>
          <w:rFonts w:ascii="黑体" w:hAnsi="黑体" w:eastAsia="黑体"/>
          <w:sz w:val="32"/>
        </w:rPr>
        <w:t>七、政府性基金预算财政拨款收入支出决算情况说明</w:t>
      </w:r>
    </w:p>
    <w:p w14:paraId="693398F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050C05E">
      <w:pPr>
        <w:spacing w:line="640" w:lineRule="exact"/>
        <w:ind w:firstLine="640"/>
        <w:jc w:val="both"/>
        <w:outlineLvl w:val="2"/>
      </w:pPr>
      <w:r>
        <w:rPr>
          <w:rFonts w:ascii="黑体" w:hAnsi="黑体" w:eastAsia="黑体"/>
          <w:sz w:val="32"/>
        </w:rPr>
        <w:t>八、国有资本经营预算财政拨款收入支出决算情况说明</w:t>
      </w:r>
    </w:p>
    <w:p w14:paraId="633A8FC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E8E2AF2">
      <w:pPr>
        <w:spacing w:line="640" w:lineRule="exact"/>
        <w:ind w:firstLine="640"/>
        <w:jc w:val="both"/>
        <w:outlineLvl w:val="2"/>
      </w:pPr>
      <w:r>
        <w:rPr>
          <w:rFonts w:ascii="黑体" w:hAnsi="黑体" w:eastAsia="黑体"/>
          <w:sz w:val="32"/>
        </w:rPr>
        <w:t>九、财政拨款“三公”经费支出决算情况说明</w:t>
      </w:r>
    </w:p>
    <w:p w14:paraId="192CD11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59628F2">
      <w:pPr>
        <w:spacing w:line="580" w:lineRule="exact"/>
        <w:ind w:firstLine="640"/>
        <w:jc w:val="both"/>
      </w:pPr>
      <w:r>
        <w:rPr>
          <w:rFonts w:ascii="仿宋_GB2312" w:hAnsi="仿宋_GB2312" w:eastAsia="仿宋_GB2312"/>
          <w:b/>
          <w:sz w:val="32"/>
        </w:rPr>
        <w:t>具体情况如下：</w:t>
      </w:r>
    </w:p>
    <w:p w14:paraId="5F548B7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41A2EC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06884F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7418AF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0403984">
      <w:pPr>
        <w:spacing w:line="640" w:lineRule="exact"/>
        <w:ind w:firstLine="640"/>
        <w:jc w:val="both"/>
        <w:outlineLvl w:val="2"/>
      </w:pPr>
      <w:r>
        <w:rPr>
          <w:rFonts w:ascii="黑体" w:hAnsi="黑体" w:eastAsia="黑体"/>
          <w:sz w:val="32"/>
        </w:rPr>
        <w:t>十、其他重要事项的情况说明</w:t>
      </w:r>
    </w:p>
    <w:p w14:paraId="5279AE2A">
      <w:pPr>
        <w:spacing w:line="640" w:lineRule="exact"/>
        <w:ind w:firstLine="640"/>
        <w:jc w:val="both"/>
        <w:outlineLvl w:val="3"/>
      </w:pPr>
      <w:r>
        <w:rPr>
          <w:rFonts w:ascii="楷体_GB2312" w:hAnsi="楷体_GB2312" w:eastAsia="楷体_GB2312"/>
          <w:b/>
          <w:sz w:val="32"/>
        </w:rPr>
        <w:t>（一）机关运行经费及公用经费支出情况</w:t>
      </w:r>
    </w:p>
    <w:p w14:paraId="54F64789">
      <w:pPr>
        <w:spacing w:line="580" w:lineRule="exact"/>
        <w:ind w:firstLine="640"/>
        <w:jc w:val="both"/>
      </w:pPr>
      <w:r>
        <w:rPr>
          <w:rFonts w:ascii="仿宋_GB2312" w:hAnsi="仿宋_GB2312" w:eastAsia="仿宋_GB2312"/>
          <w:b w:val="0"/>
          <w:sz w:val="32"/>
        </w:rPr>
        <w:t>2024年度轮台县铁热克巴扎乡九年一贯制学校（事业单位）公用经费支出193.55万元，比上年减少56.03万元，下降22.45%，主要原因是：本年度办公费、教学楼取暖费、教师培训费减少。</w:t>
      </w:r>
    </w:p>
    <w:p w14:paraId="3C939808">
      <w:pPr>
        <w:spacing w:line="640" w:lineRule="exact"/>
        <w:ind w:firstLine="640"/>
        <w:jc w:val="both"/>
        <w:outlineLvl w:val="3"/>
      </w:pPr>
      <w:r>
        <w:rPr>
          <w:rFonts w:ascii="楷体_GB2312" w:hAnsi="楷体_GB2312" w:eastAsia="楷体_GB2312"/>
          <w:b/>
          <w:sz w:val="32"/>
        </w:rPr>
        <w:t>（二）政府采购情况</w:t>
      </w:r>
    </w:p>
    <w:p w14:paraId="1C0E3148">
      <w:pPr>
        <w:spacing w:line="580" w:lineRule="exact"/>
        <w:ind w:firstLine="640"/>
        <w:jc w:val="both"/>
      </w:pPr>
      <w:r>
        <w:rPr>
          <w:rFonts w:ascii="仿宋_GB2312" w:hAnsi="仿宋_GB2312" w:eastAsia="仿宋_GB2312"/>
          <w:b w:val="0"/>
          <w:sz w:val="32"/>
        </w:rPr>
        <w:t>2024年度政府采购支出总额148.98万元，其中：政府采购货物支出104.39万元、政府采购工程支出5.12万元、政府采购服务支出39.47万元。</w:t>
      </w:r>
    </w:p>
    <w:p w14:paraId="0F1534B0">
      <w:pPr>
        <w:spacing w:line="580" w:lineRule="exact"/>
        <w:ind w:firstLine="640"/>
        <w:jc w:val="both"/>
      </w:pPr>
      <w:r>
        <w:rPr>
          <w:rFonts w:ascii="仿宋_GB2312" w:hAnsi="仿宋_GB2312" w:eastAsia="仿宋_GB2312"/>
          <w:b w:val="0"/>
          <w:sz w:val="32"/>
        </w:rPr>
        <w:t>授予中小企业合同金额99.43万元，占政府采购支出总额的66.74%，其中：授予小微企业合同金额99.14万元，占政府采购支出总额的66.55%。</w:t>
      </w:r>
    </w:p>
    <w:p w14:paraId="18F17398">
      <w:pPr>
        <w:spacing w:line="640" w:lineRule="exact"/>
        <w:ind w:firstLine="640"/>
        <w:jc w:val="both"/>
        <w:outlineLvl w:val="3"/>
      </w:pPr>
      <w:r>
        <w:rPr>
          <w:rFonts w:ascii="楷体_GB2312" w:hAnsi="楷体_GB2312" w:eastAsia="楷体_GB2312"/>
          <w:b/>
          <w:sz w:val="32"/>
        </w:rPr>
        <w:t>（三）国有资产占用情况说明</w:t>
      </w:r>
    </w:p>
    <w:p w14:paraId="58A38288">
      <w:pPr>
        <w:spacing w:line="580" w:lineRule="exact"/>
        <w:ind w:firstLine="640"/>
        <w:jc w:val="both"/>
      </w:pPr>
      <w:r>
        <w:rPr>
          <w:rFonts w:ascii="仿宋_GB2312" w:hAnsi="仿宋_GB2312" w:eastAsia="仿宋_GB2312"/>
          <w:b w:val="0"/>
          <w:sz w:val="32"/>
        </w:rPr>
        <w:t>截至2024年12月31日，房屋1,986.60平方米，价值99.88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1829365">
      <w:pPr>
        <w:spacing w:line="640" w:lineRule="exact"/>
        <w:ind w:firstLine="640"/>
        <w:jc w:val="both"/>
        <w:outlineLvl w:val="2"/>
      </w:pPr>
      <w:r>
        <w:rPr>
          <w:rFonts w:ascii="黑体" w:hAnsi="黑体" w:eastAsia="黑体"/>
          <w:sz w:val="32"/>
        </w:rPr>
        <w:t>十一、预算绩效的情况说明</w:t>
      </w:r>
    </w:p>
    <w:p w14:paraId="0ACACAF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2,860.49万元，实际执行总额2,850.99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无项目绩效自评表。下一步改进措施：</w:t>
      </w:r>
      <w:bookmarkStart w:id="0" w:name="_GoBack"/>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无项目绩效自评表。具体附整体支出绩效自评表。</w:t>
      </w:r>
    </w:p>
    <w:bookmarkEnd w:id="0"/>
    <w:p w14:paraId="61CCCE4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A4B56B0">
        <w:tblPrEx>
          <w:tblCellMar>
            <w:top w:w="0" w:type="dxa"/>
            <w:left w:w="108" w:type="dxa"/>
            <w:bottom w:w="0" w:type="dxa"/>
            <w:right w:w="108" w:type="dxa"/>
          </w:tblCellMar>
        </w:tblPrEx>
        <w:tc>
          <w:tcPr>
            <w:tcW w:w="8840" w:type="dxa"/>
            <w:gridSpan w:val="8"/>
            <w:vAlign w:val="center"/>
          </w:tcPr>
          <w:p w14:paraId="4F2C29DC">
            <w:pPr>
              <w:jc w:val="center"/>
            </w:pPr>
            <w:r>
              <w:rPr>
                <w:rFonts w:ascii="宋体" w:hAnsi="宋体" w:eastAsia="宋体"/>
                <w:sz w:val="24"/>
              </w:rPr>
              <w:t>单位整体支出绩效自评表</w:t>
            </w:r>
          </w:p>
        </w:tc>
      </w:tr>
      <w:tr w14:paraId="576BC72B">
        <w:tblPrEx>
          <w:tblCellMar>
            <w:top w:w="0" w:type="dxa"/>
            <w:left w:w="108" w:type="dxa"/>
            <w:bottom w:w="0" w:type="dxa"/>
            <w:right w:w="108" w:type="dxa"/>
          </w:tblCellMar>
        </w:tblPrEx>
        <w:tc>
          <w:tcPr>
            <w:tcW w:w="8840" w:type="dxa"/>
            <w:gridSpan w:val="8"/>
            <w:vAlign w:val="center"/>
          </w:tcPr>
          <w:p w14:paraId="1C64B689">
            <w:pPr>
              <w:jc w:val="center"/>
            </w:pPr>
            <w:r>
              <w:rPr>
                <w:rFonts w:ascii="宋体" w:hAnsi="宋体" w:eastAsia="宋体"/>
                <w:sz w:val="24"/>
              </w:rPr>
              <w:t>（2024年度）</w:t>
            </w:r>
          </w:p>
        </w:tc>
      </w:tr>
      <w:tr w14:paraId="0FC0BDE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CF0D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7B1DE4">
            <w:pPr>
              <w:jc w:val="center"/>
            </w:pPr>
            <w:r>
              <w:rPr>
                <w:rFonts w:ascii="宋体" w:hAnsi="宋体" w:eastAsia="宋体"/>
                <w:sz w:val="16"/>
              </w:rPr>
              <w:t>轮台县铁热克巴扎乡九年一贯制学校</w:t>
            </w:r>
          </w:p>
        </w:tc>
      </w:tr>
      <w:tr w14:paraId="7582580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9138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BBC25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D501E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41383">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0B87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E50B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AC86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6E841">
            <w:pPr>
              <w:jc w:val="center"/>
            </w:pPr>
            <w:r>
              <w:rPr>
                <w:rFonts w:ascii="宋体" w:hAnsi="宋体" w:eastAsia="宋体"/>
                <w:sz w:val="16"/>
              </w:rPr>
              <w:t>得分</w:t>
            </w:r>
          </w:p>
        </w:tc>
      </w:tr>
      <w:tr w14:paraId="12C37C9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32910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CA64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886BA">
            <w:pPr>
              <w:jc w:val="center"/>
            </w:pPr>
            <w:r>
              <w:rPr>
                <w:rFonts w:ascii="宋体" w:hAnsi="宋体" w:eastAsia="宋体"/>
                <w:sz w:val="16"/>
              </w:rPr>
              <w:t>2,909.24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C2F49">
            <w:pPr>
              <w:jc w:val="center"/>
            </w:pPr>
            <w:r>
              <w:rPr>
                <w:rFonts w:ascii="宋体" w:hAnsi="宋体" w:eastAsia="宋体"/>
                <w:sz w:val="16"/>
              </w:rPr>
              <w:t>2,860.49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71ECD">
            <w:pPr>
              <w:jc w:val="center"/>
            </w:pPr>
            <w:r>
              <w:rPr>
                <w:rFonts w:ascii="宋体" w:hAnsi="宋体" w:eastAsia="宋体"/>
                <w:sz w:val="16"/>
              </w:rPr>
              <w:t>2,850.99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A7E1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3CD55">
            <w:pPr>
              <w:jc w:val="center"/>
            </w:pPr>
            <w:r>
              <w:rPr>
                <w:rFonts w:ascii="宋体" w:hAnsi="宋体" w:eastAsia="宋体"/>
                <w:sz w:val="16"/>
              </w:rPr>
              <w:t>99.67%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BAE40">
            <w:pPr>
              <w:jc w:val="center"/>
            </w:pPr>
            <w:r>
              <w:rPr>
                <w:rFonts w:ascii="宋体" w:hAnsi="宋体" w:eastAsia="宋体"/>
                <w:sz w:val="16"/>
              </w:rPr>
              <w:t>9.97</w:t>
            </w:r>
          </w:p>
        </w:tc>
      </w:tr>
      <w:tr w14:paraId="1E4F46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A90CF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2981F">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48D39">
            <w:pPr>
              <w:jc w:val="center"/>
            </w:pPr>
            <w:r>
              <w:rPr>
                <w:rFonts w:ascii="宋体" w:hAnsi="宋体" w:eastAsia="宋体"/>
                <w:sz w:val="16"/>
              </w:rPr>
              <w:t>51.80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8F64B">
            <w:pPr>
              <w:jc w:val="center"/>
            </w:pPr>
            <w:r>
              <w:rPr>
                <w:rFonts w:ascii="宋体" w:hAnsi="宋体" w:eastAsia="宋体"/>
                <w:sz w:val="16"/>
              </w:rPr>
              <w:t>214.14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77EF8">
            <w:pPr>
              <w:jc w:val="center"/>
            </w:pPr>
            <w:r>
              <w:rPr>
                <w:rFonts w:ascii="宋体" w:hAnsi="宋体" w:eastAsia="宋体"/>
                <w:sz w:val="16"/>
              </w:rPr>
              <w:t>214.14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EB89A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8A8B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91983">
            <w:pPr>
              <w:jc w:val="center"/>
            </w:pPr>
            <w:r>
              <w:rPr>
                <w:rFonts w:ascii="宋体" w:hAnsi="宋体" w:eastAsia="宋体"/>
                <w:sz w:val="16"/>
              </w:rPr>
              <w:t>-</w:t>
            </w:r>
          </w:p>
        </w:tc>
      </w:tr>
      <w:tr w14:paraId="2BCF03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88214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D04B8">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C35B5">
            <w:pPr>
              <w:jc w:val="center"/>
            </w:pPr>
            <w:r>
              <w:rPr>
                <w:rFonts w:ascii="宋体" w:hAnsi="宋体" w:eastAsia="宋体"/>
                <w:sz w:val="16"/>
              </w:rPr>
              <w:t>2,857.44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00B1D">
            <w:pPr>
              <w:jc w:val="center"/>
            </w:pPr>
            <w:r>
              <w:rPr>
                <w:rFonts w:ascii="宋体" w:hAnsi="宋体" w:eastAsia="宋体"/>
                <w:sz w:val="16"/>
              </w:rPr>
              <w:t>2,634.56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5F94A">
            <w:pPr>
              <w:jc w:val="center"/>
            </w:pPr>
            <w:r>
              <w:rPr>
                <w:rFonts w:ascii="宋体" w:hAnsi="宋体" w:eastAsia="宋体"/>
                <w:sz w:val="16"/>
              </w:rPr>
              <w:t>2,634.56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80EB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8540E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A4AECC">
            <w:pPr>
              <w:jc w:val="center"/>
            </w:pPr>
            <w:r>
              <w:rPr>
                <w:rFonts w:ascii="宋体" w:hAnsi="宋体" w:eastAsia="宋体"/>
                <w:sz w:val="16"/>
              </w:rPr>
              <w:t>-</w:t>
            </w:r>
          </w:p>
        </w:tc>
      </w:tr>
      <w:tr w14:paraId="3F42CF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D610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F9B2E">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43E3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D47AF">
            <w:pPr>
              <w:jc w:val="center"/>
            </w:pPr>
            <w:r>
              <w:rPr>
                <w:rFonts w:ascii="宋体" w:hAnsi="宋体" w:eastAsia="宋体"/>
                <w:sz w:val="16"/>
              </w:rPr>
              <w:t>11.79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80DCBA">
            <w:pPr>
              <w:jc w:val="center"/>
            </w:pPr>
            <w:r>
              <w:rPr>
                <w:rFonts w:ascii="宋体" w:hAnsi="宋体" w:eastAsia="宋体"/>
                <w:sz w:val="16"/>
              </w:rPr>
              <w:t>2.29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0DC0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C727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A3A0EF">
            <w:pPr>
              <w:jc w:val="center"/>
            </w:pPr>
            <w:r>
              <w:rPr>
                <w:rFonts w:ascii="宋体" w:hAnsi="宋体" w:eastAsia="宋体"/>
                <w:sz w:val="16"/>
              </w:rPr>
              <w:t>-</w:t>
            </w:r>
          </w:p>
        </w:tc>
      </w:tr>
      <w:tr w14:paraId="61140ED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0CAE0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7AC36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E730D8">
            <w:pPr>
              <w:jc w:val="center"/>
            </w:pPr>
            <w:r>
              <w:rPr>
                <w:rFonts w:ascii="宋体" w:hAnsi="宋体" w:eastAsia="宋体"/>
                <w:sz w:val="16"/>
              </w:rPr>
              <w:t>实际完成情况</w:t>
            </w:r>
          </w:p>
        </w:tc>
      </w:tr>
      <w:tr w14:paraId="625F3E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2F627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C6BCA1">
            <w:pPr>
              <w:jc w:val="both"/>
            </w:pPr>
            <w:r>
              <w:rPr>
                <w:rFonts w:ascii="宋体" w:hAnsi="宋体" w:eastAsia="宋体"/>
                <w:sz w:val="16"/>
              </w:rPr>
              <w:t>1.认真贯彻执行党的路线、方针和政策；坚持正确的办学方向，对学生实施德、智、体方面全面发展的教育，完成好上级下达的教学任务，确保适龄儿童入学率达到100%；控掇保学率达到100%；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2.落实享受资助补助政策学生数达到1435人，切实减轻学生学业负担，减轻家长经济负担；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3.严把发展党员关，落实“双培养”机制，组织开展教师专业知识培训次数8次，参加教师培训人数55人，激励教职工提高自身素质和教学能力，重视教研教改和教学常规工作，不断提高教育教学质量；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4.组织开展特色教育活动不少于8次，开展教师调研活动次数10次,开展学校主题教育课出勤率98%以上。强健学生体魄，丰富学生的校园生活，促进学生全面健康发展。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E1330F">
            <w:pPr>
              <w:jc w:val="both"/>
            </w:pPr>
            <w:r>
              <w:rPr>
                <w:rFonts w:ascii="宋体" w:hAnsi="宋体" w:eastAsia="宋体"/>
                <w:sz w:val="16"/>
              </w:rPr>
              <w:t>为了落实2024年总目标要求：2024年已完成：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认真贯彻执行党的路线，方针和政策，坚持正确的办学方向，对学生实施德，智，体，美，劳方面全面发展的教育，促进其身心和谐发展，已完成教师专业知识培训次数8次；保证提高教师专业知识水平，打好教育教学基础；</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2.保证享受补助学生人数1435人，已完成小学教育人数1435人，学生，家长对学校教育教学工作的满意度达到90%以上。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3.抓好开展教师调研活动，已完成开展教师调研活动次数10次，要求教师参加教师培训,促进学校整体良好发展，抓好教育教学工作，不断提高教育质量，抓好教师队伍建设，打造德才兼备的教师队伍，</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4.已完成开展主题教育次数达到8次，参加学校主题教育课出勤率98%，提高师生的爱国主义思想，丰富学生校园生活，增强学生德智体美劳全面发展。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保证适龄学生教育入学率，持续提高教学质量，加强对学生的思想品德教育，使学生的德智体美劳全面发展，全方位保障校园安全，实现了义务教育阶段全员入学，教育方面取得了显著成就，已完成适龄学生教育入学率100%，控掇保学率100%。                                                                                             6.抓好教育教学工作，不断提高教育教学质量，抓好教师队伍建设，教学计划抽查反馈率达到100%。</w:t>
            </w:r>
          </w:p>
        </w:tc>
      </w:tr>
      <w:tr w14:paraId="192BEB1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9FBA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C1B5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5826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A6FF46">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F200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140B9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2079A">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9BBBC">
            <w:pPr>
              <w:jc w:val="center"/>
            </w:pPr>
            <w:r>
              <w:rPr>
                <w:rFonts w:ascii="宋体" w:hAnsi="宋体" w:eastAsia="宋体"/>
                <w:sz w:val="16"/>
              </w:rPr>
              <w:t>得分</w:t>
            </w:r>
          </w:p>
        </w:tc>
      </w:tr>
      <w:tr w14:paraId="344A764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DC82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A459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52FC0A">
            <w:pPr>
              <w:jc w:val="center"/>
            </w:pPr>
            <w:r>
              <w:rPr>
                <w:rFonts w:ascii="宋体" w:hAnsi="宋体" w:eastAsia="宋体"/>
                <w:sz w:val="16"/>
              </w:rPr>
              <w:t>教师专业知识培训次数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7BADE">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DAC7EE">
            <w:pPr>
              <w:jc w:val="center"/>
            </w:pPr>
            <w:r>
              <w:rPr>
                <w:rFonts w:ascii="宋体" w:hAnsi="宋体" w:eastAsia="宋体"/>
                <w:sz w:val="16"/>
              </w:rPr>
              <w:t>轮台县铁热克巴扎乡九年一贯制学校2024年度工作计划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F23D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20071A">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80E0B">
            <w:pPr>
              <w:jc w:val="center"/>
            </w:pPr>
            <w:r>
              <w:rPr>
                <w:rFonts w:ascii="宋体" w:hAnsi="宋体" w:eastAsia="宋体"/>
                <w:sz w:val="16"/>
              </w:rPr>
              <w:t>10</w:t>
            </w:r>
          </w:p>
        </w:tc>
      </w:tr>
      <w:tr w14:paraId="2FAB1D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65BD8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94E6E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60365">
            <w:pPr>
              <w:jc w:val="center"/>
            </w:pPr>
            <w:r>
              <w:rPr>
                <w:rFonts w:ascii="宋体" w:hAnsi="宋体" w:eastAsia="宋体"/>
                <w:sz w:val="16"/>
              </w:rPr>
              <w:t>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4F9D2">
            <w:pPr>
              <w:jc w:val="center"/>
            </w:pPr>
            <w:r>
              <w:rPr>
                <w:rFonts w:ascii="宋体" w:hAnsi="宋体" w:eastAsia="宋体"/>
                <w:sz w:val="16"/>
              </w:rPr>
              <w:t>&gt;=1435人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274BA">
            <w:pPr>
              <w:jc w:val="center"/>
            </w:pPr>
            <w:r>
              <w:rPr>
                <w:rFonts w:ascii="宋体" w:hAnsi="宋体" w:eastAsia="宋体"/>
                <w:sz w:val="16"/>
              </w:rPr>
              <w:t>轮台县铁热克巴扎乡九年一贯制学校2024年度工作计划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7FEC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7653D5">
            <w:pPr>
              <w:jc w:val="center"/>
            </w:pPr>
            <w:r>
              <w:rPr>
                <w:rFonts w:ascii="宋体" w:hAnsi="宋体" w:eastAsia="宋体"/>
                <w:sz w:val="16"/>
              </w:rPr>
              <w:t>1435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68232">
            <w:pPr>
              <w:jc w:val="center"/>
            </w:pPr>
            <w:r>
              <w:rPr>
                <w:rFonts w:ascii="宋体" w:hAnsi="宋体" w:eastAsia="宋体"/>
                <w:sz w:val="16"/>
              </w:rPr>
              <w:t>15</w:t>
            </w:r>
          </w:p>
        </w:tc>
      </w:tr>
      <w:tr w14:paraId="32B1255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D304C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44B4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F262B">
            <w:pPr>
              <w:jc w:val="center"/>
            </w:pPr>
            <w:r>
              <w:rPr>
                <w:rFonts w:ascii="宋体" w:hAnsi="宋体" w:eastAsia="宋体"/>
                <w:sz w:val="16"/>
              </w:rPr>
              <w:t>开展教师调研活动次数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C0E58">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DEA24">
            <w:pPr>
              <w:jc w:val="center"/>
            </w:pPr>
            <w:r>
              <w:rPr>
                <w:rFonts w:ascii="宋体" w:hAnsi="宋体" w:eastAsia="宋体"/>
                <w:sz w:val="16"/>
              </w:rPr>
              <w:t>轮台县铁热克巴扎乡九年一贯制学校2024年度工作计划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03DD4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1A535">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41F63">
            <w:pPr>
              <w:jc w:val="center"/>
            </w:pPr>
            <w:r>
              <w:rPr>
                <w:rFonts w:ascii="宋体" w:hAnsi="宋体" w:eastAsia="宋体"/>
                <w:sz w:val="16"/>
              </w:rPr>
              <w:t>10</w:t>
            </w:r>
          </w:p>
        </w:tc>
      </w:tr>
      <w:tr w14:paraId="6145F1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52990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8E2F7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08377C">
            <w:pPr>
              <w:jc w:val="center"/>
            </w:pPr>
            <w:r>
              <w:rPr>
                <w:rFonts w:ascii="宋体" w:hAnsi="宋体" w:eastAsia="宋体"/>
                <w:sz w:val="16"/>
              </w:rPr>
              <w:t>开展主题教育活动次数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7E671">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896D2">
            <w:pPr>
              <w:jc w:val="center"/>
            </w:pPr>
            <w:r>
              <w:rPr>
                <w:rFonts w:ascii="宋体" w:hAnsi="宋体" w:eastAsia="宋体"/>
                <w:sz w:val="16"/>
              </w:rPr>
              <w:t>轮台县铁热克巴扎乡九年一贯制学校2024年度工作计划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C6C3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34AA2">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BA4243">
            <w:pPr>
              <w:jc w:val="center"/>
            </w:pPr>
            <w:r>
              <w:rPr>
                <w:rFonts w:ascii="宋体" w:hAnsi="宋体" w:eastAsia="宋体"/>
                <w:sz w:val="16"/>
              </w:rPr>
              <w:t>10</w:t>
            </w:r>
          </w:p>
        </w:tc>
      </w:tr>
      <w:tr w14:paraId="6CEA3E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52C97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5F24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A2FF4">
            <w:pPr>
              <w:jc w:val="center"/>
            </w:pPr>
            <w:r>
              <w:rPr>
                <w:rFonts w:ascii="宋体" w:hAnsi="宋体" w:eastAsia="宋体"/>
                <w:sz w:val="16"/>
              </w:rPr>
              <w:t>适龄学生教育入学率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78E1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12B60">
            <w:pPr>
              <w:jc w:val="center"/>
            </w:pPr>
            <w:r>
              <w:rPr>
                <w:rFonts w:ascii="宋体" w:hAnsi="宋体" w:eastAsia="宋体"/>
                <w:sz w:val="16"/>
              </w:rPr>
              <w:t>轮台县铁热克巴扎乡九年一贯制学校2024年度工作计划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599DB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2455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ABA97">
            <w:pPr>
              <w:jc w:val="center"/>
            </w:pPr>
            <w:r>
              <w:rPr>
                <w:rFonts w:ascii="宋体" w:hAnsi="宋体" w:eastAsia="宋体"/>
                <w:sz w:val="16"/>
              </w:rPr>
              <w:t>15</w:t>
            </w:r>
          </w:p>
        </w:tc>
      </w:tr>
      <w:tr w14:paraId="37B49C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03AEA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1DA5D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646AE">
            <w:pPr>
              <w:jc w:val="center"/>
            </w:pPr>
            <w:r>
              <w:rPr>
                <w:rFonts w:ascii="宋体" w:hAnsi="宋体" w:eastAsia="宋体"/>
                <w:sz w:val="16"/>
              </w:rPr>
              <w:t>开展学校主题教育课出勤率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6A2E0">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88A95">
            <w:pPr>
              <w:jc w:val="center"/>
            </w:pPr>
            <w:r>
              <w:rPr>
                <w:rFonts w:ascii="宋体" w:hAnsi="宋体" w:eastAsia="宋体"/>
                <w:sz w:val="16"/>
              </w:rPr>
              <w:t>轮台县铁热克巴扎乡九年一贯制学校2024年度工作计划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F65F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7C5FA">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431B0B">
            <w:pPr>
              <w:jc w:val="center"/>
            </w:pPr>
            <w:r>
              <w:rPr>
                <w:rFonts w:ascii="宋体" w:hAnsi="宋体" w:eastAsia="宋体"/>
                <w:sz w:val="16"/>
              </w:rPr>
              <w:t>10</w:t>
            </w:r>
          </w:p>
        </w:tc>
      </w:tr>
      <w:tr w14:paraId="6B84D31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485EB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5292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51DBE">
            <w:pPr>
              <w:jc w:val="center"/>
            </w:pPr>
            <w:r>
              <w:rPr>
                <w:rFonts w:hint="eastAsia" w:ascii="宋体" w:hAnsi="宋体"/>
                <w:sz w:val="16"/>
                <w:lang w:eastAsia="zh-CN"/>
              </w:rPr>
              <w:t>控制</w:t>
            </w:r>
            <w:r>
              <w:rPr>
                <w:rFonts w:ascii="宋体" w:hAnsi="宋体" w:eastAsia="宋体"/>
                <w:sz w:val="16"/>
              </w:rPr>
              <w:t>保学率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2155A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E5512F">
            <w:pPr>
              <w:jc w:val="center"/>
            </w:pPr>
            <w:r>
              <w:rPr>
                <w:rFonts w:ascii="宋体" w:hAnsi="宋体" w:eastAsia="宋体"/>
                <w:sz w:val="16"/>
              </w:rPr>
              <w:t>轮台县铁热克巴扎乡九年一贯制学校2024年度工作计划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57B1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9EAC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095E5">
            <w:pPr>
              <w:jc w:val="center"/>
            </w:pPr>
            <w:r>
              <w:rPr>
                <w:rFonts w:ascii="宋体" w:hAnsi="宋体" w:eastAsia="宋体"/>
                <w:sz w:val="16"/>
              </w:rPr>
              <w:t>10</w:t>
            </w:r>
          </w:p>
        </w:tc>
      </w:tr>
      <w:tr w14:paraId="53B531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9FA97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A68D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22330">
            <w:pPr>
              <w:jc w:val="center"/>
            </w:pPr>
            <w:r>
              <w:rPr>
                <w:rFonts w:ascii="宋体" w:hAnsi="宋体" w:eastAsia="宋体"/>
                <w:sz w:val="16"/>
              </w:rPr>
              <w:t>教学计划抽查反馈率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F7F1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09598D">
            <w:pPr>
              <w:jc w:val="center"/>
            </w:pPr>
            <w:r>
              <w:rPr>
                <w:rFonts w:ascii="宋体" w:hAnsi="宋体" w:eastAsia="宋体"/>
                <w:sz w:val="16"/>
              </w:rPr>
              <w:t>轮台县铁热克巴扎乡九年一贯制学校2024年度工作计划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9B28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0ADA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E69E0">
            <w:pPr>
              <w:jc w:val="center"/>
            </w:pPr>
            <w:r>
              <w:rPr>
                <w:rFonts w:ascii="宋体" w:hAnsi="宋体" w:eastAsia="宋体"/>
                <w:sz w:val="16"/>
              </w:rPr>
              <w:t>10</w:t>
            </w:r>
          </w:p>
        </w:tc>
      </w:tr>
    </w:tbl>
    <w:p w14:paraId="59E20B8C">
      <w:r>
        <w:br w:type="page"/>
      </w:r>
    </w:p>
    <w:p w14:paraId="7511439B">
      <w:pPr>
        <w:spacing w:line="640" w:lineRule="exact"/>
        <w:ind w:firstLine="640"/>
        <w:jc w:val="both"/>
        <w:outlineLvl w:val="2"/>
      </w:pPr>
      <w:r>
        <w:rPr>
          <w:rFonts w:ascii="黑体" w:hAnsi="黑体" w:eastAsia="黑体"/>
          <w:sz w:val="32"/>
        </w:rPr>
        <w:t>十二、其他需说明的事项</w:t>
      </w:r>
    </w:p>
    <w:p w14:paraId="626BDD72">
      <w:pPr>
        <w:spacing w:line="580" w:lineRule="exact"/>
        <w:ind w:firstLine="640"/>
        <w:jc w:val="both"/>
      </w:pPr>
      <w:r>
        <w:rPr>
          <w:rFonts w:ascii="仿宋_GB2312" w:hAnsi="仿宋_GB2312" w:eastAsia="仿宋_GB2312"/>
          <w:b w:val="0"/>
          <w:sz w:val="32"/>
        </w:rPr>
        <w:t>本单位无其他需说明的事项。</w:t>
      </w:r>
    </w:p>
    <w:p w14:paraId="70F3CAD2">
      <w:r>
        <w:br w:type="page"/>
      </w:r>
    </w:p>
    <w:p w14:paraId="410DC941">
      <w:pPr>
        <w:spacing w:line="240" w:lineRule="auto"/>
        <w:jc w:val="center"/>
        <w:outlineLvl w:val="1"/>
      </w:pPr>
      <w:r>
        <w:rPr>
          <w:rFonts w:ascii="黑体" w:hAnsi="黑体" w:eastAsia="黑体"/>
          <w:sz w:val="32"/>
        </w:rPr>
        <w:t>第三部分 专业名词解释</w:t>
      </w:r>
    </w:p>
    <w:p w14:paraId="2035995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EA1312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4F5E47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6C76A1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59E916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680F69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C637FC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6205A4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5A37C5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D3FEB2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1432A9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F8FF4A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BDB240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058E84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F4686EB">
      <w:r>
        <w:br w:type="page"/>
      </w:r>
    </w:p>
    <w:p w14:paraId="0C98B421">
      <w:pPr>
        <w:spacing w:line="240" w:lineRule="auto"/>
        <w:jc w:val="center"/>
        <w:outlineLvl w:val="1"/>
      </w:pPr>
      <w:r>
        <w:rPr>
          <w:rFonts w:ascii="黑体" w:hAnsi="黑体" w:eastAsia="黑体"/>
          <w:sz w:val="32"/>
        </w:rPr>
        <w:t>第四部分 部门决算报表（见附表）</w:t>
      </w:r>
    </w:p>
    <w:p w14:paraId="25143758">
      <w:pPr>
        <w:spacing w:line="240" w:lineRule="auto"/>
        <w:ind w:firstLine="640"/>
        <w:jc w:val="both"/>
      </w:pPr>
      <w:r>
        <w:rPr>
          <w:rFonts w:ascii="仿宋_GB2312" w:hAnsi="仿宋_GB2312" w:eastAsia="仿宋_GB2312"/>
          <w:b w:val="0"/>
          <w:sz w:val="32"/>
        </w:rPr>
        <w:t>一、《收入支出决算总表》</w:t>
      </w:r>
    </w:p>
    <w:p w14:paraId="534D1D8B">
      <w:pPr>
        <w:spacing w:line="240" w:lineRule="auto"/>
        <w:ind w:firstLine="640"/>
        <w:jc w:val="both"/>
      </w:pPr>
      <w:r>
        <w:rPr>
          <w:rFonts w:ascii="仿宋_GB2312" w:hAnsi="仿宋_GB2312" w:eastAsia="仿宋_GB2312"/>
          <w:b w:val="0"/>
          <w:sz w:val="32"/>
        </w:rPr>
        <w:t>二、《收入决算表》</w:t>
      </w:r>
    </w:p>
    <w:p w14:paraId="2EB8859A">
      <w:pPr>
        <w:spacing w:line="240" w:lineRule="auto"/>
        <w:ind w:firstLine="640"/>
        <w:jc w:val="both"/>
      </w:pPr>
      <w:r>
        <w:rPr>
          <w:rFonts w:ascii="仿宋_GB2312" w:hAnsi="仿宋_GB2312" w:eastAsia="仿宋_GB2312"/>
          <w:b w:val="0"/>
          <w:sz w:val="32"/>
        </w:rPr>
        <w:t>三、《支出决算表》</w:t>
      </w:r>
    </w:p>
    <w:p w14:paraId="6A478AE9">
      <w:pPr>
        <w:spacing w:line="240" w:lineRule="auto"/>
        <w:ind w:firstLine="640"/>
        <w:jc w:val="both"/>
      </w:pPr>
      <w:r>
        <w:rPr>
          <w:rFonts w:ascii="仿宋_GB2312" w:hAnsi="仿宋_GB2312" w:eastAsia="仿宋_GB2312"/>
          <w:b w:val="0"/>
          <w:sz w:val="32"/>
        </w:rPr>
        <w:t>四、《财政拨款收入支出决算总表》</w:t>
      </w:r>
    </w:p>
    <w:p w14:paraId="4FEEA232">
      <w:pPr>
        <w:spacing w:line="240" w:lineRule="auto"/>
        <w:ind w:firstLine="640"/>
        <w:jc w:val="both"/>
      </w:pPr>
      <w:r>
        <w:rPr>
          <w:rFonts w:ascii="仿宋_GB2312" w:hAnsi="仿宋_GB2312" w:eastAsia="仿宋_GB2312"/>
          <w:b w:val="0"/>
          <w:sz w:val="32"/>
        </w:rPr>
        <w:t>五、《一般公共预算财政拨款支出决算表》</w:t>
      </w:r>
    </w:p>
    <w:p w14:paraId="4EC9AE9B">
      <w:pPr>
        <w:spacing w:line="240" w:lineRule="auto"/>
        <w:ind w:firstLine="640"/>
        <w:jc w:val="both"/>
      </w:pPr>
      <w:r>
        <w:rPr>
          <w:rFonts w:ascii="仿宋_GB2312" w:hAnsi="仿宋_GB2312" w:eastAsia="仿宋_GB2312"/>
          <w:b w:val="0"/>
          <w:sz w:val="32"/>
        </w:rPr>
        <w:t>六、《一般公共预算财政拨款基本支出决算表》</w:t>
      </w:r>
    </w:p>
    <w:p w14:paraId="3C61808B">
      <w:pPr>
        <w:spacing w:line="240" w:lineRule="auto"/>
        <w:ind w:firstLine="640"/>
        <w:jc w:val="both"/>
      </w:pPr>
      <w:r>
        <w:rPr>
          <w:rFonts w:ascii="仿宋_GB2312" w:hAnsi="仿宋_GB2312" w:eastAsia="仿宋_GB2312"/>
          <w:b w:val="0"/>
          <w:sz w:val="32"/>
        </w:rPr>
        <w:t>七、《政府性基金预算财政拨款收入支出决算表》</w:t>
      </w:r>
    </w:p>
    <w:p w14:paraId="14C25D16">
      <w:pPr>
        <w:spacing w:line="240" w:lineRule="auto"/>
        <w:ind w:firstLine="640"/>
        <w:jc w:val="both"/>
      </w:pPr>
      <w:r>
        <w:rPr>
          <w:rFonts w:ascii="仿宋_GB2312" w:hAnsi="仿宋_GB2312" w:eastAsia="仿宋_GB2312"/>
          <w:b w:val="0"/>
          <w:sz w:val="32"/>
        </w:rPr>
        <w:t>八、《国有资本经营预算财政拨款收入支出决算表》</w:t>
      </w:r>
    </w:p>
    <w:p w14:paraId="63189591">
      <w:pPr>
        <w:spacing w:line="240" w:lineRule="auto"/>
        <w:ind w:firstLine="640"/>
        <w:jc w:val="both"/>
      </w:pPr>
      <w:r>
        <w:rPr>
          <w:rFonts w:ascii="仿宋_GB2312" w:hAnsi="仿宋_GB2312" w:eastAsia="仿宋_GB2312"/>
          <w:b w:val="0"/>
          <w:sz w:val="32"/>
        </w:rPr>
        <w:t>九、《财政拨款“三公”经费支出决算表》</w:t>
      </w:r>
    </w:p>
    <w:p w14:paraId="510F84DC">
      <w:pPr>
        <w:spacing w:line="240" w:lineRule="auto"/>
        <w:ind w:firstLine="640"/>
        <w:jc w:val="both"/>
      </w:pPr>
    </w:p>
    <w:p w14:paraId="04897F57">
      <w:pPr>
        <w:spacing w:line="240" w:lineRule="auto"/>
        <w:ind w:firstLine="640"/>
        <w:jc w:val="both"/>
      </w:pPr>
    </w:p>
    <w:p w14:paraId="33047016">
      <w:pPr>
        <w:spacing w:line="240" w:lineRule="auto"/>
        <w:ind w:firstLine="640"/>
        <w:jc w:val="both"/>
      </w:pPr>
    </w:p>
    <w:p w14:paraId="6BE43CE2">
      <w:pPr>
        <w:spacing w:line="240" w:lineRule="auto"/>
        <w:ind w:firstLine="640"/>
        <w:jc w:val="both"/>
      </w:pPr>
    </w:p>
    <w:p w14:paraId="14D45A0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501614A-D63C-457B-844F-71734124FF4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207AF82-AB91-48CD-891B-D433F4EEA8EB}"/>
  </w:font>
  <w:font w:name="仿宋_GB2312">
    <w:altName w:val="仿宋"/>
    <w:panose1 w:val="02010609030101010101"/>
    <w:charset w:val="86"/>
    <w:family w:val="modern"/>
    <w:pitch w:val="default"/>
    <w:sig w:usb0="00000000" w:usb1="00000000" w:usb2="00000000" w:usb3="00000000" w:csb0="00040000" w:csb1="00000000"/>
    <w:embedRegular r:id="rId3" w:fontKey="{85CA17F5-65FB-4E65-91D2-B9E958FC2C0B}"/>
  </w:font>
  <w:font w:name="楷体_GB2312">
    <w:altName w:val="楷体"/>
    <w:panose1 w:val="00000000000000000000"/>
    <w:charset w:val="00"/>
    <w:family w:val="auto"/>
    <w:pitch w:val="default"/>
    <w:sig w:usb0="00000000" w:usb1="00000000" w:usb2="00000000" w:usb3="00000000" w:csb0="00000000" w:csb1="00000000"/>
    <w:embedRegular r:id="rId4" w:fontKey="{690567C9-6D02-40D8-BD75-56E06D30F14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312618"/>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4157</Words>
  <Characters>4796</Characters>
  <Lines>0</Lines>
  <Paragraphs>0</Paragraphs>
  <TotalTime>4</TotalTime>
  <ScaleCrop>false</ScaleCrop>
  <LinksUpToDate>false</LinksUpToDate>
  <CharactersWithSpaces>4804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2025-09-15T11:32:15Z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