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轮台县铁热克巴扎乡人民政府2024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10867C">
      <w:r>
        <w:br w:type="page"/>
      </w:r>
    </w:p>
    <w:p w14:paraId="583A7088">
      <w:pPr>
        <w:spacing w:line="640" w:lineRule="exact"/>
        <w:jc w:val="center"/>
        <w:outlineLvl w:val="1"/>
      </w:pPr>
      <w:r>
        <w:rPr>
          <w:rFonts w:ascii="黑体" w:hAnsi="黑体" w:eastAsia="黑体"/>
          <w:sz w:val="32"/>
        </w:rPr>
        <w:t>第一部分 单位概况</w:t>
      </w:r>
    </w:p>
    <w:p w14:paraId="513B679A">
      <w:pPr>
        <w:spacing w:line="640" w:lineRule="exact"/>
        <w:ind w:firstLine="640"/>
        <w:jc w:val="both"/>
        <w:outlineLvl w:val="2"/>
      </w:pPr>
      <w:r>
        <w:rPr>
          <w:rFonts w:ascii="黑体" w:hAnsi="黑体" w:eastAsia="黑体"/>
          <w:sz w:val="32"/>
        </w:rPr>
        <w:t>一、主要职能</w:t>
      </w:r>
    </w:p>
    <w:p w14:paraId="19CF841B">
      <w:pPr>
        <w:spacing w:line="580" w:lineRule="exact"/>
        <w:ind w:firstLine="640"/>
        <w:jc w:val="both"/>
      </w:pPr>
      <w:r>
        <w:rPr>
          <w:rFonts w:ascii="仿宋_GB2312" w:hAnsi="仿宋_GB2312" w:eastAsia="仿宋_GB2312"/>
          <w:sz w:val="32"/>
        </w:rPr>
        <w:t>(一）执行本级人民代表大会的决议和上级国家行政机关的决定和命令，发布决定和命令。</w:t>
      </w:r>
    </w:p>
    <w:p w14:paraId="72AF162C">
      <w:pPr>
        <w:spacing w:line="580" w:lineRule="exact"/>
        <w:ind w:firstLine="640"/>
        <w:jc w:val="both"/>
      </w:pPr>
      <w:r>
        <w:rPr>
          <w:rFonts w:ascii="仿宋_GB2312" w:hAnsi="仿宋_GB2312" w:eastAsia="仿宋_GB2312"/>
          <w:sz w:val="32"/>
        </w:rPr>
        <w:t>(二）执行本行政区域内的经济和社会发展计划，加强公共设施的建设和管理，发展各项服务事业。</w:t>
      </w:r>
    </w:p>
    <w:p w14:paraId="02D3D59A">
      <w:pPr>
        <w:spacing w:line="580" w:lineRule="exact"/>
        <w:ind w:firstLine="640"/>
        <w:jc w:val="both"/>
      </w:pPr>
      <w:r>
        <w:rPr>
          <w:rFonts w:ascii="仿宋_GB2312" w:hAnsi="仿宋_GB2312" w:eastAsia="仿宋_GB2312"/>
          <w:sz w:val="32"/>
        </w:rPr>
        <w:t>(三）依法管理本级财政、执行本级预算。</w:t>
      </w:r>
    </w:p>
    <w:p w14:paraId="3FAA15B4">
      <w:pPr>
        <w:spacing w:line="580" w:lineRule="exact"/>
        <w:ind w:firstLine="640"/>
        <w:jc w:val="both"/>
      </w:pPr>
      <w:r>
        <w:rPr>
          <w:rFonts w:ascii="仿宋_GB2312" w:hAnsi="仿宋_GB2312" w:eastAsia="仿宋_GB2312"/>
          <w:sz w:val="32"/>
        </w:rPr>
        <w:t>(四）为农民提供有效的科技、教育、文化、信息、卫生、体育、医疗、人才开发、劳动就业、安全生产等。</w:t>
      </w:r>
    </w:p>
    <w:p w14:paraId="1353217E">
      <w:pPr>
        <w:spacing w:line="580" w:lineRule="exact"/>
        <w:ind w:firstLine="640"/>
        <w:jc w:val="both"/>
      </w:pPr>
      <w:r>
        <w:rPr>
          <w:rFonts w:ascii="仿宋_GB2312" w:hAnsi="仿宋_GB2312" w:eastAsia="仿宋_GB2312"/>
          <w:sz w:val="32"/>
        </w:rPr>
        <w:t>(五）保护国有资产和集体所有的财产，保护公民私人所有的合法财产、保障公民的人身权利、民主权利和其他权利，保护各种组织的合法权益。</w:t>
      </w:r>
    </w:p>
    <w:p w14:paraId="53789FE0">
      <w:pPr>
        <w:spacing w:line="580" w:lineRule="exact"/>
        <w:ind w:firstLine="640"/>
        <w:jc w:val="both"/>
      </w:pPr>
      <w:r>
        <w:rPr>
          <w:rFonts w:ascii="仿宋_GB2312" w:hAnsi="仿宋_GB2312" w:eastAsia="仿宋_GB2312"/>
          <w:sz w:val="32"/>
        </w:rPr>
        <w:t>(六）承办上级人民政府交办的其他事项。</w:t>
      </w:r>
    </w:p>
    <w:p w14:paraId="182F919B">
      <w:pPr>
        <w:spacing w:line="640" w:lineRule="exact"/>
        <w:ind w:firstLine="640"/>
        <w:jc w:val="both"/>
        <w:outlineLvl w:val="2"/>
      </w:pPr>
      <w:r>
        <w:rPr>
          <w:rFonts w:ascii="黑体" w:hAnsi="黑体" w:eastAsia="黑体"/>
          <w:sz w:val="32"/>
        </w:rPr>
        <w:t>二、机构设置及人员情况</w:t>
      </w:r>
    </w:p>
    <w:p w14:paraId="41927C3D">
      <w:pPr>
        <w:spacing w:line="580" w:lineRule="exact"/>
        <w:ind w:firstLine="640"/>
        <w:jc w:val="both"/>
      </w:pPr>
      <w:r>
        <w:rPr>
          <w:rFonts w:ascii="仿宋_GB2312" w:hAnsi="仿宋_GB2312" w:eastAsia="仿宋_GB2312"/>
          <w:sz w:val="32"/>
        </w:rPr>
        <w:t>轮台县铁热克巴扎乡人民政府2024年度，实有人数113人，其中：在职人员103人，减少5人；离休人员0人，增加0人；退休人员10人,增加2人。</w:t>
      </w:r>
    </w:p>
    <w:p w14:paraId="0D81A226">
      <w:pPr>
        <w:spacing w:line="580" w:lineRule="exact"/>
        <w:ind w:firstLine="640"/>
        <w:jc w:val="both"/>
      </w:pPr>
      <w:r>
        <w:rPr>
          <w:rFonts w:ascii="仿宋_GB2312" w:hAnsi="仿宋_GB2312" w:eastAsia="仿宋_GB2312"/>
          <w:sz w:val="32"/>
        </w:rPr>
        <w:t>轮台县铁热克巴扎乡人民政府无下属预算单位，下设8个科室，分别是：政府办公室、农业发展中心、财经核算中心、文化体育广播体育站、计生站、村镇规划建设发展中心、网格化和群众服务中心、社会保障服务中心。</w:t>
      </w:r>
    </w:p>
    <w:p w14:paraId="6B4952D5">
      <w:r>
        <w:br w:type="page"/>
      </w:r>
    </w:p>
    <w:p w14:paraId="313B12AB">
      <w:pPr>
        <w:spacing w:line="240" w:lineRule="auto"/>
        <w:jc w:val="center"/>
        <w:outlineLvl w:val="1"/>
      </w:pPr>
      <w:r>
        <w:rPr>
          <w:rFonts w:ascii="黑体" w:hAnsi="黑体" w:eastAsia="黑体"/>
          <w:sz w:val="32"/>
        </w:rPr>
        <w:t>第二部分 部门决算情况说明</w:t>
      </w:r>
    </w:p>
    <w:p w14:paraId="7F3130FF">
      <w:pPr>
        <w:spacing w:line="640" w:lineRule="exact"/>
        <w:ind w:firstLine="640"/>
        <w:jc w:val="both"/>
        <w:outlineLvl w:val="2"/>
      </w:pPr>
      <w:r>
        <w:rPr>
          <w:rFonts w:ascii="黑体" w:hAnsi="黑体" w:eastAsia="黑体"/>
          <w:sz w:val="32"/>
        </w:rPr>
        <w:t>一、收入支出决算总体情况说明</w:t>
      </w:r>
    </w:p>
    <w:p w14:paraId="62DFE929">
      <w:pPr>
        <w:spacing w:line="580" w:lineRule="exact"/>
        <w:ind w:firstLine="640"/>
        <w:jc w:val="both"/>
      </w:pPr>
      <w:r>
        <w:rPr>
          <w:rFonts w:ascii="仿宋_GB2312" w:hAnsi="仿宋_GB2312" w:eastAsia="仿宋_GB2312"/>
          <w:b/>
          <w:sz w:val="32"/>
        </w:rPr>
        <w:t>2024年度收入总计5,426.22万元，</w:t>
      </w:r>
      <w:r>
        <w:rPr>
          <w:rFonts w:ascii="仿宋_GB2312" w:hAnsi="仿宋_GB2312" w:eastAsia="仿宋_GB2312"/>
          <w:b w:val="0"/>
          <w:sz w:val="32"/>
        </w:rPr>
        <w:t>其中：本年收入合计5,270.13万元，使用非财政拨款结余（含专用结余）0.00万元，年初结转和结余156.09万元。</w:t>
      </w:r>
    </w:p>
    <w:p w14:paraId="5F453E21">
      <w:pPr>
        <w:spacing w:line="580" w:lineRule="exact"/>
        <w:ind w:firstLine="640"/>
        <w:jc w:val="both"/>
      </w:pPr>
      <w:r>
        <w:rPr>
          <w:rFonts w:ascii="仿宋_GB2312" w:hAnsi="仿宋_GB2312" w:eastAsia="仿宋_GB2312"/>
          <w:b/>
          <w:sz w:val="32"/>
        </w:rPr>
        <w:t>2024年度支出总计5,426.22万元，</w:t>
      </w:r>
      <w:r>
        <w:rPr>
          <w:rFonts w:ascii="仿宋_GB2312" w:hAnsi="仿宋_GB2312" w:eastAsia="仿宋_GB2312"/>
          <w:b w:val="0"/>
          <w:sz w:val="32"/>
        </w:rPr>
        <w:t>其中：本年支出合计5,272.63万元，结余分配0.00万元，年末结转和结余153.58万元。</w:t>
      </w:r>
    </w:p>
    <w:p w14:paraId="2D6669C6">
      <w:pPr>
        <w:spacing w:line="580" w:lineRule="exact"/>
        <w:ind w:firstLine="640"/>
        <w:jc w:val="both"/>
      </w:pPr>
      <w:r>
        <w:rPr>
          <w:rFonts w:ascii="仿宋_GB2312" w:hAnsi="仿宋_GB2312" w:eastAsia="仿宋_GB2312"/>
          <w:b w:val="0"/>
          <w:sz w:val="32"/>
        </w:rPr>
        <w:t>收入支出总体与上年相比，增加2,568.74万元，增长89.90%，主要原因是：本年增加轮台县振兴牧业产业园（三期）玉米烘干房、铁热克巴扎乡辣椒酱厂建设、铁热克巴扎乡创业就业基地建设、铁热克巴扎乡防渗渠建设、轮台县2024年示范村人居环境整治建设、铁热克巴扎乡托乎拉村乡村旅游基础设施建设等项目经费，导致相关经费增加。</w:t>
      </w:r>
    </w:p>
    <w:p w14:paraId="1FB3F865">
      <w:pPr>
        <w:spacing w:line="640" w:lineRule="exact"/>
        <w:ind w:firstLine="640"/>
        <w:jc w:val="both"/>
        <w:outlineLvl w:val="2"/>
      </w:pPr>
      <w:r>
        <w:rPr>
          <w:rFonts w:ascii="黑体" w:hAnsi="黑体" w:eastAsia="黑体"/>
          <w:sz w:val="32"/>
        </w:rPr>
        <w:t>二、收入决算情况说明</w:t>
      </w:r>
    </w:p>
    <w:p w14:paraId="7C5E9143">
      <w:pPr>
        <w:spacing w:line="580" w:lineRule="exact"/>
        <w:ind w:firstLine="640"/>
        <w:jc w:val="both"/>
      </w:pPr>
      <w:r>
        <w:rPr>
          <w:rFonts w:ascii="仿宋_GB2312" w:hAnsi="仿宋_GB2312" w:eastAsia="仿宋_GB2312"/>
          <w:b/>
          <w:sz w:val="32"/>
        </w:rPr>
        <w:t>本年收入5,270.13万元，</w:t>
      </w:r>
      <w:r>
        <w:rPr>
          <w:rFonts w:ascii="仿宋_GB2312" w:hAnsi="仿宋_GB2312" w:eastAsia="仿宋_GB2312"/>
          <w:b w:val="0"/>
          <w:sz w:val="32"/>
        </w:rPr>
        <w:t>其中：财政拨款收入5,211.22万元，占98.88%；上级补助收入0.00万元，占0.00%；事业收入0.00万元，占0.00%；经营收入0.00万元，占0.00%；附属单位上缴收入0.00万元，占0.00%；其他收入58.91万元，占1.12%。</w:t>
      </w:r>
    </w:p>
    <w:p w14:paraId="6C080D8C">
      <w:pPr>
        <w:spacing w:line="640" w:lineRule="exact"/>
        <w:ind w:firstLine="640"/>
        <w:jc w:val="both"/>
        <w:outlineLvl w:val="2"/>
      </w:pPr>
      <w:r>
        <w:rPr>
          <w:rFonts w:ascii="黑体" w:hAnsi="黑体" w:eastAsia="黑体"/>
          <w:sz w:val="32"/>
        </w:rPr>
        <w:t>三、支出决算情况说明</w:t>
      </w:r>
    </w:p>
    <w:p w14:paraId="417E9797">
      <w:pPr>
        <w:spacing w:line="580" w:lineRule="exact"/>
        <w:ind w:firstLine="640"/>
        <w:jc w:val="both"/>
      </w:pPr>
      <w:r>
        <w:rPr>
          <w:rFonts w:ascii="仿宋_GB2312" w:hAnsi="仿宋_GB2312" w:eastAsia="仿宋_GB2312"/>
          <w:b/>
          <w:sz w:val="32"/>
        </w:rPr>
        <w:t>本年支出5,272.63万元，</w:t>
      </w:r>
      <w:r>
        <w:rPr>
          <w:rFonts w:ascii="仿宋_GB2312" w:hAnsi="仿宋_GB2312" w:eastAsia="仿宋_GB2312"/>
          <w:b w:val="0"/>
          <w:sz w:val="32"/>
        </w:rPr>
        <w:t>其中：基本支出2,196.08万元，占41.65%；项目支出3,076.55万元，占58.35%；上缴上级支出0.00万元，占0.00%；经营支出0.00万元，占0.00%；对附属单位补助支出0.00万元，占0.00%。</w:t>
      </w:r>
    </w:p>
    <w:p w14:paraId="37A65943">
      <w:pPr>
        <w:spacing w:line="640" w:lineRule="exact"/>
        <w:ind w:firstLine="640"/>
        <w:jc w:val="both"/>
        <w:outlineLvl w:val="2"/>
      </w:pPr>
      <w:r>
        <w:rPr>
          <w:rFonts w:ascii="黑体" w:hAnsi="黑体" w:eastAsia="黑体"/>
          <w:sz w:val="32"/>
        </w:rPr>
        <w:t>四、财政拨款收入支出决算总体情况说明</w:t>
      </w:r>
    </w:p>
    <w:p w14:paraId="592D1A24">
      <w:pPr>
        <w:spacing w:line="580" w:lineRule="exact"/>
        <w:ind w:firstLine="640"/>
        <w:jc w:val="both"/>
      </w:pPr>
      <w:r>
        <w:rPr>
          <w:rFonts w:ascii="仿宋_GB2312" w:hAnsi="仿宋_GB2312" w:eastAsia="仿宋_GB2312"/>
          <w:b/>
          <w:sz w:val="32"/>
        </w:rPr>
        <w:t>2024年度财政拨款收入总计5,211.22万元，</w:t>
      </w:r>
      <w:r>
        <w:rPr>
          <w:rFonts w:ascii="仿宋_GB2312" w:hAnsi="仿宋_GB2312" w:eastAsia="仿宋_GB2312"/>
          <w:b w:val="0"/>
          <w:sz w:val="32"/>
        </w:rPr>
        <w:t>其中：年初财政拨款结转和结余0.00万元，本年财政拨款收入5,211.22万元。</w:t>
      </w:r>
      <w:r>
        <w:rPr>
          <w:rFonts w:ascii="仿宋_GB2312" w:hAnsi="仿宋_GB2312" w:eastAsia="仿宋_GB2312"/>
          <w:b/>
          <w:sz w:val="32"/>
        </w:rPr>
        <w:t>财政拨款支出总计5,211.22万元，</w:t>
      </w:r>
      <w:r>
        <w:rPr>
          <w:rFonts w:ascii="仿宋_GB2312" w:hAnsi="仿宋_GB2312" w:eastAsia="仿宋_GB2312"/>
          <w:b w:val="0"/>
          <w:sz w:val="32"/>
        </w:rPr>
        <w:t>其中：年末财政拨款结转和结余0.00万元，本年财政拨款支出5,211.22万元。</w:t>
      </w:r>
    </w:p>
    <w:p w14:paraId="411D5C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2,634.07万元，增长102.21%，主要原因是：本年增加轮台县振兴牧业产业园（三期）玉米烘干房、铁热克巴扎乡辣椒酱厂建设、铁热克巴扎乡创业就业基地建设、铁热克巴扎乡防渗渠建设、轮台县2024年示范村人居环境整治建设、铁热克巴扎乡托乎拉村乡村旅游基础设施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2,822.31万元，决算数5,211.22万元，预决算差异率84.64%，主要原因是：年中追加铁乡厕所革命项目、铁乡粪污项目工程、铁乡玉村业务用房工程、铁乡“五小”工程项目工程、铁乡乡村振兴辣椒厂项目设备款、乡村振兴移动货车、乡村振兴示范村项目工程、乡村振兴烘干房项目设备费用、乡村振兴防渗渠项目工程、乡村振兴创业基地项目工程、铁乡旅游设施项目，导致预决算存在差异。</w:t>
      </w:r>
    </w:p>
    <w:p w14:paraId="495B15AC">
      <w:pPr>
        <w:spacing w:line="640" w:lineRule="exact"/>
        <w:ind w:firstLine="640"/>
        <w:jc w:val="both"/>
        <w:outlineLvl w:val="2"/>
      </w:pPr>
      <w:r>
        <w:rPr>
          <w:rFonts w:ascii="黑体" w:hAnsi="黑体" w:eastAsia="黑体"/>
          <w:sz w:val="32"/>
        </w:rPr>
        <w:t>五、一般公共预算财政拨款支出决算情况说明</w:t>
      </w:r>
    </w:p>
    <w:p w14:paraId="1BA85CE7">
      <w:pPr>
        <w:spacing w:line="640" w:lineRule="exact"/>
        <w:ind w:firstLine="640"/>
        <w:jc w:val="both"/>
        <w:outlineLvl w:val="3"/>
      </w:pPr>
      <w:r>
        <w:rPr>
          <w:rFonts w:ascii="楷体_GB2312" w:hAnsi="楷体_GB2312" w:eastAsia="楷体_GB2312"/>
          <w:b/>
          <w:sz w:val="32"/>
        </w:rPr>
        <w:t>（一）一般公共预算财政拨款支出决算总体情况</w:t>
      </w:r>
    </w:p>
    <w:p w14:paraId="0F172BFD">
      <w:pPr>
        <w:spacing w:line="580" w:lineRule="exact"/>
        <w:ind w:firstLine="640"/>
        <w:jc w:val="both"/>
      </w:pPr>
      <w:r>
        <w:rPr>
          <w:rFonts w:ascii="仿宋_GB2312" w:hAnsi="仿宋_GB2312" w:eastAsia="仿宋_GB2312"/>
          <w:b/>
          <w:sz w:val="32"/>
        </w:rPr>
        <w:t>2024年度一般公共预算财政拨款支出5,168.26万元，</w:t>
      </w:r>
      <w:r>
        <w:rPr>
          <w:rFonts w:ascii="仿宋_GB2312" w:hAnsi="仿宋_GB2312" w:eastAsia="仿宋_GB2312"/>
          <w:b w:val="0"/>
          <w:sz w:val="32"/>
        </w:rPr>
        <w:t>占本年支出合计的98.02%。</w:t>
      </w:r>
      <w:r>
        <w:rPr>
          <w:rFonts w:ascii="仿宋_GB2312" w:hAnsi="仿宋_GB2312" w:eastAsia="仿宋_GB2312"/>
          <w:b/>
          <w:sz w:val="32"/>
        </w:rPr>
        <w:t>与上年相比，</w:t>
      </w:r>
      <w:r>
        <w:rPr>
          <w:rFonts w:ascii="仿宋_GB2312" w:hAnsi="仿宋_GB2312" w:eastAsia="仿宋_GB2312"/>
          <w:b w:val="0"/>
          <w:sz w:val="32"/>
        </w:rPr>
        <w:t>增加2,621.11万元，增长102.90%，主要原因是：本年增加轮台县振兴牧业产业园（三期）玉米烘干房、铁热克巴扎乡辣椒酱厂建设、铁热克巴扎乡创业就业基地建设、铁热克巴扎乡防渗渠建设、轮台县2024年示范村人居环境整治建设、铁热克巴扎乡托乎拉村乡村旅游基础设施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2,822.31万元，决算数5,168.26万元，预决算差异率83.12%，主要原因是：年中追加铁乡厕所革命项目、铁乡粪污项目工程、铁乡玉村业务用房工程、铁乡“五小”工程项目工程、铁乡乡村振兴辣椒厂项目设备款、乡村振兴移动货车、乡村振兴示范村项目工程、乡村振兴烘干房项目设备费用、乡村振兴防渗渠项目工程、乡村振兴创业基地项目工程、铁乡旅游设施项目，导致预决算存在差异。</w:t>
      </w:r>
    </w:p>
    <w:p w14:paraId="03E287C9">
      <w:pPr>
        <w:spacing w:line="640" w:lineRule="exact"/>
        <w:ind w:firstLine="640"/>
        <w:jc w:val="both"/>
        <w:outlineLvl w:val="3"/>
      </w:pPr>
      <w:r>
        <w:rPr>
          <w:rFonts w:ascii="楷体_GB2312" w:hAnsi="楷体_GB2312" w:eastAsia="楷体_GB2312"/>
          <w:b/>
          <w:sz w:val="32"/>
        </w:rPr>
        <w:t>（二）一般公共预算财政拨款支出决算结构情况</w:t>
      </w:r>
    </w:p>
    <w:p w14:paraId="5129A230">
      <w:pPr>
        <w:spacing w:line="580" w:lineRule="exact"/>
        <w:ind w:firstLine="640"/>
        <w:jc w:val="both"/>
      </w:pPr>
      <w:r>
        <w:rPr>
          <w:rFonts w:ascii="仿宋_GB2312" w:hAnsi="仿宋_GB2312" w:eastAsia="仿宋_GB2312"/>
          <w:b w:val="0"/>
          <w:sz w:val="32"/>
        </w:rPr>
        <w:t>1.一般公共服务支出(类)1,425.05万元,占27.57%。</w:t>
      </w:r>
    </w:p>
    <w:p w14:paraId="0BAE3ED2">
      <w:pPr>
        <w:spacing w:line="580" w:lineRule="exact"/>
        <w:ind w:firstLine="640"/>
        <w:jc w:val="both"/>
      </w:pPr>
      <w:r>
        <w:rPr>
          <w:rFonts w:ascii="仿宋_GB2312" w:hAnsi="仿宋_GB2312" w:eastAsia="仿宋_GB2312"/>
          <w:b w:val="0"/>
          <w:sz w:val="32"/>
        </w:rPr>
        <w:t>2.公共安全支出(类)88.28万元,占1.71%。</w:t>
      </w:r>
    </w:p>
    <w:p w14:paraId="3377D179">
      <w:pPr>
        <w:spacing w:line="580" w:lineRule="exact"/>
        <w:ind w:firstLine="640"/>
        <w:jc w:val="both"/>
      </w:pPr>
      <w:r>
        <w:rPr>
          <w:rFonts w:ascii="仿宋_GB2312" w:hAnsi="仿宋_GB2312" w:eastAsia="仿宋_GB2312"/>
          <w:b w:val="0"/>
          <w:sz w:val="32"/>
        </w:rPr>
        <w:t>3.科学技术支出(类)4.50万元,占0.09%。</w:t>
      </w:r>
    </w:p>
    <w:p w14:paraId="4298FD13">
      <w:pPr>
        <w:spacing w:line="580" w:lineRule="exact"/>
        <w:ind w:firstLine="640"/>
        <w:jc w:val="both"/>
      </w:pPr>
      <w:r>
        <w:rPr>
          <w:rFonts w:ascii="仿宋_GB2312" w:hAnsi="仿宋_GB2312" w:eastAsia="仿宋_GB2312"/>
          <w:b w:val="0"/>
          <w:sz w:val="32"/>
        </w:rPr>
        <w:t>4.文化旅游体育与传媒支出(类)9.68万元,占0.19%。</w:t>
      </w:r>
    </w:p>
    <w:p w14:paraId="176B870A">
      <w:pPr>
        <w:spacing w:line="580" w:lineRule="exact"/>
        <w:ind w:firstLine="640"/>
        <w:jc w:val="both"/>
      </w:pPr>
      <w:r>
        <w:rPr>
          <w:rFonts w:ascii="仿宋_GB2312" w:hAnsi="仿宋_GB2312" w:eastAsia="仿宋_GB2312"/>
          <w:b w:val="0"/>
          <w:sz w:val="32"/>
        </w:rPr>
        <w:t>5.社会保障和就业支出(类)250.33万元,占4.84%。</w:t>
      </w:r>
    </w:p>
    <w:p w14:paraId="10B797A9">
      <w:pPr>
        <w:spacing w:line="580" w:lineRule="exact"/>
        <w:ind w:firstLine="640"/>
        <w:jc w:val="both"/>
      </w:pPr>
      <w:r>
        <w:rPr>
          <w:rFonts w:ascii="仿宋_GB2312" w:hAnsi="仿宋_GB2312" w:eastAsia="仿宋_GB2312"/>
          <w:b w:val="0"/>
          <w:sz w:val="32"/>
        </w:rPr>
        <w:t>6.卫生健康支出(类)108.64万元,占2.10%。</w:t>
      </w:r>
    </w:p>
    <w:p w14:paraId="5488F0A4">
      <w:pPr>
        <w:spacing w:line="580" w:lineRule="exact"/>
        <w:ind w:firstLine="640"/>
        <w:jc w:val="both"/>
      </w:pPr>
      <w:r>
        <w:rPr>
          <w:rFonts w:ascii="仿宋_GB2312" w:hAnsi="仿宋_GB2312" w:eastAsia="仿宋_GB2312"/>
          <w:b w:val="0"/>
          <w:sz w:val="32"/>
        </w:rPr>
        <w:t>7.城乡社区支出(类)73.22万元,占1.42%。</w:t>
      </w:r>
    </w:p>
    <w:p w14:paraId="209DE690">
      <w:pPr>
        <w:spacing w:line="580" w:lineRule="exact"/>
        <w:ind w:firstLine="640"/>
        <w:jc w:val="both"/>
      </w:pPr>
      <w:r>
        <w:rPr>
          <w:rFonts w:ascii="仿宋_GB2312" w:hAnsi="仿宋_GB2312" w:eastAsia="仿宋_GB2312"/>
          <w:b w:val="0"/>
          <w:sz w:val="32"/>
        </w:rPr>
        <w:t>8.农林水支出(类)2,633.82万元,占50.96%。</w:t>
      </w:r>
    </w:p>
    <w:p w14:paraId="7A63E30D">
      <w:pPr>
        <w:spacing w:line="580" w:lineRule="exact"/>
        <w:ind w:firstLine="640"/>
        <w:jc w:val="both"/>
      </w:pPr>
      <w:r>
        <w:rPr>
          <w:rFonts w:ascii="仿宋_GB2312" w:hAnsi="仿宋_GB2312" w:eastAsia="仿宋_GB2312"/>
          <w:b w:val="0"/>
          <w:sz w:val="32"/>
        </w:rPr>
        <w:t>9.住房保障支出(类)129.68万元,占2.51%。</w:t>
      </w:r>
    </w:p>
    <w:p w14:paraId="1F1E9192">
      <w:pPr>
        <w:spacing w:line="580" w:lineRule="exact"/>
        <w:ind w:firstLine="640"/>
        <w:jc w:val="both"/>
      </w:pPr>
      <w:r>
        <w:rPr>
          <w:rFonts w:ascii="仿宋_GB2312" w:hAnsi="仿宋_GB2312" w:eastAsia="仿宋_GB2312"/>
          <w:b w:val="0"/>
          <w:sz w:val="32"/>
        </w:rPr>
        <w:t>10.灾害防治及应急管理支出(类)49.97万元,占0.97%。</w:t>
      </w:r>
    </w:p>
    <w:p w14:paraId="7FEABA4D">
      <w:pPr>
        <w:spacing w:line="580" w:lineRule="exact"/>
        <w:ind w:firstLine="640"/>
        <w:jc w:val="both"/>
      </w:pPr>
      <w:r>
        <w:rPr>
          <w:rFonts w:ascii="仿宋_GB2312" w:hAnsi="仿宋_GB2312" w:eastAsia="仿宋_GB2312"/>
          <w:b w:val="0"/>
          <w:sz w:val="32"/>
        </w:rPr>
        <w:t>11.其他支出(类)395.10万元,占7.64%。</w:t>
      </w:r>
    </w:p>
    <w:p w14:paraId="1A3E852A">
      <w:pPr>
        <w:spacing w:line="640" w:lineRule="exact"/>
        <w:ind w:firstLine="640"/>
        <w:jc w:val="both"/>
        <w:outlineLvl w:val="3"/>
      </w:pPr>
      <w:r>
        <w:rPr>
          <w:rFonts w:ascii="楷体_GB2312" w:hAnsi="楷体_GB2312" w:eastAsia="楷体_GB2312"/>
          <w:b/>
          <w:sz w:val="32"/>
        </w:rPr>
        <w:t>（三）一般公共预算财政拨款支出决算具体情况</w:t>
      </w:r>
    </w:p>
    <w:p w14:paraId="6FEF4E74">
      <w:pPr>
        <w:spacing w:line="580" w:lineRule="exact"/>
        <w:ind w:firstLine="640"/>
        <w:jc w:val="both"/>
      </w:pPr>
      <w:r>
        <w:rPr>
          <w:rFonts w:ascii="仿宋_GB2312" w:hAnsi="仿宋_GB2312" w:eastAsia="仿宋_GB2312"/>
          <w:b w:val="0"/>
          <w:sz w:val="32"/>
        </w:rPr>
        <w:t>1.一般公共服务支出(类)人大事务(款)人大代表履职能力提升(项):支出决算数为0.50万元，比上年决算增加0.50万元，增长100.00%,主要原因是：本年增加差旅费用，导致相关经费增加。</w:t>
      </w:r>
    </w:p>
    <w:p w14:paraId="4AD92A80">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2.一般公共服务支出(类)人大事务(款)代表工作(项):支出决算数为0.00万元，比上年决算减少0.50万元，下降100.00%,主要原因是：本年减少铁乡2023年广告制作费用，导致相关经费减少。</w:t>
      </w:r>
    </w:p>
    <w:p w14:paraId="404A1C4C">
      <w:pPr>
        <w:spacing w:line="580" w:lineRule="exact"/>
        <w:ind w:firstLine="640"/>
        <w:jc w:val="both"/>
      </w:pPr>
      <w:r>
        <w:rPr>
          <w:rFonts w:ascii="仿宋_GB2312" w:hAnsi="仿宋_GB2312" w:eastAsia="仿宋_GB2312"/>
          <w:b w:val="0"/>
          <w:sz w:val="32"/>
        </w:rPr>
        <w:t>3.一般公共服务支出(类)人大事务(款)其他人大事务支出(项):支出决算数为0.50万元，比上年决算减少2.37万元，下降82.58%,主要原因是：本年减少铁乡办公设备维修费用，导致相关经费减少。</w:t>
      </w:r>
    </w:p>
    <w:p w14:paraId="4FF4958E">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4.一般公共服务支出(类)政府办公厅（室）及相关机构事务(款)行政运行(项):支出决算数为790.97万元，比上年决算减少1.47万元，下降0.19%,主要原因是：本年在职人员减少，相应人员经费较上年减少。</w:t>
      </w:r>
    </w:p>
    <w:p w14:paraId="479A0D00">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5.一般公共服务支出(类)政府办公厅（室）及相关机构事务(款)事业运行(项):支出决算数为453.61万元，比上年决算增加10.09万元，增长2.27%,主要原因是：本年在职人员工资调增，导致相关人员经费较上年有所增加。</w:t>
      </w:r>
    </w:p>
    <w:p w14:paraId="7B1A484A">
      <w:pPr>
        <w:spacing w:line="580" w:lineRule="exact"/>
        <w:ind w:firstLine="640"/>
        <w:jc w:val="both"/>
      </w:pPr>
      <w:r>
        <w:rPr>
          <w:rFonts w:ascii="仿宋_GB2312" w:hAnsi="仿宋_GB2312" w:eastAsia="仿宋_GB2312"/>
          <w:b w:val="0"/>
          <w:sz w:val="32"/>
        </w:rPr>
        <w:t>6.一般公共服务支出(类)政府办公厅（室）及相关机构事务(款)其他政府办公厅（室）及相关机构事务支出(项):支出决算数为63.00万元，比上年决算增加49.00万元，增长350.00%,主要原因是：本年功能科目调整，民兵1-12月生活补助经费上年度在民兵科目列支，本年调整至其他政府办公厅（室）及相关机构事务支出科目列支，导致经费较上年增加。</w:t>
      </w:r>
    </w:p>
    <w:p w14:paraId="2D4F2FC9">
      <w:pPr>
        <w:spacing w:line="580" w:lineRule="exact"/>
        <w:ind w:firstLine="640"/>
        <w:jc w:val="both"/>
      </w:pPr>
      <w:r>
        <w:rPr>
          <w:rFonts w:ascii="仿宋_GB2312" w:hAnsi="仿宋_GB2312" w:eastAsia="仿宋_GB2312"/>
          <w:b w:val="0"/>
          <w:sz w:val="32"/>
        </w:rPr>
        <w:t>7.一般公共服务支出(类)统计信息事务(款)专项普查活动(项):支出决算数为0.00万元，比上年决算减少0.21万元，下降100.00%,主要原因是：本年减少铁乡干部差旅费，导致相关经费减少。</w:t>
      </w:r>
    </w:p>
    <w:p w14:paraId="25715EC2">
      <w:pPr>
        <w:spacing w:line="580" w:lineRule="exact"/>
        <w:ind w:firstLine="640"/>
        <w:jc w:val="both"/>
      </w:pPr>
      <w:r>
        <w:rPr>
          <w:rFonts w:ascii="仿宋_GB2312" w:hAnsi="仿宋_GB2312" w:eastAsia="仿宋_GB2312"/>
          <w:b w:val="0"/>
          <w:sz w:val="32"/>
        </w:rPr>
        <w:t>8.一般公共服务支出(类)纪检监察事务(款)其他纪检监察事务支出(项):支出决算数为19.56万元，比上年决算增加12.86万元，增长191.94%,主要原因是：本年增加铁乡办公设备维修款、政府公务车加油费，导致相关经费增加。</w:t>
      </w:r>
    </w:p>
    <w:p w14:paraId="35686265">
      <w:pPr>
        <w:spacing w:line="580" w:lineRule="exact"/>
        <w:ind w:firstLine="640"/>
        <w:jc w:val="both"/>
      </w:pPr>
      <w:r>
        <w:rPr>
          <w:rFonts w:ascii="仿宋_GB2312" w:hAnsi="仿宋_GB2312" w:eastAsia="仿宋_GB2312"/>
          <w:b w:val="0"/>
          <w:sz w:val="32"/>
        </w:rPr>
        <w:t>9.一般公共服务支出(类)组织事务(款)其他组织事务支出(项):支出决算数为96.91万元，比上年决算减少112.89万元，下降53.81%,主要原因是：本年减少牧业村水电暖维修费用、干部生宿舍水电维修费用；减少三老医疗补助、三老人员生活补助经费，导致相关经费减少。</w:t>
      </w:r>
    </w:p>
    <w:p w14:paraId="2C6CBC2D">
      <w:pPr>
        <w:spacing w:line="580" w:lineRule="exact"/>
        <w:ind w:firstLine="640"/>
        <w:jc w:val="both"/>
      </w:pPr>
      <w:r>
        <w:rPr>
          <w:rFonts w:ascii="仿宋_GB2312" w:hAnsi="仿宋_GB2312" w:eastAsia="仿宋_GB2312"/>
          <w:b w:val="0"/>
          <w:sz w:val="32"/>
        </w:rPr>
        <w:t>10.一般公共服务支出(类)统战事务(款)宗教事务(项):支出决算数为0.00万元，比上年决算减少0.60万元，下降100.00%,主要原因是：本年减少寺管会4-5月生活补助经费，导致相关经费减少。</w:t>
      </w:r>
    </w:p>
    <w:p w14:paraId="31511CF3">
      <w:pPr>
        <w:spacing w:line="580" w:lineRule="exact"/>
        <w:ind w:firstLine="640"/>
        <w:jc w:val="both"/>
      </w:pPr>
      <w:r>
        <w:rPr>
          <w:rFonts w:ascii="仿宋_GB2312" w:hAnsi="仿宋_GB2312" w:eastAsia="仿宋_GB2312"/>
          <w:b w:val="0"/>
          <w:sz w:val="32"/>
        </w:rPr>
        <w:t>11.一般公共服务支出(类)统战事务(款)其他统战事务支出(项):支出决算数为0.00万元，比上年决算减少1.34万元，下降100.00%,主要原因是：本年减少寺管会人员2-3月生活补助经费，导致相关经费减少。</w:t>
      </w:r>
    </w:p>
    <w:p w14:paraId="0A4B9D58">
      <w:pPr>
        <w:spacing w:line="580" w:lineRule="exact"/>
        <w:ind w:firstLine="640"/>
        <w:jc w:val="both"/>
      </w:pPr>
      <w:r>
        <w:rPr>
          <w:rFonts w:ascii="仿宋_GB2312" w:hAnsi="仿宋_GB2312" w:eastAsia="仿宋_GB2312"/>
          <w:b w:val="0"/>
          <w:sz w:val="32"/>
        </w:rPr>
        <w:t>12.国防支出(类)国防动员(款)民兵(项):支出决算数为0.00万元，比上年决算减少71.52万元，下降100.00%,主要原因是：本年功能科目调整，民兵1-12月生活补助经费上年度在民兵科目列支，本年调整至其他政府办公厅（室）及相关机构事务支出科目列支，导致经费较上年减少。</w:t>
      </w:r>
    </w:p>
    <w:p w14:paraId="201145A6">
      <w:pPr>
        <w:spacing w:line="580" w:lineRule="exact"/>
        <w:ind w:firstLine="640"/>
        <w:jc w:val="both"/>
      </w:pPr>
      <w:r>
        <w:rPr>
          <w:rFonts w:ascii="仿宋_GB2312" w:hAnsi="仿宋_GB2312" w:eastAsia="仿宋_GB2312"/>
          <w:b w:val="0"/>
          <w:sz w:val="32"/>
        </w:rPr>
        <w:t>13.公共安全支出(类)公安(款)其他公安支出(项):支出决算数为0.00万元，比上年决算减少10.00万元，下降100.00%,主要原因是：本年减少矛盾纠纷奖励金经费，导致相关经费减少。</w:t>
      </w:r>
    </w:p>
    <w:p w14:paraId="1E5D9E87">
      <w:pPr>
        <w:spacing w:line="580" w:lineRule="exact"/>
        <w:ind w:firstLine="640"/>
        <w:jc w:val="both"/>
      </w:pPr>
      <w:r>
        <w:rPr>
          <w:rFonts w:ascii="仿宋_GB2312" w:hAnsi="仿宋_GB2312" w:eastAsia="仿宋_GB2312"/>
          <w:b w:val="0"/>
          <w:sz w:val="32"/>
        </w:rPr>
        <w:t>14.公共安全支出(类)其他公共安全支出(款)其他公共安全支出(项):支出决算数为88.28万元，比上年决算增加11.00万元，增长14.23%,主要原因是：本年功能科目调整，专项信息经费上年度在科普活动列支，本年调整至其他公共安全支出科目列支，导致经费较上年增加。</w:t>
      </w:r>
    </w:p>
    <w:p w14:paraId="54F69107">
      <w:pPr>
        <w:spacing w:line="580" w:lineRule="exact"/>
        <w:ind w:firstLine="640"/>
        <w:jc w:val="both"/>
      </w:pPr>
      <w:r>
        <w:rPr>
          <w:rFonts w:ascii="仿宋_GB2312" w:hAnsi="仿宋_GB2312" w:eastAsia="仿宋_GB2312"/>
          <w:b w:val="0"/>
          <w:sz w:val="32"/>
        </w:rPr>
        <w:t>15.科学技术支出(类)科学技术普及(款)科普活动(项):支出决算数为4.50万元，比上年决算减少6.00万元，下降57.14%,主要原因是：本年功能科目调整，专项信息经费上年度在科普活动列支，本年调整至其他公共安全支出科目列支，导致经费较上年减少。</w:t>
      </w:r>
    </w:p>
    <w:p w14:paraId="6994A022">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5.20万元，比上年决算增加5.20万元，增长100.00%,主要原因是：本年增加铁乡广告制作费用、购买书籍费、宣传牌制作费、参加比赛人员补助经费，导致相关经费增加。</w:t>
      </w:r>
    </w:p>
    <w:p w14:paraId="216B0559">
      <w:pPr>
        <w:spacing w:line="580" w:lineRule="exact"/>
        <w:ind w:firstLine="640"/>
        <w:jc w:val="both"/>
      </w:pPr>
      <w:r>
        <w:rPr>
          <w:rFonts w:ascii="仿宋_GB2312" w:hAnsi="仿宋_GB2312" w:eastAsia="仿宋_GB2312"/>
          <w:b w:val="0"/>
          <w:sz w:val="32"/>
        </w:rPr>
        <w:t>17.文化旅游体育与传媒支出(类)其他文化旅游体育与传媒支出(款)其他文化旅游体育与传媒支出(项):支出决算数为4.48万元，比上年决算减少4.70万元，下降51.20%,主要原因是：本年减少铁乡办公设备维修费用、车辆租赁费、燃油费用，导致相关经费减少。</w:t>
      </w:r>
    </w:p>
    <w:p w14:paraId="606441D9">
      <w:pPr>
        <w:spacing w:line="580" w:lineRule="exact"/>
        <w:ind w:firstLine="640"/>
        <w:jc w:val="both"/>
      </w:pPr>
      <w:r>
        <w:rPr>
          <w:rFonts w:ascii="仿宋_GB2312" w:hAnsi="仿宋_GB2312" w:eastAsia="仿宋_GB2312"/>
          <w:b w:val="0"/>
          <w:sz w:val="32"/>
        </w:rPr>
        <w:t>18.社会保障和就业支出(类)行政事业单位养老支出(款)行政单位离退休(项):支出决算数为36.63万元，比上年决算增加33.13万元，增长946.57%,主要原因是：本年新增死亡人员，导致死亡抚恤金支出增加。</w:t>
      </w:r>
    </w:p>
    <w:p w14:paraId="64AD8E80">
      <w:pPr>
        <w:spacing w:line="580" w:lineRule="exact"/>
        <w:ind w:firstLine="640"/>
        <w:jc w:val="both"/>
      </w:pPr>
      <w:r>
        <w:rPr>
          <w:rFonts w:ascii="仿宋_GB2312" w:hAnsi="仿宋_GB2312" w:eastAsia="仿宋_GB2312"/>
          <w:b w:val="0"/>
          <w:sz w:val="32"/>
        </w:rPr>
        <w:t>19.社会保障和就业支出(类)行政事业单位养老支出(款)事业单位离退休(项):支出决算数为0.89万元，比上年决算增加0.66万元，增长286.96%,主要原因是：本年退休人员增加，退休费支出增加。</w:t>
      </w:r>
    </w:p>
    <w:p w14:paraId="2B07A9CF">
      <w:pPr>
        <w:spacing w:line="580" w:lineRule="exact"/>
        <w:ind w:firstLine="640"/>
        <w:jc w:val="both"/>
      </w:pPr>
      <w:r>
        <w:rPr>
          <w:rFonts w:ascii="仿宋_GB2312" w:hAnsi="仿宋_GB2312" w:eastAsia="仿宋_GB2312"/>
          <w:b w:val="0"/>
          <w:sz w:val="32"/>
        </w:rPr>
        <w:t>20.社会保障和就业支出(类)行政事业单位养老支出(款)机关事业单位基本养老保险缴费支出(项):支出决算数为150.05万元，比上年决算增加22.14万元，增长17.31%,主要原因是：本年在职人员工资基数调增，养老缴费基数上涨，相应支出增加。</w:t>
      </w:r>
    </w:p>
    <w:p w14:paraId="0B2BED5F">
      <w:pPr>
        <w:spacing w:line="580" w:lineRule="exact"/>
        <w:ind w:firstLine="640"/>
        <w:jc w:val="both"/>
      </w:pPr>
      <w:r>
        <w:rPr>
          <w:rFonts w:ascii="仿宋_GB2312" w:hAnsi="仿宋_GB2312" w:eastAsia="仿宋_GB2312"/>
          <w:b w:val="0"/>
          <w:sz w:val="32"/>
        </w:rPr>
        <w:t>21.社会保障和就业支出(类)行政事业单位养老支出(款)机关事业单位职业年金缴费支出(项):支出决算数为18.72万元，比上年决算增加18.72万元，增长100.00%,主要原因是：本年新增退休人员，职业年金缴费支出增加。</w:t>
      </w:r>
    </w:p>
    <w:p w14:paraId="59AFDC6F">
      <w:pPr>
        <w:spacing w:line="580" w:lineRule="exact"/>
        <w:ind w:firstLine="640"/>
        <w:jc w:val="both"/>
      </w:pPr>
      <w:r>
        <w:rPr>
          <w:rFonts w:ascii="仿宋_GB2312" w:hAnsi="仿宋_GB2312" w:eastAsia="仿宋_GB2312"/>
          <w:b w:val="0"/>
          <w:sz w:val="32"/>
        </w:rPr>
        <w:t>22.社会保障和就业支出(类)就业补助(款)公益性岗位补贴(项):支出决算数为0.00万元，比上年决算减少0.96万元，下降100.00%,主要原因是：本年减少铁乡公岗补发工资经费，导致相关经费减少。</w:t>
      </w:r>
    </w:p>
    <w:p w14:paraId="607DCDF3">
      <w:pPr>
        <w:spacing w:line="580" w:lineRule="exact"/>
        <w:ind w:firstLine="640"/>
        <w:jc w:val="both"/>
      </w:pPr>
      <w:r>
        <w:rPr>
          <w:rFonts w:ascii="仿宋_GB2312" w:hAnsi="仿宋_GB2312" w:eastAsia="仿宋_GB2312"/>
          <w:b w:val="0"/>
          <w:sz w:val="32"/>
        </w:rPr>
        <w:t>23.社会保障和就业支出(类)就业补助(款)其他就业补助支出(项):支出决算数为3.03万元，比上年决算增加3.03万元，增长100.00%,主要原因是：本年增加政府车辆租赁费，导致相关经费增加。</w:t>
      </w:r>
    </w:p>
    <w:p w14:paraId="5DBE6783">
      <w:pPr>
        <w:spacing w:line="580" w:lineRule="exact"/>
        <w:ind w:firstLine="640"/>
        <w:jc w:val="both"/>
      </w:pPr>
      <w:r>
        <w:rPr>
          <w:rFonts w:ascii="仿宋_GB2312" w:hAnsi="仿宋_GB2312" w:eastAsia="仿宋_GB2312"/>
          <w:b w:val="0"/>
          <w:sz w:val="32"/>
        </w:rPr>
        <w:t>24.社会保障和就业支出(类)社会福利(款)老年福利(项):支出决算数为41.00万元，比上年决算增加33.30万元，增长432.47%,主要原因是：本年增加铁乡各村助餐点打地坪费用，助餐点修缮费，导致相关经费增加。</w:t>
      </w:r>
    </w:p>
    <w:p w14:paraId="07C388AE">
      <w:pPr>
        <w:spacing w:line="580" w:lineRule="exact"/>
        <w:ind w:firstLine="640"/>
        <w:jc w:val="both"/>
      </w:pPr>
      <w:r>
        <w:rPr>
          <w:rFonts w:ascii="仿宋_GB2312" w:hAnsi="仿宋_GB2312" w:eastAsia="仿宋_GB2312"/>
          <w:b w:val="0"/>
          <w:sz w:val="32"/>
        </w:rPr>
        <w:t>25.社会保障和就业支出(类)残疾人事业(款)其他残疾人事业支出(项):支出决算数为0.00万元，比上年决算减少1.40万元，下降100.00%,主要原因是：本年减少助餐点厨房物品采购经费，导致相关经费减少。</w:t>
      </w:r>
    </w:p>
    <w:p w14:paraId="1B3A2075">
      <w:pPr>
        <w:spacing w:line="580" w:lineRule="exact"/>
        <w:ind w:firstLine="640"/>
        <w:jc w:val="both"/>
      </w:pPr>
      <w:r>
        <w:rPr>
          <w:rFonts w:ascii="仿宋_GB2312" w:hAnsi="仿宋_GB2312" w:eastAsia="仿宋_GB2312"/>
          <w:b w:val="0"/>
          <w:sz w:val="32"/>
        </w:rPr>
        <w:t>26.卫生健康支出(类)公共卫生(款)重大公共卫生服务(项):支出决算数为23.17万元，比上年决算增加23.17万元，增长100.00%,主要原因是：本年增加铁乡服务区疫情期间伙食费、疫情期间宿舍维修费、停车场改造费、疫情期间馕饼费，导致相关经费增加。</w:t>
      </w:r>
    </w:p>
    <w:p w14:paraId="670081D0">
      <w:pPr>
        <w:spacing w:line="580" w:lineRule="exact"/>
        <w:ind w:firstLine="640"/>
        <w:jc w:val="both"/>
      </w:pPr>
      <w:r>
        <w:rPr>
          <w:rFonts w:ascii="仿宋_GB2312" w:hAnsi="仿宋_GB2312" w:eastAsia="仿宋_GB2312"/>
          <w:b w:val="0"/>
          <w:sz w:val="32"/>
        </w:rPr>
        <w:t>27.卫生健康支出(类)行政事业单位医疗(款)行政单位医疗(项):支出决算数为41.20万元，比上年决算增加3.47万元，增长9.20%,主要原因是：本年在职人员工资基数调增，医疗缴费基数上涨，相应支出增加。</w:t>
      </w:r>
    </w:p>
    <w:p w14:paraId="72285E7D">
      <w:pPr>
        <w:spacing w:line="580" w:lineRule="exact"/>
        <w:ind w:firstLine="640"/>
        <w:jc w:val="both"/>
      </w:pPr>
      <w:r>
        <w:rPr>
          <w:rFonts w:ascii="仿宋_GB2312" w:hAnsi="仿宋_GB2312" w:eastAsia="仿宋_GB2312"/>
          <w:b w:val="0"/>
          <w:sz w:val="32"/>
        </w:rPr>
        <w:t>28.卫生健康支出(类)行政事业单位医疗(款)事业单位医疗(项):支出决算数为27.39万元，比上年决算增加6.31万元，增长29.93%,主要原因是：本年在职人员工资基数调增，医疗缴费基数上涨，相应支出增加。</w:t>
      </w:r>
    </w:p>
    <w:p w14:paraId="66987806">
      <w:pPr>
        <w:spacing w:line="580" w:lineRule="exact"/>
        <w:ind w:firstLine="640"/>
        <w:jc w:val="both"/>
      </w:pPr>
      <w:r>
        <w:rPr>
          <w:rFonts w:ascii="仿宋_GB2312" w:hAnsi="仿宋_GB2312" w:eastAsia="仿宋_GB2312"/>
          <w:b w:val="0"/>
          <w:sz w:val="32"/>
        </w:rPr>
        <w:t>29.卫生健康支出(类)行政事业单位医疗(款)公务员医疗补助(项):支出决算数为16.88万元，比上年决算增加2.46万元，增长17.06%,主要原因是：本年在职人员工资基数调增，医疗缴费基数上涨，相应支出增加。</w:t>
      </w:r>
    </w:p>
    <w:p w14:paraId="1A512823">
      <w:pPr>
        <w:spacing w:line="580" w:lineRule="exact"/>
        <w:ind w:firstLine="640"/>
        <w:jc w:val="both"/>
      </w:pPr>
      <w:r>
        <w:rPr>
          <w:rFonts w:ascii="仿宋_GB2312" w:hAnsi="仿宋_GB2312" w:eastAsia="仿宋_GB2312"/>
          <w:b w:val="0"/>
          <w:sz w:val="32"/>
        </w:rPr>
        <w:t>30.城乡社区支出(类)城乡社区公共设施(款)其他城乡社区公共设施支出(项):支出决算数为73.22万元，比上年决算增加73.22万元，增长100.00%,主要原因是：本年增加轮台县2024年“五小”工程、2024年村级组织活动场所建设项目经费，导致相关经费增加。</w:t>
      </w:r>
    </w:p>
    <w:p w14:paraId="1EC616E7">
      <w:pPr>
        <w:spacing w:line="580" w:lineRule="exact"/>
        <w:ind w:firstLine="640"/>
        <w:jc w:val="both"/>
      </w:pPr>
      <w:r>
        <w:rPr>
          <w:rFonts w:ascii="仿宋_GB2312" w:hAnsi="仿宋_GB2312" w:eastAsia="仿宋_GB2312"/>
          <w:b w:val="0"/>
          <w:sz w:val="32"/>
        </w:rPr>
        <w:t>31.农林水支出(类)农业农村(款)农业资源保护修复与利用(项):支出决算数为0.00万元，比上年决算减少37.81万元，下降100.00%,主要原因是：本年减少2022年残膜补贴经费，导致相关经费减少。</w:t>
      </w:r>
    </w:p>
    <w:p w14:paraId="582825D0">
      <w:pPr>
        <w:spacing w:line="580" w:lineRule="exact"/>
        <w:ind w:firstLine="640"/>
        <w:jc w:val="both"/>
      </w:pPr>
      <w:r>
        <w:rPr>
          <w:rFonts w:ascii="仿宋_GB2312" w:hAnsi="仿宋_GB2312" w:eastAsia="仿宋_GB2312"/>
          <w:b w:val="0"/>
          <w:sz w:val="32"/>
        </w:rPr>
        <w:t>32.农林水支出(类)农业农村(款)对高校毕业生到基层任职补助(项):支出决算数为0.00万元，比上年决算减少1.99万元，下降100.00%,主要原因是：本年减少铁乡干部宿舍水电维修费用，导致相关经费减少。</w:t>
      </w:r>
    </w:p>
    <w:p w14:paraId="6413272E">
      <w:pPr>
        <w:spacing w:line="580" w:lineRule="exact"/>
        <w:ind w:firstLine="640"/>
        <w:jc w:val="both"/>
      </w:pPr>
      <w:r>
        <w:rPr>
          <w:rFonts w:ascii="仿宋_GB2312" w:hAnsi="仿宋_GB2312" w:eastAsia="仿宋_GB2312"/>
          <w:b w:val="0"/>
          <w:sz w:val="32"/>
        </w:rPr>
        <w:t>33.农林水支出(类)巩固脱贫攻坚成果衔接乡村振兴(款)农村基础设施建设(项):支出决算数为658.94万元，比上年决算增加658.94万元，增长100.00%,主要原因是：本年增加铁乡厕所革命项目、铁乡粪污项目工程、铁乡玉村业务用房工程，导致相关经费增加。</w:t>
      </w:r>
    </w:p>
    <w:p w14:paraId="53C1D9B2">
      <w:pPr>
        <w:spacing w:line="580" w:lineRule="exact"/>
        <w:ind w:firstLine="640"/>
        <w:jc w:val="both"/>
      </w:pPr>
      <w:r>
        <w:rPr>
          <w:rFonts w:ascii="仿宋_GB2312" w:hAnsi="仿宋_GB2312" w:eastAsia="仿宋_GB2312"/>
          <w:b w:val="0"/>
          <w:sz w:val="32"/>
        </w:rPr>
        <w:t>34.农林水支出(类)巩固脱贫攻坚成果衔接乡村振兴(款)生产发展(项):支出决算数为1,871.15万元，比上年决算增加1,871.15万元，增长100.00%,主要原因是：本年增加轮台县振兴牧业产业园（三期）玉米烘干房项目、铁热克巴扎乡辣椒酱厂建设项目、铁热克巴扎乡创业就业基地建设项目、铁热克巴扎乡防渗渠建设项目、轮台县2024年示范村人居环境整治建设项目、铁热克巴扎乡托乎拉村乡村旅游基础设施建设项目，导致相关经费增加。</w:t>
      </w:r>
    </w:p>
    <w:p w14:paraId="0F7726B1">
      <w:pPr>
        <w:spacing w:line="580" w:lineRule="exact"/>
        <w:ind w:firstLine="640"/>
        <w:jc w:val="both"/>
      </w:pPr>
      <w:r>
        <w:rPr>
          <w:rFonts w:ascii="仿宋_GB2312" w:hAnsi="仿宋_GB2312" w:eastAsia="仿宋_GB2312"/>
          <w:b w:val="0"/>
          <w:sz w:val="32"/>
        </w:rPr>
        <w:t>35.农林水支出(类)巩固脱贫攻坚成果衔接乡村振兴(款)其他巩固脱贫攻坚成果衔接乡村振兴支出(项):支出决算数为67.59万元，比上年决算增加67.59万元，增长100.00%,主要原因是：本年增加劳动力输出租车费、铁乡环境整治项目设计费、铁乡厕所革命项目设计费、铁乡环境整治项目监理费、铁乡玉米烘干房项目监理费等，导致相关经费增加。</w:t>
      </w:r>
    </w:p>
    <w:p w14:paraId="597B2A07">
      <w:pPr>
        <w:spacing w:line="580" w:lineRule="exact"/>
        <w:ind w:firstLine="640"/>
        <w:jc w:val="both"/>
      </w:pPr>
      <w:r>
        <w:rPr>
          <w:rFonts w:ascii="仿宋_GB2312" w:hAnsi="仿宋_GB2312" w:eastAsia="仿宋_GB2312"/>
          <w:b w:val="0"/>
          <w:sz w:val="32"/>
        </w:rPr>
        <w:t>36.农林水支出(类)农村综合改革(款)对村级公益事业建设的补助(项):支出决算数为18.15万元，比上年决算减少181.50万元，下降90.91%,主要原因是：本年减少铁乡美丽乡村项目经费，导致相关经费减少。</w:t>
      </w:r>
    </w:p>
    <w:p w14:paraId="7524563B">
      <w:pPr>
        <w:spacing w:line="580" w:lineRule="exact"/>
        <w:ind w:firstLine="640"/>
        <w:jc w:val="both"/>
      </w:pPr>
      <w:r>
        <w:rPr>
          <w:rFonts w:ascii="仿宋_GB2312" w:hAnsi="仿宋_GB2312" w:eastAsia="仿宋_GB2312"/>
          <w:b w:val="0"/>
          <w:sz w:val="32"/>
        </w:rPr>
        <w:t>37.农林水支出(类)农村综合改革(款)对村民委员会和村党支部的补助(项):支出决算数为18.00万元，比上年决算减少289.70万元，下降94.15%,主要原因是：本年减少小组长、副小组长、</w:t>
      </w:r>
      <w:r>
        <w:rPr>
          <w:rFonts w:hint="eastAsia" w:ascii="仿宋_GB2312" w:hAnsi="仿宋_GB2312" w:eastAsia="仿宋_GB2312"/>
          <w:b w:val="0"/>
          <w:sz w:val="32"/>
          <w:lang w:eastAsia="zh-CN"/>
        </w:rPr>
        <w:t>村“两委”</w:t>
      </w:r>
      <w:r>
        <w:rPr>
          <w:rFonts w:ascii="仿宋_GB2312" w:hAnsi="仿宋_GB2312" w:eastAsia="仿宋_GB2312"/>
          <w:b w:val="0"/>
          <w:sz w:val="32"/>
        </w:rPr>
        <w:t>生活补助经费，导致相关经费减少。</w:t>
      </w:r>
    </w:p>
    <w:p w14:paraId="1F720E3E">
      <w:pPr>
        <w:spacing w:line="580" w:lineRule="exact"/>
        <w:ind w:firstLine="640"/>
        <w:jc w:val="both"/>
      </w:pPr>
      <w:r>
        <w:rPr>
          <w:rFonts w:ascii="仿宋_GB2312" w:hAnsi="仿宋_GB2312" w:eastAsia="仿宋_GB2312"/>
          <w:b w:val="0"/>
          <w:sz w:val="32"/>
        </w:rPr>
        <w:t>38.住房保障支出(类)住房改革支出(款)住房公积金(项):支出决算数为129.68万元，比上年决算增加17.01万元，增长15.10%,主要原因是：本年在职人员工资基数调增，公积金缴费基数上涨，相应支出增加。</w:t>
      </w:r>
    </w:p>
    <w:p w14:paraId="3029F3D5">
      <w:pPr>
        <w:spacing w:line="580" w:lineRule="exact"/>
        <w:ind w:firstLine="640"/>
        <w:jc w:val="both"/>
      </w:pPr>
      <w:r>
        <w:rPr>
          <w:rFonts w:ascii="仿宋_GB2312" w:hAnsi="仿宋_GB2312" w:eastAsia="仿宋_GB2312"/>
          <w:b w:val="0"/>
          <w:sz w:val="32"/>
        </w:rPr>
        <w:t>39.灾害防治及应急管理支出(类)消防救援事务(款)消防应急救援(项):支出决算数为49.97万元，比上年决算增加28.02万元，增长127.65%,主要原因是：本年增加铁乡消防站锅炉维修费、消防站办公设备维修费、消防站设备费用，导致相关经费增加。</w:t>
      </w:r>
    </w:p>
    <w:p w14:paraId="2735772B">
      <w:pPr>
        <w:spacing w:line="580" w:lineRule="exact"/>
        <w:ind w:firstLine="640"/>
        <w:jc w:val="both"/>
      </w:pPr>
      <w:r>
        <w:rPr>
          <w:rFonts w:ascii="仿宋_GB2312" w:hAnsi="仿宋_GB2312" w:eastAsia="仿宋_GB2312"/>
          <w:b w:val="0"/>
          <w:sz w:val="32"/>
        </w:rPr>
        <w:t>40.其他支出(类)其他支出(款)其他支出(项):支出决算数为395.10万元，比上年决算增加395.10万元，增长100.00%,主要原因是：本年增加周转房项目工程费、工作队10-11月生活补助费用，导致相关经费增加。</w:t>
      </w:r>
    </w:p>
    <w:p w14:paraId="214BB0F6">
      <w:pPr>
        <w:spacing w:line="640" w:lineRule="exact"/>
        <w:ind w:firstLine="640"/>
        <w:jc w:val="both"/>
        <w:outlineLvl w:val="2"/>
      </w:pPr>
      <w:r>
        <w:rPr>
          <w:rFonts w:ascii="黑体" w:hAnsi="黑体" w:eastAsia="黑体"/>
          <w:sz w:val="32"/>
        </w:rPr>
        <w:t>六、一般公共预算财政拨款基本支出决算情况说明</w:t>
      </w:r>
    </w:p>
    <w:p w14:paraId="7005C1E6">
      <w:pPr>
        <w:spacing w:line="580" w:lineRule="exact"/>
        <w:ind w:firstLine="640"/>
        <w:jc w:val="both"/>
      </w:pPr>
      <w:r>
        <w:rPr>
          <w:rFonts w:ascii="仿宋_GB2312" w:hAnsi="仿宋_GB2312" w:eastAsia="仿宋_GB2312"/>
          <w:b w:val="0"/>
          <w:sz w:val="32"/>
        </w:rPr>
        <w:t>2024年度一般公共预算财政拨款基本支出2,134.51万元，其中：</w:t>
      </w:r>
      <w:r>
        <w:rPr>
          <w:rFonts w:ascii="仿宋_GB2312" w:hAnsi="仿宋_GB2312" w:eastAsia="仿宋_GB2312"/>
          <w:b/>
          <w:sz w:val="32"/>
        </w:rPr>
        <w:t>人员经费1,940.61万元，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w:t>
      </w:r>
    </w:p>
    <w:p w14:paraId="5BAA72AA">
      <w:pPr>
        <w:spacing w:line="580" w:lineRule="exact"/>
        <w:ind w:firstLine="640"/>
        <w:jc w:val="both"/>
      </w:pPr>
      <w:r>
        <w:rPr>
          <w:rFonts w:ascii="仿宋_GB2312" w:hAnsi="仿宋_GB2312" w:eastAsia="仿宋_GB2312"/>
          <w:b/>
          <w:sz w:val="32"/>
        </w:rPr>
        <w:t>公用经费193.90万元，</w:t>
      </w:r>
      <w:r>
        <w:rPr>
          <w:rFonts w:ascii="仿宋_GB2312" w:hAnsi="仿宋_GB2312" w:eastAsia="仿宋_GB2312"/>
          <w:b w:val="0"/>
          <w:sz w:val="32"/>
        </w:rPr>
        <w:t>包括：办公费、手续费、水费、电费、邮电费、取暖费、差旅费、维修（护）费、专用材料费、公务用车运行维护费、其他交通费用、办公设备购置。</w:t>
      </w:r>
    </w:p>
    <w:p w14:paraId="056420FA">
      <w:pPr>
        <w:spacing w:line="640" w:lineRule="exact"/>
        <w:ind w:firstLine="640"/>
        <w:jc w:val="both"/>
        <w:outlineLvl w:val="2"/>
      </w:pPr>
      <w:r>
        <w:rPr>
          <w:rFonts w:ascii="黑体" w:hAnsi="黑体" w:eastAsia="黑体"/>
          <w:sz w:val="32"/>
        </w:rPr>
        <w:t>七、政府性基金预算财政拨款收入支出决算情况说明</w:t>
      </w:r>
    </w:p>
    <w:p w14:paraId="3A2929B8">
      <w:pPr>
        <w:spacing w:line="580" w:lineRule="exact"/>
        <w:ind w:firstLine="640"/>
        <w:jc w:val="both"/>
      </w:pPr>
      <w:r>
        <w:rPr>
          <w:rFonts w:ascii="仿宋_GB2312" w:hAnsi="仿宋_GB2312" w:eastAsia="仿宋_GB2312"/>
          <w:b/>
          <w:sz w:val="32"/>
        </w:rPr>
        <w:t>2024年度政府性基金预算财政拨款收入总计42.96万元，</w:t>
      </w:r>
      <w:r>
        <w:rPr>
          <w:rFonts w:ascii="仿宋_GB2312" w:hAnsi="仿宋_GB2312" w:eastAsia="仿宋_GB2312"/>
          <w:b w:val="0"/>
          <w:sz w:val="32"/>
        </w:rPr>
        <w:t>其中：年初结转和结余0.00万元，本年收入42.96万元。</w:t>
      </w:r>
      <w:r>
        <w:rPr>
          <w:rFonts w:ascii="仿宋_GB2312" w:hAnsi="仿宋_GB2312" w:eastAsia="仿宋_GB2312"/>
          <w:b/>
          <w:sz w:val="32"/>
        </w:rPr>
        <w:t>政府性基金预算财政拨款支出总计42.96万元，</w:t>
      </w:r>
      <w:r>
        <w:rPr>
          <w:rFonts w:ascii="仿宋_GB2312" w:hAnsi="仿宋_GB2312" w:eastAsia="仿宋_GB2312"/>
          <w:b w:val="0"/>
          <w:sz w:val="32"/>
        </w:rPr>
        <w:t>其中：年末结转和结余0.00万元，本年支出42.96万元。</w:t>
      </w:r>
    </w:p>
    <w:p w14:paraId="1F16600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增加12.96万元，增长43.20%，主要原因是：本年增加铁乡石硫合剂费用，导致相关经费增加。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年初预算数0.00万元，决算数42.96万元，预决算差异率100.00%，主要原因是：年中追加铁乡石硫合剂费，导致预决算存在差异。</w:t>
      </w:r>
    </w:p>
    <w:p w14:paraId="0C85785F">
      <w:pPr>
        <w:spacing w:line="580" w:lineRule="exact"/>
        <w:ind w:firstLine="640"/>
        <w:jc w:val="both"/>
      </w:pPr>
      <w:r>
        <w:rPr>
          <w:rFonts w:ascii="仿宋_GB2312" w:hAnsi="仿宋_GB2312" w:eastAsia="仿宋_GB2312"/>
          <w:b w:val="0"/>
          <w:sz w:val="32"/>
        </w:rPr>
        <w:t>政府性基金预算财政拨款支出42.96万元。</w:t>
      </w:r>
    </w:p>
    <w:p w14:paraId="5BF8D96A">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1.城乡社区支出(类)国有土地使用权出让收入安排的支出(款)农业农村生态环境支出(项):支出决算数为42.96万元，比上年决算增加12.96万元，增长43.20%,主要原因是：本年增加铁乡石硫合剂费用，导致相关经费增加。</w:t>
      </w:r>
    </w:p>
    <w:p w14:paraId="27D9F5AF">
      <w:pPr>
        <w:spacing w:line="640" w:lineRule="exact"/>
        <w:ind w:firstLine="640"/>
        <w:jc w:val="both"/>
        <w:outlineLvl w:val="2"/>
      </w:pPr>
      <w:r>
        <w:rPr>
          <w:rFonts w:ascii="黑体" w:hAnsi="黑体" w:eastAsia="黑体"/>
          <w:sz w:val="32"/>
        </w:rPr>
        <w:t>八、国有资本经营预算财政拨款收入支出决算情况说明</w:t>
      </w:r>
    </w:p>
    <w:p w14:paraId="38B5F1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E47E2B">
      <w:pPr>
        <w:spacing w:line="640" w:lineRule="exact"/>
        <w:ind w:firstLine="640"/>
        <w:jc w:val="both"/>
        <w:outlineLvl w:val="2"/>
      </w:pPr>
      <w:r>
        <w:rPr>
          <w:rFonts w:ascii="黑体" w:hAnsi="黑体" w:eastAsia="黑体"/>
          <w:sz w:val="32"/>
        </w:rPr>
        <w:t>九、财政拨款“三公”经费支出决算情况说明</w:t>
      </w:r>
    </w:p>
    <w:p w14:paraId="2E11C346">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减少6.51万元，下降83.35%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1.30万元，占100.00%，比上年减少6.51万元，下降83.35%，主要原因是：严格落实中央八项规定精神，厉行节约，减少公务用车运行维护费。公务接待费支出0.00万元，占0.00%，比上年增加0.00万元，增长0.00%，主要原因是：2023年与2024年均未安排公务接待费支出。</w:t>
      </w:r>
    </w:p>
    <w:p w14:paraId="5EADAAF5">
      <w:pPr>
        <w:spacing w:line="580" w:lineRule="exact"/>
        <w:ind w:firstLine="640"/>
        <w:jc w:val="both"/>
      </w:pPr>
      <w:r>
        <w:rPr>
          <w:rFonts w:ascii="仿宋_GB2312" w:hAnsi="仿宋_GB2312" w:eastAsia="仿宋_GB2312"/>
          <w:b/>
          <w:sz w:val="32"/>
        </w:rPr>
        <w:t>具体情况如下：</w:t>
      </w:r>
    </w:p>
    <w:p w14:paraId="4FBE185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610AA3">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燃油费、保险费、维修维护费、过路费等。公务用车购置数0辆，公务用车保有量16辆。国有资产占用情况中固定资产车辆16辆，与公务用车保有量差异原因是：本单位固定资产车辆与公务用车保有量一致无差异。</w:t>
      </w:r>
    </w:p>
    <w:p w14:paraId="29DE004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A8EE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1.30万元，决算数1.30万元，预决算差异率0.00%，主要原因是：严格按照预算执行，预决算无差异。公务接待费全年预算数0.00万元，决算数0.00万元，预决算差异率0.00%，主要原因是：本单位无公务接待费。</w:t>
      </w:r>
    </w:p>
    <w:p w14:paraId="0B340816">
      <w:pPr>
        <w:spacing w:line="640" w:lineRule="exact"/>
        <w:ind w:firstLine="640"/>
        <w:jc w:val="both"/>
        <w:outlineLvl w:val="2"/>
      </w:pPr>
      <w:r>
        <w:rPr>
          <w:rFonts w:ascii="黑体" w:hAnsi="黑体" w:eastAsia="黑体"/>
          <w:sz w:val="32"/>
        </w:rPr>
        <w:t>十、其他重要事项的情况说明</w:t>
      </w:r>
    </w:p>
    <w:p w14:paraId="5702AF67">
      <w:pPr>
        <w:spacing w:line="640" w:lineRule="exact"/>
        <w:ind w:firstLine="640"/>
        <w:jc w:val="both"/>
        <w:outlineLvl w:val="3"/>
      </w:pPr>
      <w:r>
        <w:rPr>
          <w:rFonts w:ascii="楷体_GB2312" w:hAnsi="楷体_GB2312" w:eastAsia="楷体_GB2312"/>
          <w:b/>
          <w:sz w:val="32"/>
        </w:rPr>
        <w:t>（一）机关运行经费及公用经费支出情况</w:t>
      </w:r>
    </w:p>
    <w:p w14:paraId="3C922FF7">
      <w:pPr>
        <w:spacing w:line="580" w:lineRule="exact"/>
        <w:ind w:firstLine="640"/>
        <w:jc w:val="both"/>
      </w:pPr>
      <w:r>
        <w:rPr>
          <w:rFonts w:ascii="仿宋_GB2312" w:hAnsi="仿宋_GB2312" w:eastAsia="仿宋_GB2312"/>
          <w:b w:val="0"/>
          <w:sz w:val="32"/>
        </w:rPr>
        <w:t>2024年度轮台县铁热克巴扎乡人民政府（行政单位和参照公务员法管理事业单位）机关运行经费支出236.86万元，比上年增加87.14万元，增长58.20%，主要原因是：本年增加铁乡消防站锅炉维修费、消防站办公设备维修费、消防站设备费用；增加铁乡广告制作费用、购买书籍费、宣传牌制作费、车辆租赁费，导致机关运行经费增加。</w:t>
      </w:r>
    </w:p>
    <w:p w14:paraId="554FBEF2">
      <w:pPr>
        <w:spacing w:line="640" w:lineRule="exact"/>
        <w:ind w:firstLine="640"/>
        <w:jc w:val="both"/>
        <w:outlineLvl w:val="3"/>
      </w:pPr>
      <w:r>
        <w:rPr>
          <w:rFonts w:ascii="楷体_GB2312" w:hAnsi="楷体_GB2312" w:eastAsia="楷体_GB2312"/>
          <w:b/>
          <w:sz w:val="32"/>
        </w:rPr>
        <w:t>（二）政府采购情况</w:t>
      </w:r>
    </w:p>
    <w:p w14:paraId="13F74DD4">
      <w:pPr>
        <w:spacing w:line="580" w:lineRule="exact"/>
        <w:ind w:firstLine="640"/>
        <w:jc w:val="both"/>
      </w:pPr>
      <w:r>
        <w:rPr>
          <w:rFonts w:ascii="仿宋_GB2312" w:hAnsi="仿宋_GB2312" w:eastAsia="仿宋_GB2312"/>
          <w:b w:val="0"/>
          <w:sz w:val="32"/>
        </w:rPr>
        <w:t>2024年度政府采购支出总额1,266.12万元，其中：政府采购货物支出501.27万元、政府采购工程支出608.09万元、政府采购服务支出156.76万元。</w:t>
      </w:r>
    </w:p>
    <w:p w14:paraId="42F94AD1">
      <w:pPr>
        <w:spacing w:line="580" w:lineRule="exact"/>
        <w:ind w:firstLine="640"/>
        <w:jc w:val="both"/>
      </w:pPr>
      <w:r>
        <w:rPr>
          <w:rFonts w:ascii="仿宋_GB2312" w:hAnsi="仿宋_GB2312" w:eastAsia="仿宋_GB2312"/>
          <w:b w:val="0"/>
          <w:sz w:val="32"/>
        </w:rPr>
        <w:t>授予中小企业合同金额1,266.12万元，占政府采购支出总额的100.00%，其中：授予小微企业合同金额1,224.64万元，占政府采购支出总额的96.72%。</w:t>
      </w:r>
    </w:p>
    <w:p w14:paraId="7204345E">
      <w:pPr>
        <w:spacing w:line="640" w:lineRule="exact"/>
        <w:ind w:firstLine="640"/>
        <w:jc w:val="both"/>
        <w:outlineLvl w:val="3"/>
      </w:pPr>
      <w:r>
        <w:rPr>
          <w:rFonts w:ascii="楷体_GB2312" w:hAnsi="楷体_GB2312" w:eastAsia="楷体_GB2312"/>
          <w:b/>
          <w:sz w:val="32"/>
        </w:rPr>
        <w:t>（三）国有资产占用情况说明</w:t>
      </w:r>
    </w:p>
    <w:p w14:paraId="770EB8D3">
      <w:pPr>
        <w:spacing w:line="580" w:lineRule="exact"/>
        <w:ind w:firstLine="640"/>
        <w:jc w:val="both"/>
      </w:pPr>
      <w:r>
        <w:rPr>
          <w:rFonts w:ascii="仿宋_GB2312" w:hAnsi="仿宋_GB2312" w:eastAsia="仿宋_GB2312"/>
          <w:b w:val="0"/>
          <w:sz w:val="32"/>
        </w:rPr>
        <w:t>截至2024年12月31日，房屋7,756.62平方米，价值1,260.84万元。车辆16辆，价值175.92万元，其中：副部（省）级及以上领导用车0辆、主要负责人用车2辆、机要通信用车0辆、应急保障用车0辆、执法执勤用车0辆、特种专业技术用车0辆、离退休干部服务用车0辆、其他用车14辆，其他用车主要是：一般公务用车。单价100万元（含）以上设备（不含车辆）2台（套）。</w:t>
      </w:r>
    </w:p>
    <w:p w14:paraId="3550F7BE">
      <w:pPr>
        <w:spacing w:line="640" w:lineRule="exact"/>
        <w:ind w:firstLine="640"/>
        <w:jc w:val="both"/>
        <w:outlineLvl w:val="2"/>
      </w:pPr>
      <w:r>
        <w:rPr>
          <w:rFonts w:ascii="黑体" w:hAnsi="黑体" w:eastAsia="黑体"/>
          <w:sz w:val="32"/>
        </w:rPr>
        <w:t>十一、预算绩效的情况说明</w:t>
      </w:r>
    </w:p>
    <w:p w14:paraId="2E694B8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5,426.22万元，实际执行总额5,272.63万元；预算绩效评价项目3个，全年预算数40.13万元，全年执行数39.75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专业知识与指标优化不足，绩效管理人员缺乏系统性专业知识，导致指标设置在细化、量化方面存在缺陷。在绩效自评过程中，因专业能力局限，评价工作存在主观性，影响评价结果的客观性与准确性；二是人员流动影响工作衔接，受轮岗、调动等因素影响，绩效工作人员变动频繁，新旧工作交接不充分，导致工作连续性受损，部分任务执行效率降低。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14:paraId="078B250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FA0A1C">
        <w:tblPrEx>
          <w:tblCellMar>
            <w:top w:w="0" w:type="dxa"/>
            <w:left w:w="108" w:type="dxa"/>
            <w:bottom w:w="0" w:type="dxa"/>
            <w:right w:w="108" w:type="dxa"/>
          </w:tblCellMar>
        </w:tblPrEx>
        <w:tc>
          <w:tcPr>
            <w:tcW w:w="8840" w:type="dxa"/>
            <w:gridSpan w:val="8"/>
            <w:vAlign w:val="center"/>
          </w:tcPr>
          <w:p w14:paraId="35D83AFF">
            <w:pPr>
              <w:jc w:val="center"/>
            </w:pPr>
            <w:r>
              <w:rPr>
                <w:rFonts w:ascii="宋体" w:hAnsi="宋体" w:eastAsia="宋体"/>
                <w:sz w:val="24"/>
              </w:rPr>
              <w:t>单位整体支出绩效自评表</w:t>
            </w:r>
          </w:p>
        </w:tc>
      </w:tr>
      <w:tr w14:paraId="086D4E04">
        <w:tblPrEx>
          <w:tblCellMar>
            <w:top w:w="0" w:type="dxa"/>
            <w:left w:w="108" w:type="dxa"/>
            <w:bottom w:w="0" w:type="dxa"/>
            <w:right w:w="108" w:type="dxa"/>
          </w:tblCellMar>
        </w:tblPrEx>
        <w:tc>
          <w:tcPr>
            <w:tcW w:w="8840" w:type="dxa"/>
            <w:gridSpan w:val="8"/>
            <w:vAlign w:val="center"/>
          </w:tcPr>
          <w:p w14:paraId="26DC1E8D">
            <w:pPr>
              <w:jc w:val="center"/>
            </w:pPr>
            <w:r>
              <w:rPr>
                <w:rFonts w:ascii="宋体" w:hAnsi="宋体" w:eastAsia="宋体"/>
                <w:sz w:val="24"/>
              </w:rPr>
              <w:t>（2024年度）</w:t>
            </w:r>
          </w:p>
        </w:tc>
      </w:tr>
      <w:tr w14:paraId="5B4D413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7E68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020D18">
            <w:pPr>
              <w:jc w:val="center"/>
            </w:pPr>
            <w:r>
              <w:rPr>
                <w:rFonts w:ascii="宋体" w:hAnsi="宋体" w:eastAsia="宋体"/>
                <w:sz w:val="16"/>
              </w:rPr>
              <w:t>轮台县铁热克巴扎乡人民政府</w:t>
            </w:r>
          </w:p>
        </w:tc>
      </w:tr>
      <w:tr w14:paraId="3E3653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09B5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1CC4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1171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5A57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B0F2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522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9A4A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B9707">
            <w:pPr>
              <w:jc w:val="center"/>
            </w:pPr>
            <w:r>
              <w:rPr>
                <w:rFonts w:ascii="宋体" w:hAnsi="宋体" w:eastAsia="宋体"/>
                <w:sz w:val="16"/>
              </w:rPr>
              <w:t>得分</w:t>
            </w:r>
          </w:p>
        </w:tc>
      </w:tr>
      <w:tr w14:paraId="3260DA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229A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055E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80FF4">
            <w:pPr>
              <w:jc w:val="center"/>
            </w:pPr>
            <w:r>
              <w:rPr>
                <w:rFonts w:ascii="宋体" w:hAnsi="宋体" w:eastAsia="宋体"/>
                <w:sz w:val="16"/>
              </w:rPr>
              <w:t>2,822.31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699C4">
            <w:pPr>
              <w:jc w:val="center"/>
            </w:pPr>
            <w:r>
              <w:rPr>
                <w:rFonts w:ascii="宋体" w:hAnsi="宋体" w:eastAsia="宋体"/>
                <w:sz w:val="16"/>
              </w:rPr>
              <w:t>5,426.22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2896B">
            <w:pPr>
              <w:jc w:val="center"/>
            </w:pPr>
            <w:r>
              <w:rPr>
                <w:rFonts w:ascii="宋体" w:hAnsi="宋体" w:eastAsia="宋体"/>
                <w:sz w:val="16"/>
              </w:rPr>
              <w:t>5,272.63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AB8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A9B34">
            <w:pPr>
              <w:jc w:val="center"/>
            </w:pPr>
            <w:r>
              <w:rPr>
                <w:rFonts w:ascii="宋体" w:hAnsi="宋体" w:eastAsia="宋体"/>
                <w:sz w:val="16"/>
              </w:rPr>
              <w:t>97.17%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892B7">
            <w:pPr>
              <w:jc w:val="center"/>
            </w:pPr>
            <w:r>
              <w:rPr>
                <w:rFonts w:ascii="宋体" w:hAnsi="宋体" w:eastAsia="宋体"/>
                <w:sz w:val="16"/>
              </w:rPr>
              <w:t>9.72</w:t>
            </w:r>
          </w:p>
        </w:tc>
      </w:tr>
      <w:tr w14:paraId="04AD25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B782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6EC5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88D42">
            <w:pPr>
              <w:jc w:val="center"/>
            </w:pPr>
            <w:r>
              <w:rPr>
                <w:rFonts w:ascii="宋体" w:hAnsi="宋体" w:eastAsia="宋体"/>
                <w:sz w:val="16"/>
              </w:rPr>
              <w:t>455.00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1B963">
            <w:pPr>
              <w:jc w:val="center"/>
            </w:pPr>
            <w:r>
              <w:rPr>
                <w:rFonts w:ascii="宋体" w:hAnsi="宋体" w:eastAsia="宋体"/>
                <w:sz w:val="16"/>
              </w:rPr>
              <w:t>3,119.31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AB27B">
            <w:pPr>
              <w:jc w:val="center"/>
            </w:pPr>
            <w:r>
              <w:rPr>
                <w:rFonts w:ascii="宋体" w:hAnsi="宋体" w:eastAsia="宋体"/>
                <w:sz w:val="16"/>
              </w:rPr>
              <w:t>3,119.31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9B5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A9C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6D72C">
            <w:pPr>
              <w:jc w:val="center"/>
            </w:pPr>
            <w:r>
              <w:rPr>
                <w:rFonts w:ascii="宋体" w:hAnsi="宋体" w:eastAsia="宋体"/>
                <w:sz w:val="16"/>
              </w:rPr>
              <w:t>-</w:t>
            </w:r>
          </w:p>
        </w:tc>
      </w:tr>
      <w:tr w14:paraId="2CC183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ADD0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96C94">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78435">
            <w:pPr>
              <w:jc w:val="center"/>
            </w:pPr>
            <w:r>
              <w:rPr>
                <w:rFonts w:ascii="宋体" w:hAnsi="宋体" w:eastAsia="宋体"/>
                <w:sz w:val="16"/>
              </w:rPr>
              <w:t>2,367.31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29780">
            <w:pPr>
              <w:jc w:val="center"/>
            </w:pPr>
            <w:r>
              <w:rPr>
                <w:rFonts w:ascii="宋体" w:hAnsi="宋体" w:eastAsia="宋体"/>
                <w:sz w:val="16"/>
              </w:rPr>
              <w:t>2,091.91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6AFD4">
            <w:pPr>
              <w:jc w:val="center"/>
            </w:pPr>
            <w:r>
              <w:rPr>
                <w:rFonts w:ascii="宋体" w:hAnsi="宋体" w:eastAsia="宋体"/>
                <w:sz w:val="16"/>
              </w:rPr>
              <w:t>2,091.91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E36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1D7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0B582">
            <w:pPr>
              <w:jc w:val="center"/>
            </w:pPr>
            <w:r>
              <w:rPr>
                <w:rFonts w:ascii="宋体" w:hAnsi="宋体" w:eastAsia="宋体"/>
                <w:sz w:val="16"/>
              </w:rPr>
              <w:t>-</w:t>
            </w:r>
          </w:p>
        </w:tc>
      </w:tr>
      <w:tr w14:paraId="654960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B081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807A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C92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9FABC">
            <w:pPr>
              <w:jc w:val="center"/>
            </w:pPr>
            <w:r>
              <w:rPr>
                <w:rFonts w:ascii="宋体" w:hAnsi="宋体" w:eastAsia="宋体"/>
                <w:sz w:val="16"/>
              </w:rPr>
              <w:t>215.00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066F7">
            <w:pPr>
              <w:jc w:val="center"/>
            </w:pPr>
            <w:r>
              <w:rPr>
                <w:rFonts w:ascii="宋体" w:hAnsi="宋体" w:eastAsia="宋体"/>
                <w:sz w:val="16"/>
              </w:rPr>
              <w:t>61.41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014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341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3175A">
            <w:pPr>
              <w:jc w:val="center"/>
            </w:pPr>
            <w:r>
              <w:rPr>
                <w:rFonts w:ascii="宋体" w:hAnsi="宋体" w:eastAsia="宋体"/>
                <w:sz w:val="16"/>
              </w:rPr>
              <w:t>-</w:t>
            </w:r>
          </w:p>
        </w:tc>
      </w:tr>
      <w:tr w14:paraId="38B3C7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5FF3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21C1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F710C6">
            <w:pPr>
              <w:jc w:val="center"/>
            </w:pPr>
            <w:r>
              <w:rPr>
                <w:rFonts w:ascii="宋体" w:hAnsi="宋体" w:eastAsia="宋体"/>
                <w:sz w:val="16"/>
              </w:rPr>
              <w:t>实际完成情况</w:t>
            </w:r>
          </w:p>
        </w:tc>
      </w:tr>
      <w:tr w14:paraId="2AE8D6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8E9C1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91EF0E">
            <w:pPr>
              <w:jc w:val="both"/>
            </w:pPr>
            <w:r>
              <w:rPr>
                <w:rFonts w:hint="eastAsia" w:ascii="宋体" w:hAnsi="宋体"/>
                <w:sz w:val="16"/>
                <w:lang w:eastAsia="zh-CN"/>
              </w:rPr>
              <w:t>1.</w:t>
            </w:r>
            <w:r>
              <w:rPr>
                <w:rFonts w:ascii="宋体" w:hAnsi="宋体" w:eastAsia="宋体"/>
                <w:sz w:val="16"/>
              </w:rPr>
              <w:t>宣传贯彻党的路线方针政策和法律法规，强化法治宣传教育、畅通诉求渠道、调解民事纠纷、化解社会矛盾，处理群众性突发事件，全年开展安全生产、安全隐患排查和整治达到20次以上，群众困难诉求解决率达到90%；2、做好农业、农村、农民工作，开展生态环境保护，治理、植树造林、残膜回收等工作任务，完成新</w:t>
            </w:r>
            <w:r>
              <w:rPr>
                <w:rFonts w:hint="eastAsia" w:ascii="宋体" w:hAnsi="宋体"/>
                <w:sz w:val="16"/>
                <w:lang w:eastAsia="zh-CN"/>
              </w:rPr>
              <w:t>造林</w:t>
            </w:r>
            <w:r>
              <w:rPr>
                <w:rFonts w:ascii="宋体" w:hAnsi="宋体" w:eastAsia="宋体"/>
                <w:sz w:val="16"/>
              </w:rPr>
              <w:t>绿化、补植补造面积200亩；3、推进乡村振兴，健全完善乡村群众工作机构，做到综合治理村居达到8个村全覆盖，确保群众工作更细更精，维护社会稳定，构建社会主义和谐社会。群众工作更细更精，提供富余劳动力转移就业岗位达到200人以上，城乡居民基本养老保险参保率达到98%，发放惠民惠农补贴人数达到3000人以上，加快城镇化建设步伐，努力改善硬件环境，按照全乡整体规划设计进一步充实乡村建设内涵；3、加大投入力度，通过各种途径尽力争取建设项目和资金，节支开源，加快建设</w:t>
            </w:r>
            <w:r>
              <w:rPr>
                <w:rFonts w:hint="eastAsia" w:ascii="宋体" w:hAnsi="宋体"/>
                <w:sz w:val="16"/>
                <w:lang w:eastAsia="zh-CN"/>
              </w:rPr>
              <w:t>；</w:t>
            </w:r>
            <w:r>
              <w:rPr>
                <w:rFonts w:ascii="宋体" w:hAnsi="宋体" w:eastAsia="宋体"/>
                <w:sz w:val="16"/>
              </w:rPr>
              <w:t>重点抓好基础设施建设，对主干道两侧进行进一步的综合环境治理，搞好绿化、亮化建设；4、着力提升全乡文化建设品位，大力开展文化润江工作，确保举办组织大型文艺活动次数达到5次以上，开展志愿活动次数达到48次以上，整体提升辖区内人居和人文环境，使辖区内群众</w:t>
            </w:r>
            <w:r>
              <w:rPr>
                <w:rFonts w:hint="eastAsia" w:ascii="宋体" w:hAnsi="宋体"/>
                <w:sz w:val="16"/>
                <w:lang w:eastAsia="zh-CN"/>
              </w:rPr>
              <w:t>幸福满足感</w:t>
            </w:r>
            <w:r>
              <w:rPr>
                <w:rFonts w:ascii="宋体" w:hAnsi="宋体" w:eastAsia="宋体"/>
                <w:sz w:val="16"/>
              </w:rPr>
              <w:t>大幅提升。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1E509E">
            <w:pPr>
              <w:jc w:val="both"/>
              <w:rPr>
                <w:rFonts w:ascii="宋体" w:hAnsi="宋体" w:eastAsia="宋体"/>
                <w:sz w:val="16"/>
              </w:rPr>
            </w:pPr>
            <w:r>
              <w:rPr>
                <w:rFonts w:ascii="宋体" w:hAnsi="宋体" w:eastAsia="宋体"/>
                <w:sz w:val="16"/>
              </w:rPr>
              <w:t>为做好农业、农村、农民和各村工作，推进乡村振兴，健全完善镇村群众工作机构,2024年已完成: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1、已完成在8个村开展综合治理工作，增强了群众的安全感，形成了较好的专项行动社会氛围；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2、完成3000人发放惠民补贴，使群众充分享受政府惠民政策，提升群众幸福感、获得感。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3、已完成开展安全生产、安全隐患排查和整治次数20次，提高群众对安全生产的认识。</w:t>
            </w:r>
          </w:p>
          <w:p w14:paraId="669939E4">
            <w:pPr>
              <w:jc w:val="both"/>
            </w:pPr>
            <w:r>
              <w:rPr>
                <w:rFonts w:ascii="宋体" w:hAnsi="宋体" w:eastAsia="宋体"/>
                <w:sz w:val="16"/>
              </w:rPr>
              <w:t xml:space="preserve">                                                                                                    4、提供富余劳动力就业岗位200人，增加了农民群众经济收入，促进我镇经济发展，从而推动我县市场发展。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5、已按时开展志愿者活动次数达到48次，提高农牧民的幸福感。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6、群众困难诉求解决率达到100%，及时解决群众诉求，促进社会稳定和社会和谐，使辖区内群众</w:t>
            </w:r>
            <w:r>
              <w:rPr>
                <w:rFonts w:hint="eastAsia" w:ascii="宋体" w:hAnsi="宋体"/>
                <w:sz w:val="16"/>
                <w:lang w:eastAsia="zh-CN"/>
              </w:rPr>
              <w:t>幸福满足感</w:t>
            </w:r>
            <w:r>
              <w:rPr>
                <w:rFonts w:ascii="宋体" w:hAnsi="宋体" w:eastAsia="宋体"/>
                <w:sz w:val="16"/>
              </w:rPr>
              <w:t>大幅提升。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7、保障群众城乡居民基本养老保险参保率98%，确保城乡居民年老后有稳定的养老金收入，减轻家庭养老负担。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8、已完成新</w:t>
            </w:r>
            <w:r>
              <w:rPr>
                <w:rFonts w:hint="eastAsia" w:ascii="宋体" w:hAnsi="宋体"/>
                <w:sz w:val="16"/>
                <w:lang w:eastAsia="zh-CN"/>
              </w:rPr>
              <w:t>造林</w:t>
            </w:r>
            <w:r>
              <w:rPr>
                <w:rFonts w:ascii="宋体" w:hAnsi="宋体" w:eastAsia="宋体"/>
                <w:sz w:val="16"/>
              </w:rPr>
              <w:t>绿化、补植补造200亩，达到增加绿色资源，优化生态结构，改善区域空气质量，改善生态环境。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9、已完成组织大型文艺活动5次，缓解群众精神压力，增强幸福感和获得感，践行“文化惠民”。</w:t>
            </w:r>
          </w:p>
        </w:tc>
      </w:tr>
      <w:tr w14:paraId="0CBCB8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852F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4BBB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60AD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0B26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9C0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F186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DF03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72D29">
            <w:pPr>
              <w:jc w:val="center"/>
            </w:pPr>
            <w:r>
              <w:rPr>
                <w:rFonts w:ascii="宋体" w:hAnsi="宋体" w:eastAsia="宋体"/>
                <w:sz w:val="16"/>
              </w:rPr>
              <w:t>得分</w:t>
            </w:r>
          </w:p>
        </w:tc>
      </w:tr>
      <w:tr w14:paraId="28C446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66BC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3EB9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B6562">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0FBA7">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86662">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481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27DB7">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55200">
            <w:pPr>
              <w:jc w:val="center"/>
            </w:pPr>
            <w:r>
              <w:rPr>
                <w:rFonts w:ascii="宋体" w:hAnsi="宋体" w:eastAsia="宋体"/>
                <w:sz w:val="16"/>
              </w:rPr>
              <w:t>10</w:t>
            </w:r>
          </w:p>
        </w:tc>
      </w:tr>
      <w:tr w14:paraId="76AF50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6580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4C3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5FCAB">
            <w:pPr>
              <w:jc w:val="center"/>
            </w:pPr>
            <w:r>
              <w:rPr>
                <w:rFonts w:ascii="宋体" w:hAnsi="宋体" w:eastAsia="宋体"/>
                <w:sz w:val="16"/>
              </w:rPr>
              <w:t>保障</w:t>
            </w:r>
            <w:r>
              <w:rPr>
                <w:rFonts w:hint="eastAsia" w:ascii="宋体" w:hAnsi="宋体"/>
                <w:sz w:val="16"/>
                <w:lang w:eastAsia="zh-CN"/>
              </w:rPr>
              <w:t>惠民</w:t>
            </w:r>
            <w:r>
              <w:rPr>
                <w:rFonts w:ascii="宋体" w:hAnsi="宋体" w:eastAsia="宋体"/>
                <w:sz w:val="16"/>
              </w:rPr>
              <w:t>补贴发放人数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9884A">
            <w:pPr>
              <w:jc w:val="center"/>
            </w:pPr>
            <w:r>
              <w:rPr>
                <w:rFonts w:ascii="宋体" w:hAnsi="宋体" w:eastAsia="宋体"/>
                <w:sz w:val="16"/>
              </w:rPr>
              <w:t>&gt;=3000人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AA9E6">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429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C67B2">
            <w:pPr>
              <w:jc w:val="center"/>
            </w:pPr>
            <w:r>
              <w:rPr>
                <w:rFonts w:ascii="宋体" w:hAnsi="宋体" w:eastAsia="宋体"/>
                <w:sz w:val="16"/>
              </w:rPr>
              <w:t>3000人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A0792">
            <w:pPr>
              <w:jc w:val="center"/>
            </w:pPr>
            <w:r>
              <w:rPr>
                <w:rFonts w:ascii="宋体" w:hAnsi="宋体" w:eastAsia="宋体"/>
                <w:sz w:val="16"/>
              </w:rPr>
              <w:t>10</w:t>
            </w:r>
          </w:p>
        </w:tc>
      </w:tr>
      <w:tr w14:paraId="4C3A98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7E69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83D8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D10B4">
            <w:pPr>
              <w:jc w:val="center"/>
            </w:pPr>
            <w:r>
              <w:rPr>
                <w:rFonts w:ascii="宋体" w:hAnsi="宋体" w:eastAsia="宋体"/>
                <w:sz w:val="16"/>
              </w:rPr>
              <w:t>开展安全生产、安全隐患排查和整治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C3265">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F6EA5">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194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3B11E">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4A100">
            <w:pPr>
              <w:jc w:val="center"/>
            </w:pPr>
            <w:r>
              <w:rPr>
                <w:rFonts w:ascii="宋体" w:hAnsi="宋体" w:eastAsia="宋体"/>
                <w:sz w:val="16"/>
              </w:rPr>
              <w:t>10</w:t>
            </w:r>
          </w:p>
        </w:tc>
      </w:tr>
      <w:tr w14:paraId="1999C8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D934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658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A17B5">
            <w:pPr>
              <w:jc w:val="center"/>
            </w:pPr>
            <w:r>
              <w:rPr>
                <w:rFonts w:ascii="宋体" w:hAnsi="宋体" w:eastAsia="宋体"/>
                <w:sz w:val="16"/>
              </w:rPr>
              <w:t>提供富余劳动力转移就业岗位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5DCB8">
            <w:pPr>
              <w:jc w:val="center"/>
            </w:pPr>
            <w:r>
              <w:rPr>
                <w:rFonts w:ascii="宋体" w:hAnsi="宋体" w:eastAsia="宋体"/>
                <w:sz w:val="16"/>
              </w:rPr>
              <w:t>&gt;=200人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84F7C">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F943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D2655">
            <w:pPr>
              <w:jc w:val="center"/>
            </w:pPr>
            <w:r>
              <w:rPr>
                <w:rFonts w:ascii="宋体" w:hAnsi="宋体" w:eastAsia="宋体"/>
                <w:sz w:val="16"/>
              </w:rPr>
              <w: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B4A2F">
            <w:pPr>
              <w:jc w:val="center"/>
            </w:pPr>
            <w:r>
              <w:rPr>
                <w:rFonts w:ascii="宋体" w:hAnsi="宋体" w:eastAsia="宋体"/>
                <w:sz w:val="16"/>
              </w:rPr>
              <w:t>10</w:t>
            </w:r>
          </w:p>
        </w:tc>
      </w:tr>
      <w:tr w14:paraId="6D47ED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74EF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88E8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29EE3">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3DF09">
            <w:pPr>
              <w:jc w:val="center"/>
            </w:pPr>
            <w:r>
              <w:rPr>
                <w:rFonts w:ascii="宋体" w:hAnsi="宋体" w:eastAsia="宋体"/>
                <w:sz w:val="16"/>
              </w:rPr>
              <w:t>&gt;=48次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3B9A9">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D848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11992">
            <w:pPr>
              <w:jc w:val="center"/>
            </w:pPr>
            <w:r>
              <w:rPr>
                <w:rFonts w:ascii="宋体" w:hAnsi="宋体" w:eastAsia="宋体"/>
                <w:sz w:val="16"/>
              </w:rPr>
              <w: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CBB9D">
            <w:pPr>
              <w:jc w:val="center"/>
            </w:pPr>
            <w:r>
              <w:rPr>
                <w:rFonts w:ascii="宋体" w:hAnsi="宋体" w:eastAsia="宋体"/>
                <w:sz w:val="16"/>
              </w:rPr>
              <w:t>10</w:t>
            </w:r>
          </w:p>
        </w:tc>
      </w:tr>
      <w:tr w14:paraId="7086CC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E0D1D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D830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1E7CE">
            <w:pPr>
              <w:jc w:val="center"/>
            </w:pPr>
            <w:r>
              <w:rPr>
                <w:rFonts w:ascii="宋体" w:hAnsi="宋体" w:eastAsia="宋体"/>
                <w:sz w:val="16"/>
              </w:rPr>
              <w:t>完成新造林造林绿化、补植补造面积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0A567">
            <w:pPr>
              <w:jc w:val="center"/>
            </w:pPr>
            <w:r>
              <w:rPr>
                <w:rFonts w:ascii="宋体" w:hAnsi="宋体" w:eastAsia="宋体"/>
                <w:sz w:val="16"/>
              </w:rPr>
              <w:t>&gt;=200亩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EB910">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8DE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8DB2F">
            <w:pPr>
              <w:jc w:val="center"/>
            </w:pPr>
            <w:r>
              <w:rPr>
                <w:rFonts w:ascii="宋体" w:hAnsi="宋体" w:eastAsia="宋体"/>
                <w:sz w:val="16"/>
              </w:rPr>
              <w:t>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20EBE">
            <w:pPr>
              <w:jc w:val="center"/>
            </w:pPr>
            <w:r>
              <w:rPr>
                <w:rFonts w:ascii="宋体" w:hAnsi="宋体" w:eastAsia="宋体"/>
                <w:sz w:val="16"/>
              </w:rPr>
              <w:t>10</w:t>
            </w:r>
          </w:p>
        </w:tc>
      </w:tr>
      <w:tr w14:paraId="719849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CC10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0332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A5F67">
            <w:pPr>
              <w:jc w:val="center"/>
            </w:pPr>
            <w:r>
              <w:rPr>
                <w:rFonts w:ascii="宋体" w:hAnsi="宋体" w:eastAsia="宋体"/>
                <w:sz w:val="16"/>
              </w:rPr>
              <w:t>城乡居民基本养老保险参保率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5FAE7">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7B332">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451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EBF06">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EE9BC">
            <w:pPr>
              <w:jc w:val="center"/>
            </w:pPr>
            <w:r>
              <w:rPr>
                <w:rFonts w:ascii="宋体" w:hAnsi="宋体" w:eastAsia="宋体"/>
                <w:sz w:val="16"/>
              </w:rPr>
              <w:t>10</w:t>
            </w:r>
          </w:p>
        </w:tc>
      </w:tr>
      <w:tr w14:paraId="30CCB0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C71A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E4A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8DC8E">
            <w:pPr>
              <w:jc w:val="center"/>
            </w:pPr>
            <w:r>
              <w:rPr>
                <w:rFonts w:ascii="宋体" w:hAnsi="宋体" w:eastAsia="宋体"/>
                <w:sz w:val="16"/>
              </w:rPr>
              <w:t>举办组织大型文艺活动次数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05597">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CAE9A">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D54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F01E5">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D63F8">
            <w:pPr>
              <w:jc w:val="center"/>
            </w:pPr>
            <w:r>
              <w:rPr>
                <w:rFonts w:ascii="宋体" w:hAnsi="宋体" w:eastAsia="宋体"/>
                <w:sz w:val="16"/>
              </w:rPr>
              <w:t>10</w:t>
            </w:r>
          </w:p>
        </w:tc>
      </w:tr>
      <w:tr w14:paraId="063D90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4C39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E3C4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1B82A">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E164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482DD">
            <w:pPr>
              <w:jc w:val="center"/>
            </w:pPr>
            <w:r>
              <w:rPr>
                <w:rFonts w:ascii="宋体" w:hAnsi="宋体" w:eastAsia="宋体"/>
                <w:sz w:val="16"/>
              </w:rPr>
              <w:t>轮台县铁热克巴扎</w:t>
            </w:r>
            <w:r>
              <w:rPr>
                <w:rFonts w:hint="eastAsia" w:ascii="宋体" w:hAnsi="宋体"/>
                <w:sz w:val="16"/>
                <w:lang w:eastAsia="zh-CN"/>
              </w:rPr>
              <w:t>乡</w:t>
            </w:r>
            <w:r>
              <w:rPr>
                <w:rFonts w:ascii="宋体" w:hAnsi="宋体" w:eastAsia="宋体"/>
                <w:sz w:val="16"/>
              </w:rPr>
              <w:t>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1FB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225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B21DF">
            <w:pPr>
              <w:jc w:val="center"/>
            </w:pPr>
            <w:r>
              <w:rPr>
                <w:rFonts w:ascii="宋体" w:hAnsi="宋体" w:eastAsia="宋体"/>
                <w:sz w:val="16"/>
              </w:rPr>
              <w:t>10</w:t>
            </w:r>
          </w:p>
        </w:tc>
      </w:tr>
    </w:tbl>
    <w:p w14:paraId="51806D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E44CFF5">
        <w:tc>
          <w:tcPr>
            <w:tcW w:w="8848" w:type="dxa"/>
            <w:gridSpan w:val="14"/>
            <w:vAlign w:val="center"/>
          </w:tcPr>
          <w:p w14:paraId="22A2FCE1">
            <w:pPr>
              <w:jc w:val="center"/>
            </w:pPr>
            <w:r>
              <w:rPr>
                <w:rFonts w:ascii="宋体" w:hAnsi="宋体" w:eastAsia="宋体"/>
                <w:sz w:val="24"/>
              </w:rPr>
              <w:t>项目支出绩效自评表</w:t>
            </w:r>
          </w:p>
        </w:tc>
      </w:tr>
      <w:tr w14:paraId="1BC48979">
        <w:tblPrEx>
          <w:tblCellMar>
            <w:top w:w="0" w:type="dxa"/>
            <w:left w:w="108" w:type="dxa"/>
            <w:bottom w:w="0" w:type="dxa"/>
            <w:right w:w="108" w:type="dxa"/>
          </w:tblCellMar>
        </w:tblPrEx>
        <w:tc>
          <w:tcPr>
            <w:tcW w:w="8848" w:type="dxa"/>
            <w:gridSpan w:val="14"/>
            <w:vAlign w:val="center"/>
          </w:tcPr>
          <w:p w14:paraId="05A39946">
            <w:pPr>
              <w:jc w:val="center"/>
            </w:pPr>
            <w:r>
              <w:rPr>
                <w:rFonts w:ascii="宋体" w:hAnsi="宋体" w:eastAsia="宋体"/>
                <w:sz w:val="24"/>
              </w:rPr>
              <w:t>(2024年度)</w:t>
            </w:r>
          </w:p>
        </w:tc>
      </w:tr>
      <w:tr w14:paraId="60E154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3F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BF7C17">
            <w:pPr>
              <w:jc w:val="center"/>
            </w:pPr>
            <w:r>
              <w:rPr>
                <w:rFonts w:ascii="宋体" w:hAnsi="宋体" w:eastAsia="宋体"/>
                <w:sz w:val="16"/>
              </w:rPr>
              <w:t>巴财农</w:t>
            </w:r>
            <w:r>
              <w:rPr>
                <w:rFonts w:hint="eastAsia" w:ascii="宋体" w:hAnsi="宋体"/>
                <w:sz w:val="16"/>
                <w:lang w:eastAsia="zh-CN"/>
              </w:rPr>
              <w:t>〔2024〕45号</w:t>
            </w:r>
            <w:r>
              <w:rPr>
                <w:rFonts w:ascii="宋体" w:hAnsi="宋体" w:eastAsia="宋体"/>
                <w:sz w:val="16"/>
              </w:rPr>
              <w:t>关于下达2024年自治州劳动力外出务工增收先进乡镇奖励资金的通知</w:t>
            </w:r>
          </w:p>
        </w:tc>
      </w:tr>
      <w:tr w14:paraId="5202B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DE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67729">
            <w:pPr>
              <w:jc w:val="center"/>
            </w:pPr>
            <w:r>
              <w:rPr>
                <w:rFonts w:ascii="宋体" w:hAnsi="宋体" w:eastAsia="宋体"/>
                <w:sz w:val="16"/>
              </w:rPr>
              <w:t>新疆轮台县铁热克巴扎乡人民政府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5B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1337F8">
            <w:pPr>
              <w:jc w:val="center"/>
            </w:pPr>
            <w:r>
              <w:rPr>
                <w:rFonts w:ascii="宋体" w:hAnsi="宋体" w:eastAsia="宋体"/>
                <w:sz w:val="16"/>
              </w:rPr>
              <w:t>轮台县铁热克巴扎乡人民政府</w:t>
            </w:r>
          </w:p>
        </w:tc>
      </w:tr>
      <w:tr w14:paraId="4E37FB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0CEF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FE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FA5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8CE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BA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7C2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EB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BE4F">
            <w:pPr>
              <w:jc w:val="center"/>
            </w:pPr>
            <w:r>
              <w:rPr>
                <w:rFonts w:ascii="宋体" w:hAnsi="宋体" w:eastAsia="宋体"/>
                <w:sz w:val="16"/>
              </w:rPr>
              <w:t>得分</w:t>
            </w:r>
          </w:p>
        </w:tc>
      </w:tr>
      <w:tr w14:paraId="49A692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151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5C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A81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B9C5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2D3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51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21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A2CC">
            <w:pPr>
              <w:jc w:val="center"/>
            </w:pPr>
            <w:r>
              <w:rPr>
                <w:rFonts w:ascii="宋体" w:hAnsi="宋体" w:eastAsia="宋体"/>
                <w:sz w:val="16"/>
              </w:rPr>
              <w:t>10.00</w:t>
            </w:r>
          </w:p>
        </w:tc>
      </w:tr>
      <w:tr w14:paraId="6BF5C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000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35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7490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7820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F16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2AA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C45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E084">
            <w:pPr>
              <w:jc w:val="center"/>
            </w:pPr>
            <w:r>
              <w:rPr>
                <w:rFonts w:ascii="宋体" w:hAnsi="宋体" w:eastAsia="宋体"/>
                <w:sz w:val="16"/>
              </w:rPr>
              <w:t>-</w:t>
            </w:r>
          </w:p>
        </w:tc>
      </w:tr>
      <w:tr w14:paraId="57360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C4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96F8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81B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16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F3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1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95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E041">
            <w:pPr>
              <w:jc w:val="center"/>
            </w:pPr>
            <w:r>
              <w:rPr>
                <w:rFonts w:ascii="宋体" w:hAnsi="宋体" w:eastAsia="宋体"/>
                <w:sz w:val="16"/>
              </w:rPr>
              <w:t>-</w:t>
            </w:r>
          </w:p>
        </w:tc>
      </w:tr>
      <w:tr w14:paraId="1CAF6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B62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CD09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A3F6A">
            <w:pPr>
              <w:jc w:val="center"/>
            </w:pPr>
            <w:r>
              <w:rPr>
                <w:rFonts w:ascii="宋体" w:hAnsi="宋体" w:eastAsia="宋体"/>
                <w:sz w:val="16"/>
              </w:rPr>
              <w:t>总体目标完成情况</w:t>
            </w:r>
          </w:p>
        </w:tc>
      </w:tr>
      <w:tr w14:paraId="51F64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DF2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80F43">
            <w:pPr>
              <w:jc w:val="both"/>
            </w:pPr>
            <w:r>
              <w:rPr>
                <w:rFonts w:ascii="宋体" w:hAnsi="宋体" w:eastAsia="宋体"/>
                <w:sz w:val="16"/>
              </w:rPr>
              <w:t>根据巴财农</w:t>
            </w:r>
            <w:r>
              <w:rPr>
                <w:rFonts w:hint="eastAsia" w:ascii="宋体" w:hAnsi="宋体"/>
                <w:sz w:val="16"/>
                <w:lang w:eastAsia="zh-CN"/>
              </w:rPr>
              <w:t>〔2024〕45号</w:t>
            </w:r>
            <w:r>
              <w:rPr>
                <w:rFonts w:ascii="宋体" w:hAnsi="宋体" w:eastAsia="宋体"/>
                <w:sz w:val="16"/>
              </w:rPr>
              <w:t>文件关于奖励资金下达通知，《</w:t>
            </w:r>
            <w:r>
              <w:rPr>
                <w:rFonts w:hint="eastAsia" w:ascii="宋体" w:hAnsi="宋体"/>
                <w:sz w:val="16"/>
                <w:lang w:eastAsia="zh-CN"/>
              </w:rPr>
              <w:t>巴音郭楞蒙古自治州</w:t>
            </w:r>
            <w:r>
              <w:rPr>
                <w:rFonts w:ascii="宋体" w:hAnsi="宋体" w:eastAsia="宋体"/>
                <w:sz w:val="16"/>
              </w:rPr>
              <w:t>劳动力转移就业实施方案》要求，通过客运站发放交通补贴，为本乡7个村外出务工人员提供免费出行服务，</w:t>
            </w:r>
            <w:r>
              <w:rPr>
                <w:rFonts w:ascii="宋体" w:hAnsi="宋体" w:eastAsia="宋体"/>
                <w:sz w:val="16"/>
              </w:rPr>
              <w:br w:type="textWrapping"/>
            </w:r>
            <w:r>
              <w:rPr>
                <w:rFonts w:ascii="宋体" w:hAnsi="宋体" w:eastAsia="宋体"/>
                <w:sz w:val="16"/>
              </w:rPr>
              <w:t>提高群众外出务工就业积极性，改善群众生活质量，使群众安居乐业。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CA3A5">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为提升辖区内居民就业率，落实《</w:t>
            </w:r>
            <w:bookmarkStart w:id="0" w:name="_GoBack"/>
            <w:bookmarkEnd w:id="0"/>
            <w:r>
              <w:rPr>
                <w:rFonts w:hint="eastAsia" w:ascii="宋体" w:hAnsi="宋体"/>
                <w:sz w:val="16"/>
                <w:lang w:eastAsia="zh-CN"/>
              </w:rPr>
              <w:t>巴音郭楞蒙古自治州</w:t>
            </w:r>
            <w:r>
              <w:rPr>
                <w:rFonts w:ascii="宋体" w:hAnsi="宋体" w:eastAsia="宋体"/>
                <w:sz w:val="16"/>
              </w:rPr>
              <w:t>劳动力转移就业实施方案》要求，已为客运站发放交通补贴4万元，为本乡7个村的外出务工人员提供了免费出行服务，提高了群众外出务工就业积极性，改善了群众生活质量，使群众安居乐业。</w:t>
            </w:r>
          </w:p>
        </w:tc>
      </w:tr>
      <w:tr w14:paraId="346A4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716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96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9A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57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C9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B5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E57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E4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BC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44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0E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95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21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8753">
            <w:pPr>
              <w:jc w:val="center"/>
            </w:pPr>
            <w:r>
              <w:rPr>
                <w:rFonts w:ascii="宋体" w:hAnsi="宋体" w:eastAsia="宋体"/>
                <w:sz w:val="16"/>
              </w:rPr>
              <w:t>偏差原因分析及改进措施</w:t>
            </w:r>
          </w:p>
        </w:tc>
      </w:tr>
      <w:tr w14:paraId="552CA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F4B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614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FFE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762E">
            <w:pPr>
              <w:jc w:val="center"/>
            </w:pPr>
            <w:r>
              <w:rPr>
                <w:rFonts w:ascii="宋体" w:hAnsi="宋体" w:eastAsia="宋体"/>
                <w:sz w:val="16"/>
              </w:rPr>
              <w:t>发放交通补贴次数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AAD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D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4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0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3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A8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7A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2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0D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3275">
            <w:pPr>
              <w:jc w:val="center"/>
            </w:pPr>
          </w:p>
        </w:tc>
      </w:tr>
      <w:tr w14:paraId="4D67F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AA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AA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F2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718A">
            <w:pPr>
              <w:jc w:val="center"/>
            </w:pPr>
            <w:r>
              <w:rPr>
                <w:rFonts w:ascii="宋体" w:hAnsi="宋体" w:eastAsia="宋体"/>
                <w:sz w:val="16"/>
              </w:rPr>
              <w:t>免费出行服务覆盖村集体数量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7250">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2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B0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3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4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6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1FD7">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5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B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A87A">
            <w:pPr>
              <w:jc w:val="center"/>
            </w:pPr>
          </w:p>
        </w:tc>
      </w:tr>
      <w:tr w14:paraId="7E3B3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90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32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C9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25DC">
            <w:pPr>
              <w:jc w:val="center"/>
            </w:pPr>
            <w:r>
              <w:rPr>
                <w:rFonts w:ascii="宋体" w:hAnsi="宋体" w:eastAsia="宋体"/>
                <w:sz w:val="16"/>
              </w:rPr>
              <w:t>交通补贴准确率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4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D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D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F2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E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8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E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B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5AB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F40F">
            <w:pPr>
              <w:jc w:val="center"/>
            </w:pPr>
          </w:p>
        </w:tc>
      </w:tr>
      <w:tr w14:paraId="0297C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C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D0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47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8DBF">
            <w:pPr>
              <w:jc w:val="center"/>
            </w:pPr>
            <w:r>
              <w:rPr>
                <w:rFonts w:ascii="宋体" w:hAnsi="宋体" w:eastAsia="宋体"/>
                <w:sz w:val="16"/>
              </w:rPr>
              <w:t>提供免费出行服务及时率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2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3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A3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5B7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6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A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1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8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179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233B">
            <w:pPr>
              <w:jc w:val="center"/>
            </w:pPr>
          </w:p>
        </w:tc>
      </w:tr>
      <w:tr w14:paraId="70441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0A0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93E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C63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DE49">
            <w:pPr>
              <w:jc w:val="center"/>
            </w:pPr>
            <w:r>
              <w:rPr>
                <w:rFonts w:ascii="宋体" w:hAnsi="宋体" w:eastAsia="宋体"/>
                <w:sz w:val="16"/>
              </w:rPr>
              <w:t>项目受益村集体数量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7245">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D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D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5F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7A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B6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369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B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1F8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D7E9">
            <w:pPr>
              <w:jc w:val="center"/>
            </w:pPr>
          </w:p>
        </w:tc>
      </w:tr>
      <w:tr w14:paraId="03861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20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C5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9C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339C">
            <w:pPr>
              <w:jc w:val="center"/>
            </w:pPr>
            <w:r>
              <w:rPr>
                <w:rFonts w:ascii="宋体" w:hAnsi="宋体" w:eastAsia="宋体"/>
                <w:sz w:val="16"/>
              </w:rPr>
              <w:t>提高群众就业积极性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6AB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D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F6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5DF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60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9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3E2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9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10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F58B">
            <w:pPr>
              <w:jc w:val="center"/>
            </w:pPr>
          </w:p>
        </w:tc>
      </w:tr>
      <w:tr w14:paraId="6B899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ED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06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56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3538">
            <w:pPr>
              <w:jc w:val="center"/>
            </w:pPr>
            <w:r>
              <w:rPr>
                <w:rFonts w:ascii="宋体" w:hAnsi="宋体" w:eastAsia="宋体"/>
                <w:sz w:val="16"/>
              </w:rPr>
              <w:t>享受免费出行人员满意度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ED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5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06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6E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6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38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D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F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0550">
            <w:pPr>
              <w:jc w:val="center"/>
            </w:pPr>
          </w:p>
        </w:tc>
      </w:tr>
      <w:tr w14:paraId="5E89DA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7D1A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370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53E8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EDF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F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F33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13D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9E9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436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E37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70AC4"/>
        </w:tc>
      </w:tr>
    </w:tbl>
    <w:p w14:paraId="5F796D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8BBC3AC">
        <w:tblPrEx>
          <w:tblCellMar>
            <w:top w:w="0" w:type="dxa"/>
            <w:left w:w="108" w:type="dxa"/>
            <w:bottom w:w="0" w:type="dxa"/>
            <w:right w:w="108" w:type="dxa"/>
          </w:tblCellMar>
        </w:tblPrEx>
        <w:tc>
          <w:tcPr>
            <w:tcW w:w="8848" w:type="dxa"/>
            <w:gridSpan w:val="14"/>
            <w:vAlign w:val="center"/>
          </w:tcPr>
          <w:p w14:paraId="569ECA3D">
            <w:pPr>
              <w:jc w:val="center"/>
            </w:pPr>
            <w:r>
              <w:rPr>
                <w:rFonts w:ascii="宋体" w:hAnsi="宋体" w:eastAsia="宋体"/>
                <w:sz w:val="24"/>
              </w:rPr>
              <w:t>项目支出绩效自评表</w:t>
            </w:r>
          </w:p>
        </w:tc>
      </w:tr>
      <w:tr w14:paraId="18FDF7D7">
        <w:tblPrEx>
          <w:tblCellMar>
            <w:top w:w="0" w:type="dxa"/>
            <w:left w:w="108" w:type="dxa"/>
            <w:bottom w:w="0" w:type="dxa"/>
            <w:right w:w="108" w:type="dxa"/>
          </w:tblCellMar>
        </w:tblPrEx>
        <w:tc>
          <w:tcPr>
            <w:tcW w:w="8848" w:type="dxa"/>
            <w:gridSpan w:val="14"/>
            <w:vAlign w:val="center"/>
          </w:tcPr>
          <w:p w14:paraId="4C4928A3">
            <w:pPr>
              <w:jc w:val="center"/>
            </w:pPr>
            <w:r>
              <w:rPr>
                <w:rFonts w:ascii="宋体" w:hAnsi="宋体" w:eastAsia="宋体"/>
                <w:sz w:val="24"/>
              </w:rPr>
              <w:t>(2024年度)</w:t>
            </w:r>
          </w:p>
        </w:tc>
      </w:tr>
      <w:tr w14:paraId="5FC5D2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D9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9FE327">
            <w:pPr>
              <w:jc w:val="center"/>
            </w:pPr>
            <w:r>
              <w:rPr>
                <w:rFonts w:ascii="宋体" w:hAnsi="宋体" w:eastAsia="宋体"/>
                <w:sz w:val="16"/>
              </w:rPr>
              <w:t>铁热克巴扎乡：2024年乡镇运转经费[含人大活动经费、人大代表联络站经费、妇联经费、纪委办案经费、纪委办公经费、团经费、组织经费、宣传经费、统战、党建、退役军人、群众工作活动]经费</w:t>
            </w:r>
          </w:p>
        </w:tc>
      </w:tr>
      <w:tr w14:paraId="64259B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08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9FC03">
            <w:pPr>
              <w:jc w:val="center"/>
            </w:pPr>
            <w:r>
              <w:rPr>
                <w:rFonts w:ascii="宋体" w:hAnsi="宋体" w:eastAsia="宋体"/>
                <w:sz w:val="16"/>
              </w:rPr>
              <w:t>新疆轮台县铁热克巴扎乡人民政府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D4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5A4D68">
            <w:pPr>
              <w:jc w:val="center"/>
            </w:pPr>
            <w:r>
              <w:rPr>
                <w:rFonts w:ascii="宋体" w:hAnsi="宋体" w:eastAsia="宋体"/>
                <w:sz w:val="16"/>
              </w:rPr>
              <w:t>轮台县铁热克巴扎乡人民政府</w:t>
            </w:r>
          </w:p>
        </w:tc>
      </w:tr>
      <w:tr w14:paraId="2D0DD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0E5A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5F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B0F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A8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45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8EA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7FF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3711">
            <w:pPr>
              <w:jc w:val="center"/>
            </w:pPr>
            <w:r>
              <w:rPr>
                <w:rFonts w:ascii="宋体" w:hAnsi="宋体" w:eastAsia="宋体"/>
                <w:sz w:val="16"/>
              </w:rPr>
              <w:t>得分</w:t>
            </w:r>
          </w:p>
        </w:tc>
      </w:tr>
      <w:tr w14:paraId="19080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6BB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0B6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E294">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6F2F">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B801">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8E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E9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8440">
            <w:pPr>
              <w:jc w:val="center"/>
            </w:pPr>
            <w:r>
              <w:rPr>
                <w:rFonts w:ascii="宋体" w:hAnsi="宋体" w:eastAsia="宋体"/>
                <w:sz w:val="16"/>
              </w:rPr>
              <w:t>10.00</w:t>
            </w:r>
          </w:p>
        </w:tc>
      </w:tr>
      <w:tr w14:paraId="4C108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28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64D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6B56">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572A">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7748">
            <w:pPr>
              <w:jc w:val="center"/>
            </w:pPr>
            <w:r>
              <w:rPr>
                <w:rFonts w:ascii="宋体" w:hAnsi="宋体" w:eastAsia="宋体"/>
                <w:sz w:val="16"/>
              </w:rPr>
              <w:t>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0E4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0D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7E9F">
            <w:pPr>
              <w:jc w:val="center"/>
            </w:pPr>
            <w:r>
              <w:rPr>
                <w:rFonts w:ascii="宋体" w:hAnsi="宋体" w:eastAsia="宋体"/>
                <w:sz w:val="16"/>
              </w:rPr>
              <w:t>-</w:t>
            </w:r>
          </w:p>
        </w:tc>
      </w:tr>
      <w:tr w14:paraId="7F654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14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C5C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2E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36B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B8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E96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46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9A2C">
            <w:pPr>
              <w:jc w:val="center"/>
            </w:pPr>
            <w:r>
              <w:rPr>
                <w:rFonts w:ascii="宋体" w:hAnsi="宋体" w:eastAsia="宋体"/>
                <w:sz w:val="16"/>
              </w:rPr>
              <w:t>-</w:t>
            </w:r>
          </w:p>
        </w:tc>
      </w:tr>
      <w:tr w14:paraId="080C9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B77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ECDC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550AF3">
            <w:pPr>
              <w:jc w:val="center"/>
            </w:pPr>
            <w:r>
              <w:rPr>
                <w:rFonts w:ascii="宋体" w:hAnsi="宋体" w:eastAsia="宋体"/>
                <w:sz w:val="16"/>
              </w:rPr>
              <w:t>总体目标完成情况</w:t>
            </w:r>
          </w:p>
        </w:tc>
      </w:tr>
      <w:tr w14:paraId="2765E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515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0B46A">
            <w:pPr>
              <w:jc w:val="both"/>
            </w:pPr>
            <w:r>
              <w:rPr>
                <w:rFonts w:ascii="宋体" w:hAnsi="宋体" w:eastAsia="宋体"/>
                <w:sz w:val="16"/>
              </w:rPr>
              <w:t>目标1：保障办公人员数量106人，公务保障用车数量5辆，保障纪委办公人员数量4人，主要用于铁热克巴扎乡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69C1B">
            <w:pPr>
              <w:jc w:val="both"/>
            </w:pPr>
            <w:r>
              <w:rPr>
                <w:rFonts w:hint="eastAsia" w:ascii="宋体" w:hAnsi="宋体"/>
                <w:sz w:val="16"/>
                <w:lang w:eastAsia="zh-CN"/>
              </w:rPr>
              <w:t>本单位</w:t>
            </w:r>
            <w:r>
              <w:rPr>
                <w:rFonts w:ascii="宋体" w:hAnsi="宋体" w:eastAsia="宋体"/>
                <w:sz w:val="16"/>
              </w:rPr>
              <w:t>本年度促进了单位各项事业持续健康发展，已完成保障办公人员106人，公务保障用车5辆，保障纪委办公人员4人，保障了政府结构正常运转。不断提高了政府服务质量，为人民群众提供更加安全、有效的公共服务。</w:t>
            </w:r>
          </w:p>
        </w:tc>
      </w:tr>
      <w:tr w14:paraId="04E2E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B99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FC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3A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03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A9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3D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B2E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401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885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37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7F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CE8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F5D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D57A">
            <w:pPr>
              <w:jc w:val="center"/>
            </w:pPr>
            <w:r>
              <w:rPr>
                <w:rFonts w:ascii="宋体" w:hAnsi="宋体" w:eastAsia="宋体"/>
                <w:sz w:val="16"/>
              </w:rPr>
              <w:t>偏差原因分析及改进措施</w:t>
            </w:r>
          </w:p>
        </w:tc>
      </w:tr>
      <w:tr w14:paraId="490DF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820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568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B16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4F47">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ED7E">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A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44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4C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1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B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5BD6">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5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0B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DDB3">
            <w:pPr>
              <w:jc w:val="center"/>
            </w:pPr>
          </w:p>
        </w:tc>
      </w:tr>
      <w:tr w14:paraId="51A28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BB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7D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57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3EA8">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1707">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A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7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79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6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6C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8F30">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5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B8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8397">
            <w:pPr>
              <w:jc w:val="center"/>
            </w:pPr>
          </w:p>
        </w:tc>
      </w:tr>
      <w:tr w14:paraId="030E8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B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69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AE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16C9">
            <w:pPr>
              <w:jc w:val="center"/>
            </w:pPr>
            <w:r>
              <w:rPr>
                <w:rFonts w:ascii="宋体" w:hAnsi="宋体" w:eastAsia="宋体"/>
                <w:sz w:val="16"/>
              </w:rPr>
              <w:t>保障纪委办公人员数量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501E">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7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1D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6A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D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0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D23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2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92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6B42">
            <w:pPr>
              <w:jc w:val="center"/>
            </w:pPr>
          </w:p>
        </w:tc>
      </w:tr>
      <w:tr w14:paraId="65DDA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2C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3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AC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6F3E">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4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2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6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2B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9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40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67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EC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B1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8F6">
            <w:pPr>
              <w:jc w:val="center"/>
            </w:pPr>
          </w:p>
        </w:tc>
      </w:tr>
      <w:tr w14:paraId="1C5D9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D8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16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79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F038">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C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97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A7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7D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7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7C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8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E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1F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670B">
            <w:pPr>
              <w:jc w:val="center"/>
            </w:pPr>
          </w:p>
        </w:tc>
      </w:tr>
      <w:tr w14:paraId="68852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2FA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C8F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46C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FB96">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70C1">
            <w:pPr>
              <w:jc w:val="center"/>
            </w:pPr>
            <w:r>
              <w:rPr>
                <w:rFonts w:ascii="宋体" w:hAnsi="宋体" w:eastAsia="宋体"/>
                <w:sz w:val="16"/>
              </w:rPr>
              <w:t>&lt;=2700元/人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2A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1F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13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6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2C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6E8B">
            <w:pPr>
              <w:jc w:val="center"/>
            </w:pPr>
            <w:r>
              <w:rPr>
                <w:rFonts w:ascii="宋体" w:hAnsi="宋体" w:eastAsia="宋体"/>
                <w:sz w:val="16"/>
              </w:rPr>
              <w:t>=2700元/人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8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F1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8BA4">
            <w:pPr>
              <w:jc w:val="center"/>
            </w:pPr>
          </w:p>
        </w:tc>
      </w:tr>
      <w:tr w14:paraId="15E5A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A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3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0F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56F7">
            <w:pPr>
              <w:jc w:val="center"/>
            </w:pPr>
            <w:r>
              <w:rPr>
                <w:rFonts w:ascii="宋体" w:hAnsi="宋体" w:eastAsia="宋体"/>
                <w:sz w:val="16"/>
              </w:rPr>
              <w:t>公务保障用车经费数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9393">
            <w:pPr>
              <w:jc w:val="center"/>
            </w:pPr>
            <w:r>
              <w:rPr>
                <w:rFonts w:ascii="宋体" w:hAnsi="宋体" w:eastAsia="宋体"/>
                <w:sz w:val="16"/>
              </w:rPr>
              <w:t>&lt;=1.91万元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4E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2B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B3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3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47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7A08">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F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77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114F">
            <w:pPr>
              <w:jc w:val="center"/>
            </w:pPr>
          </w:p>
        </w:tc>
      </w:tr>
      <w:tr w14:paraId="451E6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E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CB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13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807E">
            <w:pPr>
              <w:jc w:val="center"/>
            </w:pPr>
            <w:r>
              <w:rPr>
                <w:rFonts w:ascii="宋体" w:hAnsi="宋体" w:eastAsia="宋体"/>
                <w:sz w:val="16"/>
              </w:rPr>
              <w:t>保障纪委办公经费数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8C80">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02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8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97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4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A7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4C3C">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E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79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04F9">
            <w:pPr>
              <w:jc w:val="center"/>
            </w:pPr>
          </w:p>
        </w:tc>
      </w:tr>
      <w:tr w14:paraId="66C16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6B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06EC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81E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532E">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36A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6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0C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94E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48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5D3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066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E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1C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752E">
            <w:pPr>
              <w:jc w:val="center"/>
            </w:pPr>
          </w:p>
        </w:tc>
      </w:tr>
      <w:tr w14:paraId="53B8D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A7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8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48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45FE">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185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B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A3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87A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21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D4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CD7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1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9D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274E">
            <w:pPr>
              <w:jc w:val="center"/>
            </w:pPr>
          </w:p>
        </w:tc>
      </w:tr>
      <w:tr w14:paraId="6E9BDB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113B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505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3B6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4A6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C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85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CE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1811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79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922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1ACB6"/>
        </w:tc>
      </w:tr>
    </w:tbl>
    <w:p w14:paraId="0790A79E">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96"/>
        <w:gridCol w:w="623"/>
        <w:gridCol w:w="623"/>
        <w:gridCol w:w="626"/>
        <w:gridCol w:w="623"/>
        <w:gridCol w:w="623"/>
        <w:gridCol w:w="631"/>
        <w:gridCol w:w="629"/>
        <w:gridCol w:w="631"/>
        <w:gridCol w:w="857"/>
      </w:tblGrid>
      <w:tr w14:paraId="0ADDC108">
        <w:tblPrEx>
          <w:tblCellMar>
            <w:top w:w="0" w:type="dxa"/>
            <w:left w:w="108" w:type="dxa"/>
            <w:bottom w:w="0" w:type="dxa"/>
            <w:right w:w="108" w:type="dxa"/>
          </w:tblCellMar>
        </w:tblPrEx>
        <w:tc>
          <w:tcPr>
            <w:tcW w:w="8848" w:type="dxa"/>
            <w:gridSpan w:val="14"/>
            <w:vAlign w:val="center"/>
          </w:tcPr>
          <w:p w14:paraId="26261FA8">
            <w:pPr>
              <w:jc w:val="center"/>
            </w:pPr>
            <w:r>
              <w:rPr>
                <w:rFonts w:ascii="宋体" w:hAnsi="宋体" w:eastAsia="宋体"/>
                <w:sz w:val="24"/>
              </w:rPr>
              <w:t>项目支出绩效自评表</w:t>
            </w:r>
          </w:p>
        </w:tc>
      </w:tr>
      <w:tr w14:paraId="1970F0D6">
        <w:tblPrEx>
          <w:tblCellMar>
            <w:top w:w="0" w:type="dxa"/>
            <w:left w:w="108" w:type="dxa"/>
            <w:bottom w:w="0" w:type="dxa"/>
            <w:right w:w="108" w:type="dxa"/>
          </w:tblCellMar>
        </w:tblPrEx>
        <w:tc>
          <w:tcPr>
            <w:tcW w:w="8848" w:type="dxa"/>
            <w:gridSpan w:val="14"/>
            <w:vAlign w:val="center"/>
          </w:tcPr>
          <w:p w14:paraId="0D526CC5">
            <w:pPr>
              <w:jc w:val="center"/>
            </w:pPr>
            <w:r>
              <w:rPr>
                <w:rFonts w:ascii="宋体" w:hAnsi="宋体" w:eastAsia="宋体"/>
                <w:sz w:val="24"/>
              </w:rPr>
              <w:t>(2024年度)</w:t>
            </w:r>
          </w:p>
        </w:tc>
      </w:tr>
      <w:tr w14:paraId="462B51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4D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4FDB11">
            <w:pPr>
              <w:jc w:val="center"/>
            </w:pPr>
            <w:r>
              <w:rPr>
                <w:rFonts w:ascii="宋体" w:hAnsi="宋体" w:eastAsia="宋体"/>
                <w:sz w:val="16"/>
              </w:rPr>
              <w:t>铁热克巴扎乡：2024年隐性债务化解（铁热克巴扎乡清真寺改造）</w:t>
            </w:r>
          </w:p>
        </w:tc>
      </w:tr>
      <w:tr w14:paraId="6E175B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F8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99248">
            <w:pPr>
              <w:jc w:val="center"/>
            </w:pPr>
            <w:r>
              <w:rPr>
                <w:rFonts w:ascii="宋体" w:hAnsi="宋体" w:eastAsia="宋体"/>
                <w:sz w:val="16"/>
              </w:rPr>
              <w:t>新疆轮台县铁热克巴扎乡人民政府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18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D49AC3">
            <w:pPr>
              <w:jc w:val="center"/>
            </w:pPr>
            <w:r>
              <w:rPr>
                <w:rFonts w:ascii="宋体" w:hAnsi="宋体" w:eastAsia="宋体"/>
                <w:sz w:val="16"/>
              </w:rPr>
              <w:t>轮台县铁热克巴扎乡人民政府</w:t>
            </w:r>
          </w:p>
        </w:tc>
      </w:tr>
      <w:tr w14:paraId="70285E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394D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F9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45D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15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BA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866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C0C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0A80">
            <w:pPr>
              <w:jc w:val="center"/>
            </w:pPr>
            <w:r>
              <w:rPr>
                <w:rFonts w:ascii="宋体" w:hAnsi="宋体" w:eastAsia="宋体"/>
                <w:sz w:val="16"/>
              </w:rPr>
              <w:t>得分</w:t>
            </w:r>
          </w:p>
        </w:tc>
      </w:tr>
      <w:tr w14:paraId="3E165D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2D2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50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C653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6E7A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864A">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DCA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AA03">
            <w:pPr>
              <w:jc w:val="center"/>
            </w:pPr>
            <w:r>
              <w:rPr>
                <w:rFonts w:ascii="宋体" w:hAnsi="宋体" w:eastAsia="宋体"/>
                <w:sz w:val="16"/>
              </w:rPr>
              <w:t>81.00%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3156">
            <w:pPr>
              <w:jc w:val="center"/>
            </w:pPr>
            <w:r>
              <w:rPr>
                <w:rFonts w:ascii="宋体" w:hAnsi="宋体" w:eastAsia="宋体"/>
                <w:sz w:val="16"/>
              </w:rPr>
              <w:t>5.25</w:t>
            </w:r>
          </w:p>
        </w:tc>
      </w:tr>
      <w:tr w14:paraId="40410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DB4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A22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21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029A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36ECB">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181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02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55F6">
            <w:pPr>
              <w:jc w:val="center"/>
            </w:pPr>
            <w:r>
              <w:rPr>
                <w:rFonts w:ascii="宋体" w:hAnsi="宋体" w:eastAsia="宋体"/>
                <w:sz w:val="16"/>
              </w:rPr>
              <w:t>-</w:t>
            </w:r>
          </w:p>
        </w:tc>
      </w:tr>
      <w:tr w14:paraId="77101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1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FE70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E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B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A72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11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E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150B">
            <w:pPr>
              <w:jc w:val="center"/>
            </w:pPr>
            <w:r>
              <w:rPr>
                <w:rFonts w:ascii="宋体" w:hAnsi="宋体" w:eastAsia="宋体"/>
                <w:sz w:val="16"/>
              </w:rPr>
              <w:t>-</w:t>
            </w:r>
          </w:p>
        </w:tc>
      </w:tr>
      <w:tr w14:paraId="5658D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30A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E77D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9BC0AE">
            <w:pPr>
              <w:jc w:val="center"/>
            </w:pPr>
            <w:r>
              <w:rPr>
                <w:rFonts w:ascii="宋体" w:hAnsi="宋体" w:eastAsia="宋体"/>
                <w:sz w:val="16"/>
              </w:rPr>
              <w:t>总体目标完成情况</w:t>
            </w:r>
          </w:p>
        </w:tc>
      </w:tr>
      <w:tr w14:paraId="655E3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79A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93DF0">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2024年隐性债务化解（铁热克巴扎乡清真寺改造）1个，金额为2万元，确保债权人的利益得到有效保障，确保铁热克巴扎乡财务状况持续稳定，以及维持良好的社会形象。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AC5333">
            <w:pPr>
              <w:jc w:val="both"/>
            </w:pPr>
            <w:r>
              <w:rPr>
                <w:rFonts w:ascii="宋体" w:hAnsi="宋体" w:eastAsia="宋体"/>
                <w:sz w:val="16"/>
              </w:rPr>
              <w:t>已完成2024年隐性债务化解（铁热克巴扎乡清真寺改造）1个，金额为1.62万元，确保债权人的利益得到有效保障，确保铁热克巴扎乡财务状况持续稳定，以及维持良好的社会形象。</w:t>
            </w:r>
          </w:p>
        </w:tc>
      </w:tr>
      <w:tr w14:paraId="3EA99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E3E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2F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87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69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58B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BA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7AC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F5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BD4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EF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CD4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E8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BA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3056">
            <w:pPr>
              <w:jc w:val="center"/>
            </w:pPr>
            <w:r>
              <w:rPr>
                <w:rFonts w:ascii="宋体" w:hAnsi="宋体" w:eastAsia="宋体"/>
                <w:sz w:val="16"/>
              </w:rPr>
              <w:t>偏差原因分析及改进措施</w:t>
            </w:r>
          </w:p>
        </w:tc>
      </w:tr>
      <w:tr w14:paraId="693636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691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4E1D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7A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447E">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9A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0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2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3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0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8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CE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F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3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54E5">
            <w:pPr>
              <w:jc w:val="center"/>
            </w:pPr>
          </w:p>
        </w:tc>
      </w:tr>
      <w:tr w14:paraId="6C689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D5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9F6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828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E3B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A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99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4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3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CD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BF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2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65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D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6AC1">
            <w:pPr>
              <w:jc w:val="center"/>
            </w:pPr>
          </w:p>
        </w:tc>
      </w:tr>
      <w:tr w14:paraId="375FF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D7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A7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D6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F990">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E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3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25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4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F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DC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A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3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D5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CB89">
            <w:pPr>
              <w:jc w:val="center"/>
            </w:pPr>
          </w:p>
        </w:tc>
      </w:tr>
      <w:tr w14:paraId="76502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43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3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56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FCD1">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B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C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95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0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8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70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C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F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3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ADF0">
            <w:pPr>
              <w:jc w:val="center"/>
            </w:pPr>
          </w:p>
        </w:tc>
      </w:tr>
      <w:tr w14:paraId="6BCC3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88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3A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65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B447">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251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56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C5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B8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9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87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C0E7">
            <w:pPr>
              <w:jc w:val="center"/>
            </w:pPr>
            <w:r>
              <w:rPr>
                <w:rFonts w:ascii="宋体" w:hAnsi="宋体" w:eastAsia="宋体"/>
                <w:sz w:val="16"/>
              </w:rPr>
              <w: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5625">
            <w:pPr>
              <w:jc w:val="center"/>
            </w:pPr>
            <w:r>
              <w:rPr>
                <w:rFonts w:ascii="宋体" w:hAnsi="宋体" w:eastAsia="宋体"/>
                <w:sz w:val="16"/>
              </w:rPr>
              <w: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5BBD">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A25F">
            <w:pPr>
              <w:jc w:val="center"/>
            </w:pPr>
            <w:r>
              <w:rPr>
                <w:rFonts w:ascii="宋体" w:hAnsi="宋体" w:eastAsia="宋体"/>
                <w:sz w:val="16"/>
              </w:rPr>
              <w:t>该项目按合同价认定隐性债务的金额为2万元，竣工决算审定后，核减隐性债务金额0.381576万元，实际支付欠款1.618万元</w:t>
            </w:r>
            <w:r>
              <w:rPr>
                <w:rFonts w:hint="eastAsia" w:ascii="宋体" w:hAnsi="宋体"/>
                <w:sz w:val="16"/>
                <w:lang w:eastAsia="zh-CN"/>
              </w:rPr>
              <w:t>。</w:t>
            </w:r>
          </w:p>
        </w:tc>
      </w:tr>
      <w:tr w14:paraId="59373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27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58C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D5C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B7E8">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631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5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2A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6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03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95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D46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7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F9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315E">
            <w:pPr>
              <w:jc w:val="center"/>
            </w:pPr>
          </w:p>
        </w:tc>
      </w:tr>
      <w:tr w14:paraId="6E9467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D3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79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04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5804">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833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E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3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E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B8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06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FDE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4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4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45F0">
            <w:pPr>
              <w:jc w:val="center"/>
            </w:pPr>
          </w:p>
        </w:tc>
      </w:tr>
      <w:tr w14:paraId="0B974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A3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CB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39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D9A2">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77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3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E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D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4F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9F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49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F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2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0F10">
            <w:pPr>
              <w:jc w:val="center"/>
            </w:pPr>
          </w:p>
        </w:tc>
      </w:tr>
      <w:tr w14:paraId="70C5EA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C6B4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A6C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827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60E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B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FFB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D54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97A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89F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0B34">
            <w:pPr>
              <w:jc w:val="center"/>
            </w:pPr>
            <w:r>
              <w:rPr>
                <w:rFonts w:ascii="宋体" w:hAnsi="宋体" w:eastAsia="宋体"/>
                <w:sz w:val="16"/>
              </w:rPr>
              <w:t>85.75分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5D7C2B"/>
        </w:tc>
      </w:tr>
    </w:tbl>
    <w:p w14:paraId="3FE4E5BC">
      <w:r>
        <w:br w:type="page"/>
      </w:r>
    </w:p>
    <w:p w14:paraId="53C5ADF8">
      <w:pPr>
        <w:spacing w:line="640" w:lineRule="exact"/>
        <w:ind w:firstLine="640"/>
        <w:jc w:val="both"/>
        <w:outlineLvl w:val="2"/>
      </w:pPr>
      <w:r>
        <w:rPr>
          <w:rFonts w:ascii="黑体" w:hAnsi="黑体" w:eastAsia="黑体"/>
          <w:sz w:val="32"/>
        </w:rPr>
        <w:t>十二、其他需说明的事项</w:t>
      </w:r>
    </w:p>
    <w:p w14:paraId="26E625A9">
      <w:pPr>
        <w:spacing w:line="580" w:lineRule="exact"/>
        <w:ind w:firstLine="640"/>
        <w:jc w:val="both"/>
      </w:pPr>
      <w:r>
        <w:rPr>
          <w:rFonts w:ascii="仿宋_GB2312" w:hAnsi="仿宋_GB2312" w:eastAsia="仿宋_GB2312"/>
          <w:b w:val="0"/>
          <w:sz w:val="32"/>
        </w:rPr>
        <w:t>本单位无其他需说明的事项。</w:t>
      </w:r>
    </w:p>
    <w:p w14:paraId="4CD3C362">
      <w:r>
        <w:br w:type="page"/>
      </w:r>
    </w:p>
    <w:p w14:paraId="5527C431">
      <w:pPr>
        <w:spacing w:line="240" w:lineRule="auto"/>
        <w:jc w:val="center"/>
        <w:outlineLvl w:val="1"/>
      </w:pPr>
      <w:r>
        <w:rPr>
          <w:rFonts w:ascii="黑体" w:hAnsi="黑体" w:eastAsia="黑体"/>
          <w:sz w:val="32"/>
        </w:rPr>
        <w:t>第三部分 专业名词解释</w:t>
      </w:r>
    </w:p>
    <w:p w14:paraId="64E4F04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19446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2FC50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1C90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4AB0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92C7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D74B3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B26F2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11F49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70528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BE280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68BB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AE94A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B04DC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74A079A">
      <w:r>
        <w:br w:type="page"/>
      </w:r>
    </w:p>
    <w:p w14:paraId="71F9032E">
      <w:pPr>
        <w:spacing w:line="240" w:lineRule="auto"/>
        <w:jc w:val="center"/>
        <w:outlineLvl w:val="1"/>
      </w:pPr>
      <w:r>
        <w:rPr>
          <w:rFonts w:ascii="黑体" w:hAnsi="黑体" w:eastAsia="黑体"/>
          <w:sz w:val="32"/>
        </w:rPr>
        <w:t>第四部分 部门决算报表（见附表）</w:t>
      </w:r>
    </w:p>
    <w:p w14:paraId="30ADDB3C">
      <w:pPr>
        <w:spacing w:line="240" w:lineRule="auto"/>
        <w:ind w:firstLine="640"/>
        <w:jc w:val="both"/>
      </w:pPr>
      <w:r>
        <w:rPr>
          <w:rFonts w:ascii="仿宋_GB2312" w:hAnsi="仿宋_GB2312" w:eastAsia="仿宋_GB2312"/>
          <w:b w:val="0"/>
          <w:sz w:val="32"/>
        </w:rPr>
        <w:t>一、《收入支出决算总表》</w:t>
      </w:r>
    </w:p>
    <w:p w14:paraId="58D5643E">
      <w:pPr>
        <w:spacing w:line="240" w:lineRule="auto"/>
        <w:ind w:firstLine="640"/>
        <w:jc w:val="both"/>
      </w:pPr>
      <w:r>
        <w:rPr>
          <w:rFonts w:ascii="仿宋_GB2312" w:hAnsi="仿宋_GB2312" w:eastAsia="仿宋_GB2312"/>
          <w:b w:val="0"/>
          <w:sz w:val="32"/>
        </w:rPr>
        <w:t>二、《收入决算表》</w:t>
      </w:r>
    </w:p>
    <w:p w14:paraId="346A451F">
      <w:pPr>
        <w:spacing w:line="240" w:lineRule="auto"/>
        <w:ind w:firstLine="640"/>
        <w:jc w:val="both"/>
      </w:pPr>
      <w:r>
        <w:rPr>
          <w:rFonts w:ascii="仿宋_GB2312" w:hAnsi="仿宋_GB2312" w:eastAsia="仿宋_GB2312"/>
          <w:b w:val="0"/>
          <w:sz w:val="32"/>
        </w:rPr>
        <w:t>三、《支出决算表》</w:t>
      </w:r>
    </w:p>
    <w:p w14:paraId="1DC3AEF0">
      <w:pPr>
        <w:spacing w:line="240" w:lineRule="auto"/>
        <w:ind w:firstLine="640"/>
        <w:jc w:val="both"/>
      </w:pPr>
      <w:r>
        <w:rPr>
          <w:rFonts w:ascii="仿宋_GB2312" w:hAnsi="仿宋_GB2312" w:eastAsia="仿宋_GB2312"/>
          <w:b w:val="0"/>
          <w:sz w:val="32"/>
        </w:rPr>
        <w:t>四、《财政拨款收入支出决算总表》</w:t>
      </w:r>
    </w:p>
    <w:p w14:paraId="098E287A">
      <w:pPr>
        <w:spacing w:line="240" w:lineRule="auto"/>
        <w:ind w:firstLine="640"/>
        <w:jc w:val="both"/>
      </w:pPr>
      <w:r>
        <w:rPr>
          <w:rFonts w:ascii="仿宋_GB2312" w:hAnsi="仿宋_GB2312" w:eastAsia="仿宋_GB2312"/>
          <w:b w:val="0"/>
          <w:sz w:val="32"/>
        </w:rPr>
        <w:t>五、《一般公共预算财政拨款支出决算表》</w:t>
      </w:r>
    </w:p>
    <w:p w14:paraId="526C10A9">
      <w:pPr>
        <w:spacing w:line="240" w:lineRule="auto"/>
        <w:ind w:firstLine="640"/>
        <w:jc w:val="both"/>
      </w:pPr>
      <w:r>
        <w:rPr>
          <w:rFonts w:ascii="仿宋_GB2312" w:hAnsi="仿宋_GB2312" w:eastAsia="仿宋_GB2312"/>
          <w:b w:val="0"/>
          <w:sz w:val="32"/>
        </w:rPr>
        <w:t>六、《一般公共预算财政拨款基本支出决算表》</w:t>
      </w:r>
    </w:p>
    <w:p w14:paraId="73E15845">
      <w:pPr>
        <w:spacing w:line="240" w:lineRule="auto"/>
        <w:ind w:firstLine="640"/>
        <w:jc w:val="both"/>
      </w:pPr>
      <w:r>
        <w:rPr>
          <w:rFonts w:ascii="仿宋_GB2312" w:hAnsi="仿宋_GB2312" w:eastAsia="仿宋_GB2312"/>
          <w:b w:val="0"/>
          <w:sz w:val="32"/>
        </w:rPr>
        <w:t>七、《政府性基金预算财政拨款收入支出决算表》</w:t>
      </w:r>
    </w:p>
    <w:p w14:paraId="4ACF2307">
      <w:pPr>
        <w:spacing w:line="240" w:lineRule="auto"/>
        <w:ind w:firstLine="640"/>
        <w:jc w:val="both"/>
      </w:pPr>
      <w:r>
        <w:rPr>
          <w:rFonts w:ascii="仿宋_GB2312" w:hAnsi="仿宋_GB2312" w:eastAsia="仿宋_GB2312"/>
          <w:b w:val="0"/>
          <w:sz w:val="32"/>
        </w:rPr>
        <w:t>八、《国有资本经营预算财政拨款收入支出决算表》</w:t>
      </w:r>
    </w:p>
    <w:p w14:paraId="5BCC2511">
      <w:pPr>
        <w:spacing w:line="240" w:lineRule="auto"/>
        <w:ind w:firstLine="640"/>
        <w:jc w:val="both"/>
      </w:pPr>
      <w:r>
        <w:rPr>
          <w:rFonts w:ascii="仿宋_GB2312" w:hAnsi="仿宋_GB2312" w:eastAsia="仿宋_GB2312"/>
          <w:b w:val="0"/>
          <w:sz w:val="32"/>
        </w:rPr>
        <w:t>九、《财政拨款“三公”经费支出决算表》</w:t>
      </w:r>
    </w:p>
    <w:p w14:paraId="1D75FE8C">
      <w:pPr>
        <w:spacing w:line="240" w:lineRule="auto"/>
        <w:ind w:firstLine="640"/>
        <w:jc w:val="both"/>
      </w:pPr>
    </w:p>
    <w:p w14:paraId="7A73FCC6">
      <w:pPr>
        <w:spacing w:line="240" w:lineRule="auto"/>
        <w:ind w:firstLine="640"/>
        <w:jc w:val="both"/>
      </w:pPr>
    </w:p>
    <w:p w14:paraId="4F05CB27">
      <w:pPr>
        <w:spacing w:line="240" w:lineRule="auto"/>
        <w:ind w:firstLine="640"/>
        <w:jc w:val="both"/>
      </w:pPr>
    </w:p>
    <w:p w14:paraId="56D21AF6">
      <w:pPr>
        <w:spacing w:line="240" w:lineRule="auto"/>
        <w:ind w:firstLine="640"/>
        <w:jc w:val="both"/>
      </w:pPr>
    </w:p>
    <w:p w14:paraId="46ADCED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B266D2-15B3-4329-B901-42F350FEEF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AB83C3B8-6203-4C3B-BF37-6DA7239A1792}"/>
  </w:font>
  <w:font w:name="楷体_GB2312">
    <w:panose1 w:val="02010609030101010101"/>
    <w:charset w:val="86"/>
    <w:family w:val="auto"/>
    <w:pitch w:val="default"/>
    <w:sig w:usb0="00000001" w:usb1="080E0000" w:usb2="00000000" w:usb3="00000000" w:csb0="00040000" w:csb1="00000000"/>
    <w:embedRegular r:id="rId3" w:fontKey="{843B45E2-4252-40DF-89AC-6F41C2D91421}"/>
  </w:font>
  <w:font w:name="方正小标宋_GBK">
    <w:panose1 w:val="02000000000000000000"/>
    <w:charset w:val="86"/>
    <w:family w:val="script"/>
    <w:pitch w:val="default"/>
    <w:sig w:usb0="A00002BF" w:usb1="38CF7CFA" w:usb2="00082016" w:usb3="00000000" w:csb0="00040001" w:csb1="00000000"/>
    <w:embedRegular r:id="rId4" w:fontKey="{9DF023D3-66C4-4EEB-BE2D-E23C6C472D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B44E9C"/>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663C2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8819</Words>
  <Characters>10301</Characters>
  <Lines>0</Lines>
  <Paragraphs>0</Paragraphs>
  <TotalTime>8</TotalTime>
  <ScaleCrop>false</ScaleCrop>
  <LinksUpToDate>false</LinksUpToDate>
  <CharactersWithSpaces>10309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2025-09-16T05:11:16Z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