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轮台县阳霞镇人民政府2024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6463AB">
      <w:r>
        <w:br w:type="page"/>
      </w:r>
    </w:p>
    <w:p w14:paraId="65F2C0F6">
      <w:pPr>
        <w:spacing w:line="640" w:lineRule="exact"/>
        <w:jc w:val="center"/>
        <w:outlineLvl w:val="1"/>
      </w:pPr>
      <w:r>
        <w:rPr>
          <w:rFonts w:ascii="黑体" w:hAnsi="黑体" w:eastAsia="黑体"/>
          <w:sz w:val="32"/>
        </w:rPr>
        <w:t>第一部分 单位概况</w:t>
      </w:r>
    </w:p>
    <w:p w14:paraId="26DCA061">
      <w:pPr>
        <w:spacing w:line="640" w:lineRule="exact"/>
        <w:ind w:firstLine="640"/>
        <w:jc w:val="both"/>
        <w:outlineLvl w:val="2"/>
      </w:pPr>
      <w:r>
        <w:rPr>
          <w:rFonts w:ascii="黑体" w:hAnsi="黑体" w:eastAsia="黑体"/>
          <w:sz w:val="32"/>
        </w:rPr>
        <w:t>一、主要职能</w:t>
      </w:r>
    </w:p>
    <w:p w14:paraId="0C8DCEC9">
      <w:pPr>
        <w:spacing w:line="580" w:lineRule="exact"/>
        <w:ind w:firstLine="640"/>
        <w:jc w:val="both"/>
      </w:pPr>
      <w:r>
        <w:rPr>
          <w:rFonts w:ascii="仿宋_GB2312" w:hAnsi="仿宋_GB2312" w:eastAsia="仿宋_GB2312"/>
          <w:sz w:val="32"/>
        </w:rPr>
        <w:t>（一）落实国家政策，严格依法行政发挥经济管理职能，加强政策引导，制定发展规划，服务市场主体和营造发展环境，搞好市场监督，大力促进社会事业发展，发展乡村经济，文化和社会事业，提高公共服务，维护社会稳定，构建社会主义和谐社会。</w:t>
      </w:r>
    </w:p>
    <w:p w14:paraId="7C21ADB8">
      <w:pPr>
        <w:spacing w:line="580" w:lineRule="exact"/>
        <w:ind w:firstLine="640"/>
        <w:jc w:val="both"/>
      </w:pPr>
      <w:r>
        <w:rPr>
          <w:rFonts w:ascii="仿宋_GB2312" w:hAnsi="仿宋_GB2312" w:eastAsia="仿宋_GB2312"/>
          <w:sz w:val="32"/>
        </w:rPr>
        <w:t>（二）负责文秘、档案、保密、翻译、综合和后勤保障等工作</w:t>
      </w:r>
      <w:r>
        <w:rPr>
          <w:rFonts w:hint="eastAsia" w:ascii="仿宋_GB2312" w:hAnsi="仿宋_GB2312" w:eastAsia="仿宋_GB2312"/>
          <w:sz w:val="32"/>
          <w:lang w:eastAsia="zh-CN"/>
        </w:rPr>
        <w:t>；</w:t>
      </w:r>
      <w:r>
        <w:rPr>
          <w:rFonts w:ascii="仿宋_GB2312" w:hAnsi="仿宋_GB2312" w:eastAsia="仿宋_GB2312"/>
          <w:sz w:val="32"/>
        </w:rPr>
        <w:t>负责制定乡(镇)机关各项工作制度并监督落实</w:t>
      </w:r>
      <w:r>
        <w:rPr>
          <w:rFonts w:hint="eastAsia" w:ascii="仿宋_GB2312" w:hAnsi="仿宋_GB2312" w:eastAsia="仿宋_GB2312"/>
          <w:sz w:val="32"/>
          <w:lang w:eastAsia="zh-CN"/>
        </w:rPr>
        <w:t>；</w:t>
      </w:r>
      <w:r>
        <w:rPr>
          <w:rFonts w:ascii="仿宋_GB2312" w:hAnsi="仿宋_GB2312" w:eastAsia="仿宋_GB2312"/>
          <w:sz w:val="32"/>
        </w:rPr>
        <w:t>负责乡(镇)机关效能建设及绩效考核</w:t>
      </w:r>
      <w:r>
        <w:rPr>
          <w:rFonts w:hint="eastAsia" w:ascii="仿宋_GB2312" w:hAnsi="仿宋_GB2312" w:eastAsia="仿宋_GB2312"/>
          <w:sz w:val="32"/>
          <w:lang w:eastAsia="zh-CN"/>
        </w:rPr>
        <w:t>；</w:t>
      </w:r>
      <w:r>
        <w:rPr>
          <w:rFonts w:ascii="仿宋_GB2312" w:hAnsi="仿宋_GB2312" w:eastAsia="仿宋_GB2312"/>
          <w:sz w:val="32"/>
        </w:rPr>
        <w:t>负责机关、派驻机构、事业机构的协调和综合服务工作。</w:t>
      </w:r>
    </w:p>
    <w:p w14:paraId="2F940E8A">
      <w:pPr>
        <w:spacing w:line="580" w:lineRule="exact"/>
        <w:ind w:firstLine="640"/>
        <w:jc w:val="both"/>
      </w:pPr>
      <w:r>
        <w:rPr>
          <w:rFonts w:ascii="仿宋_GB2312" w:hAnsi="仿宋_GB2312" w:eastAsia="仿宋_GB2312"/>
          <w:sz w:val="32"/>
        </w:rPr>
        <w:t>（三）负责党务、组织、纪检、宣传、人事、老干部、群众服务等工作的规划、管理、协调和监督工作</w:t>
      </w:r>
      <w:r>
        <w:rPr>
          <w:rFonts w:hint="eastAsia" w:ascii="仿宋_GB2312" w:hAnsi="仿宋_GB2312" w:eastAsia="仿宋_GB2312"/>
          <w:sz w:val="32"/>
          <w:lang w:eastAsia="zh-CN"/>
        </w:rPr>
        <w:t>；</w:t>
      </w:r>
      <w:r>
        <w:rPr>
          <w:rFonts w:ascii="仿宋_GB2312" w:hAnsi="仿宋_GB2312" w:eastAsia="仿宋_GB2312"/>
          <w:sz w:val="32"/>
        </w:rPr>
        <w:t>负责宣传党的各项方针、政策</w:t>
      </w:r>
      <w:r>
        <w:rPr>
          <w:rFonts w:hint="eastAsia" w:ascii="仿宋_GB2312" w:hAnsi="仿宋_GB2312" w:eastAsia="仿宋_GB2312"/>
          <w:sz w:val="32"/>
          <w:lang w:eastAsia="zh-CN"/>
        </w:rPr>
        <w:t>；</w:t>
      </w:r>
      <w:r>
        <w:rPr>
          <w:rFonts w:ascii="仿宋_GB2312" w:hAnsi="仿宋_GB2312" w:eastAsia="仿宋_GB2312"/>
          <w:sz w:val="32"/>
        </w:rPr>
        <w:t>负责党的基层组织建设和党员队伍建设工作；负责党风廉政建设工作</w:t>
      </w:r>
      <w:r>
        <w:rPr>
          <w:rFonts w:hint="eastAsia" w:ascii="仿宋_GB2312" w:hAnsi="仿宋_GB2312" w:eastAsia="仿宋_GB2312"/>
          <w:sz w:val="32"/>
          <w:lang w:eastAsia="zh-CN"/>
        </w:rPr>
        <w:t>；</w:t>
      </w:r>
      <w:r>
        <w:rPr>
          <w:rFonts w:ascii="仿宋_GB2312" w:hAnsi="仿宋_GB2312" w:eastAsia="仿宋_GB2312"/>
          <w:sz w:val="32"/>
        </w:rPr>
        <w:t>负责解决群众困难诉求,进行末端检验倒查乡(镇)群众工作落实情况,查找问题短板、总结积累经验；负责组织开展辖区居民的宣传、发动、服务工作</w:t>
      </w:r>
      <w:r>
        <w:rPr>
          <w:rFonts w:hint="eastAsia" w:ascii="仿宋_GB2312" w:hAnsi="仿宋_GB2312" w:eastAsia="仿宋_GB2312"/>
          <w:sz w:val="32"/>
          <w:lang w:eastAsia="zh-CN"/>
        </w:rPr>
        <w:t>；</w:t>
      </w:r>
      <w:r>
        <w:rPr>
          <w:rFonts w:ascii="仿宋_GB2312" w:hAnsi="仿宋_GB2312" w:eastAsia="仿宋_GB2312"/>
          <w:sz w:val="32"/>
        </w:rPr>
        <w:t>负责</w:t>
      </w:r>
      <w:r>
        <w:rPr>
          <w:rFonts w:hint="eastAsia" w:ascii="仿宋_GB2312" w:hAnsi="仿宋_GB2312" w:eastAsia="仿宋_GB2312"/>
          <w:sz w:val="32"/>
          <w:lang w:eastAsia="zh-CN"/>
        </w:rPr>
        <w:t>为民办实事</w:t>
      </w:r>
      <w:r>
        <w:rPr>
          <w:rFonts w:ascii="仿宋_GB2312" w:hAnsi="仿宋_GB2312" w:eastAsia="仿宋_GB2312"/>
          <w:sz w:val="32"/>
        </w:rPr>
        <w:t>工作、升国旗、居民夜校、村(社区)考核</w:t>
      </w:r>
      <w:r>
        <w:rPr>
          <w:rFonts w:hint="eastAsia" w:ascii="仿宋_GB2312" w:hAnsi="仿宋_GB2312" w:eastAsia="仿宋_GB2312"/>
          <w:sz w:val="32"/>
          <w:lang w:eastAsia="zh-CN"/>
        </w:rPr>
        <w:t>；</w:t>
      </w:r>
      <w:r>
        <w:rPr>
          <w:rFonts w:ascii="仿宋_GB2312" w:hAnsi="仿宋_GB2312" w:eastAsia="仿宋_GB2312"/>
          <w:sz w:val="32"/>
        </w:rPr>
        <w:t>负责人大、团委、工会、妇联等群团组织工作</w:t>
      </w:r>
      <w:r>
        <w:rPr>
          <w:rFonts w:hint="eastAsia" w:ascii="仿宋_GB2312" w:hAnsi="仿宋_GB2312" w:eastAsia="仿宋_GB2312"/>
          <w:sz w:val="32"/>
          <w:lang w:eastAsia="zh-CN"/>
        </w:rPr>
        <w:t>；</w:t>
      </w:r>
      <w:r>
        <w:rPr>
          <w:rFonts w:ascii="仿宋_GB2312" w:hAnsi="仿宋_GB2312" w:eastAsia="仿宋_GB2312"/>
          <w:sz w:val="32"/>
        </w:rPr>
        <w:t>负责政协委员的联络工作。</w:t>
      </w:r>
    </w:p>
    <w:p w14:paraId="0938B460">
      <w:pPr>
        <w:spacing w:line="580" w:lineRule="exact"/>
        <w:ind w:firstLine="640"/>
        <w:jc w:val="both"/>
      </w:pPr>
      <w:r>
        <w:rPr>
          <w:rFonts w:ascii="仿宋_GB2312" w:hAnsi="仿宋_GB2312" w:eastAsia="仿宋_GB2312"/>
          <w:sz w:val="32"/>
        </w:rPr>
        <w:t>（四）负责农业、林业、畜牧、草原、水利、财政、土地、交通、科技、乡村振兴、新型城镇化、村镇建设、扶贫开发,产业的规划、管理、协调和监督工作</w:t>
      </w:r>
      <w:r>
        <w:rPr>
          <w:rFonts w:hint="eastAsia" w:ascii="仿宋_GB2312" w:hAnsi="仿宋_GB2312" w:eastAsia="仿宋_GB2312"/>
          <w:sz w:val="32"/>
          <w:lang w:eastAsia="zh-CN"/>
        </w:rPr>
        <w:t>；</w:t>
      </w:r>
      <w:r>
        <w:rPr>
          <w:rFonts w:ascii="仿宋_GB2312" w:hAnsi="仿宋_GB2312" w:eastAsia="仿宋_GB2312"/>
          <w:sz w:val="32"/>
        </w:rPr>
        <w:t>拟订经济发展、产业结构调整规划、计划并组织实施</w:t>
      </w:r>
      <w:r>
        <w:rPr>
          <w:rFonts w:hint="eastAsia" w:ascii="仿宋_GB2312" w:hAnsi="仿宋_GB2312" w:eastAsia="仿宋_GB2312"/>
          <w:sz w:val="32"/>
          <w:lang w:eastAsia="zh-CN"/>
        </w:rPr>
        <w:t>；</w:t>
      </w:r>
      <w:r>
        <w:rPr>
          <w:rFonts w:ascii="仿宋_GB2312" w:hAnsi="仿宋_GB2312" w:eastAsia="仿宋_GB2312"/>
          <w:sz w:val="32"/>
        </w:rPr>
        <w:t>贯彻落实统筹城乡发展、加快推进城乡一体化和乡村振兴工作总体部署和目标任务。</w:t>
      </w:r>
    </w:p>
    <w:p w14:paraId="3CEA5990">
      <w:pPr>
        <w:spacing w:line="580" w:lineRule="exact"/>
        <w:ind w:firstLine="640"/>
        <w:jc w:val="both"/>
      </w:pPr>
      <w:r>
        <w:rPr>
          <w:rFonts w:ascii="仿宋_GB2312" w:hAnsi="仿宋_GB2312" w:eastAsia="仿宋_GB2312"/>
          <w:sz w:val="32"/>
        </w:rPr>
        <w:t>（五）主要负责政法、社会治安综合治理、统战、民族、宗教、信访、司法、教育、科技、文化、卫生健康、体育、广播电视、旅游、计划生育、安全生产、应急管理、民政、劳动就业、社会保障、社会救助、退役军人、残疾人事业的规划、管理协调和监督工作</w:t>
      </w:r>
      <w:r>
        <w:rPr>
          <w:rFonts w:hint="eastAsia" w:ascii="仿宋_GB2312" w:hAnsi="仿宋_GB2312" w:eastAsia="仿宋_GB2312"/>
          <w:sz w:val="32"/>
          <w:lang w:eastAsia="zh-CN"/>
        </w:rPr>
        <w:t>；</w:t>
      </w:r>
      <w:r>
        <w:rPr>
          <w:rFonts w:ascii="仿宋_GB2312" w:hAnsi="仿宋_GB2312" w:eastAsia="仿宋_GB2312"/>
          <w:sz w:val="32"/>
        </w:rPr>
        <w:t>负责拟订社会发展规划、计划并组织实施。协助做好乡(镇)人武部工作。</w:t>
      </w:r>
    </w:p>
    <w:p w14:paraId="5837AD22">
      <w:pPr>
        <w:spacing w:line="580" w:lineRule="exact"/>
        <w:ind w:firstLine="640"/>
        <w:jc w:val="both"/>
      </w:pPr>
      <w:r>
        <w:rPr>
          <w:rFonts w:ascii="仿宋_GB2312" w:hAnsi="仿宋_GB2312" w:eastAsia="仿宋_GB2312"/>
          <w:sz w:val="32"/>
        </w:rPr>
        <w:t>（六）综合执法办公室。主要负责综合行政执法工作的规划、管理协调和监督工作</w:t>
      </w:r>
      <w:r>
        <w:rPr>
          <w:rFonts w:hint="eastAsia" w:ascii="仿宋_GB2312" w:hAnsi="仿宋_GB2312" w:eastAsia="仿宋_GB2312"/>
          <w:sz w:val="32"/>
          <w:lang w:eastAsia="zh-CN"/>
        </w:rPr>
        <w:t>；</w:t>
      </w:r>
      <w:r>
        <w:rPr>
          <w:rFonts w:ascii="仿宋_GB2312" w:hAnsi="仿宋_GB2312" w:eastAsia="仿宋_GB2312"/>
          <w:sz w:val="32"/>
        </w:rPr>
        <w:t>负责拟订综合行政执法队伍统一的运行管理制度,包括日常工作制度、包片负责制度、巡查上报制度、执法处置制度、执法协调制度等</w:t>
      </w:r>
      <w:r>
        <w:rPr>
          <w:rFonts w:hint="eastAsia" w:ascii="仿宋_GB2312" w:hAnsi="仿宋_GB2312" w:eastAsia="仿宋_GB2312"/>
          <w:sz w:val="32"/>
          <w:lang w:eastAsia="zh-CN"/>
        </w:rPr>
        <w:t>；</w:t>
      </w:r>
      <w:r>
        <w:rPr>
          <w:rFonts w:ascii="仿宋_GB2312" w:hAnsi="仿宋_GB2312" w:eastAsia="仿宋_GB2312"/>
          <w:sz w:val="32"/>
        </w:rPr>
        <w:t>负责联系协调县政府相关行政部门派驻乡(镇)执法人员以及乡(镇)执法人员在辖区内开展综合行政执法工作。</w:t>
      </w:r>
    </w:p>
    <w:p w14:paraId="53B99FC7">
      <w:pPr>
        <w:spacing w:line="580" w:lineRule="exact"/>
        <w:ind w:firstLine="640"/>
        <w:jc w:val="both"/>
      </w:pPr>
      <w:r>
        <w:rPr>
          <w:rFonts w:ascii="仿宋_GB2312" w:hAnsi="仿宋_GB2312" w:eastAsia="仿宋_GB2312"/>
          <w:sz w:val="32"/>
        </w:rPr>
        <w:t>（七）主要负责农业、林业、畜牧、草原、水利等方面的服务工作</w:t>
      </w:r>
      <w:r>
        <w:rPr>
          <w:rFonts w:hint="eastAsia" w:ascii="仿宋_GB2312" w:hAnsi="仿宋_GB2312" w:eastAsia="仿宋_GB2312"/>
          <w:sz w:val="32"/>
          <w:lang w:eastAsia="zh-CN"/>
        </w:rPr>
        <w:t>；</w:t>
      </w:r>
      <w:r>
        <w:rPr>
          <w:rFonts w:ascii="仿宋_GB2312" w:hAnsi="仿宋_GB2312" w:eastAsia="仿宋_GB2312"/>
          <w:sz w:val="32"/>
        </w:rPr>
        <w:t>协助乡(镇)政府制定农业、林业、畜牧业等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78E09329">
      <w:pPr>
        <w:spacing w:line="580" w:lineRule="exact"/>
        <w:ind w:firstLine="640"/>
        <w:jc w:val="both"/>
      </w:pPr>
      <w:r>
        <w:rPr>
          <w:rFonts w:ascii="仿宋_GB2312" w:hAnsi="仿宋_GB2312" w:eastAsia="仿宋_GB2312"/>
          <w:sz w:val="32"/>
        </w:rPr>
        <w:t>（八）主要负责文化、宣传、科技、体育、广播电视、旅游等方面的服务工作</w:t>
      </w:r>
      <w:r>
        <w:rPr>
          <w:rFonts w:hint="eastAsia" w:ascii="仿宋_GB2312" w:hAnsi="仿宋_GB2312" w:eastAsia="仿宋_GB2312"/>
          <w:sz w:val="32"/>
          <w:lang w:eastAsia="zh-CN"/>
        </w:rPr>
        <w:t>；</w:t>
      </w:r>
      <w:r>
        <w:rPr>
          <w:rFonts w:ascii="仿宋_GB2312" w:hAnsi="仿宋_GB2312" w:eastAsia="仿宋_GB2312"/>
          <w:sz w:val="32"/>
        </w:rPr>
        <w:t>协助乡(镇)政府制定文化宣传、科技、体育、广播电视、旅游等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6BCF4676">
      <w:pPr>
        <w:spacing w:line="580" w:lineRule="exact"/>
        <w:ind w:firstLine="640"/>
        <w:jc w:val="both"/>
      </w:pPr>
      <w:r>
        <w:rPr>
          <w:rFonts w:ascii="仿宋_GB2312" w:hAnsi="仿宋_GB2312" w:eastAsia="仿宋_GB2312"/>
          <w:sz w:val="32"/>
        </w:rPr>
        <w:t>（九）主要负责民政、教育、劳动就业、社会保障、社会</w:t>
      </w:r>
      <w:r>
        <w:rPr>
          <w:rFonts w:hint="eastAsia" w:ascii="仿宋_GB2312" w:hAnsi="仿宋_GB2312" w:eastAsia="仿宋_GB2312"/>
          <w:sz w:val="32"/>
          <w:lang w:eastAsia="zh-CN"/>
        </w:rPr>
        <w:t>救助</w:t>
      </w:r>
      <w:r>
        <w:rPr>
          <w:rFonts w:ascii="仿宋_GB2312" w:hAnsi="仿宋_GB2312" w:eastAsia="仿宋_GB2312"/>
          <w:sz w:val="32"/>
        </w:rPr>
        <w:t>、社会医保、医疗救助、退役军人、残疾人事业等方面的服务工作</w:t>
      </w:r>
      <w:r>
        <w:rPr>
          <w:rFonts w:hint="eastAsia" w:ascii="仿宋_GB2312" w:hAnsi="仿宋_GB2312" w:eastAsia="仿宋_GB2312"/>
          <w:sz w:val="32"/>
          <w:lang w:eastAsia="zh-CN"/>
        </w:rPr>
        <w:t>；</w:t>
      </w:r>
      <w:r>
        <w:rPr>
          <w:rFonts w:ascii="仿宋_GB2312" w:hAnsi="仿宋_GB2312" w:eastAsia="仿宋_GB2312"/>
          <w:sz w:val="32"/>
        </w:rPr>
        <w:t>协助乡(镇)政府制定民政、教育、劳动就业、社会保障、退役军人、残疾人事业等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7B076AC7">
      <w:pPr>
        <w:spacing w:line="580" w:lineRule="exact"/>
        <w:ind w:firstLine="640"/>
        <w:jc w:val="both"/>
      </w:pPr>
      <w:r>
        <w:rPr>
          <w:rFonts w:ascii="仿宋_GB2312" w:hAnsi="仿宋_GB2312" w:eastAsia="仿宋_GB2312"/>
          <w:sz w:val="32"/>
        </w:rPr>
        <w:t>（十）主要负责农村经济管理、财务管理等工作</w:t>
      </w:r>
      <w:r>
        <w:rPr>
          <w:rFonts w:hint="eastAsia" w:ascii="仿宋_GB2312" w:hAnsi="仿宋_GB2312" w:eastAsia="仿宋_GB2312"/>
          <w:sz w:val="32"/>
          <w:lang w:eastAsia="zh-CN"/>
        </w:rPr>
        <w:t>；</w:t>
      </w:r>
      <w:r>
        <w:rPr>
          <w:rFonts w:ascii="仿宋_GB2312" w:hAnsi="仿宋_GB2312" w:eastAsia="仿宋_GB2312"/>
          <w:sz w:val="32"/>
        </w:rPr>
        <w:t>负责农村集体经济,为农村集体经济健康发展提供保障和服务工作</w:t>
      </w:r>
      <w:r>
        <w:rPr>
          <w:rFonts w:hint="eastAsia" w:ascii="仿宋_GB2312" w:hAnsi="仿宋_GB2312" w:eastAsia="仿宋_GB2312"/>
          <w:sz w:val="32"/>
          <w:lang w:eastAsia="zh-CN"/>
        </w:rPr>
        <w:t>；</w:t>
      </w:r>
      <w:r>
        <w:rPr>
          <w:rFonts w:ascii="仿宋_GB2312" w:hAnsi="仿宋_GB2312" w:eastAsia="仿宋_GB2312"/>
          <w:sz w:val="32"/>
        </w:rPr>
        <w:t>负责乡(镇)政府财政预算决算的编制、办理各项收支结算和</w:t>
      </w:r>
      <w:r>
        <w:rPr>
          <w:rFonts w:hint="eastAsia" w:ascii="仿宋_GB2312" w:hAnsi="仿宋_GB2312" w:eastAsia="仿宋_GB2312"/>
          <w:sz w:val="32"/>
          <w:lang w:eastAsia="zh-CN"/>
        </w:rPr>
        <w:t>对账</w:t>
      </w:r>
      <w:r>
        <w:rPr>
          <w:rFonts w:ascii="仿宋_GB2312" w:hAnsi="仿宋_GB2312" w:eastAsia="仿宋_GB2312"/>
          <w:sz w:val="32"/>
        </w:rPr>
        <w:t>、报账工作</w:t>
      </w:r>
      <w:r>
        <w:rPr>
          <w:rFonts w:hint="eastAsia" w:ascii="仿宋_GB2312" w:hAnsi="仿宋_GB2312" w:eastAsia="仿宋_GB2312"/>
          <w:sz w:val="32"/>
          <w:lang w:eastAsia="zh-CN"/>
        </w:rPr>
        <w:t>；</w:t>
      </w:r>
      <w:r>
        <w:rPr>
          <w:rFonts w:ascii="仿宋_GB2312" w:hAnsi="仿宋_GB2312" w:eastAsia="仿宋_GB2312"/>
          <w:sz w:val="32"/>
        </w:rPr>
        <w:t>履行统计职责。</w:t>
      </w:r>
    </w:p>
    <w:p w14:paraId="22F99012">
      <w:pPr>
        <w:spacing w:line="580" w:lineRule="exact"/>
        <w:ind w:firstLine="640"/>
        <w:jc w:val="both"/>
      </w:pPr>
      <w:r>
        <w:rPr>
          <w:rFonts w:ascii="仿宋_GB2312" w:hAnsi="仿宋_GB2312" w:eastAsia="仿宋_GB2312"/>
          <w:sz w:val="32"/>
        </w:rPr>
        <w:t>（十一）主要负责国土资源、规划建设、园林绿化、环境保护、交通等方面的服务工作；协助乡(镇)政府制定国土资源、规划建设、园林绿化、环境保护、交通工作的规划和年度计划并组织实施</w:t>
      </w:r>
      <w:r>
        <w:rPr>
          <w:rFonts w:hint="eastAsia" w:ascii="仿宋_GB2312" w:hAnsi="仿宋_GB2312" w:eastAsia="仿宋_GB2312"/>
          <w:sz w:val="32"/>
          <w:lang w:eastAsia="zh-CN"/>
        </w:rPr>
        <w:t>；</w:t>
      </w:r>
      <w:r>
        <w:rPr>
          <w:rFonts w:ascii="仿宋_GB2312" w:hAnsi="仿宋_GB2312" w:eastAsia="仿宋_GB2312"/>
          <w:sz w:val="32"/>
        </w:rPr>
        <w:t>协助乡(镇)政府贯彻落实统筹城乡发展、加快推进城乡一体化工作总体部署和目标任务。</w:t>
      </w:r>
    </w:p>
    <w:p w14:paraId="381A87FF">
      <w:pPr>
        <w:spacing w:line="580" w:lineRule="exact"/>
        <w:ind w:firstLine="640"/>
        <w:jc w:val="both"/>
      </w:pPr>
      <w:r>
        <w:rPr>
          <w:rFonts w:ascii="仿宋_GB2312" w:hAnsi="仿宋_GB2312" w:eastAsia="仿宋_GB2312"/>
          <w:sz w:val="32"/>
        </w:rPr>
        <w:t>（十二）负责社会治安综合治理、法治建设、平安创建、网格化管理、安全生产、应急管理、人民武装等方面的服务工作</w:t>
      </w:r>
      <w:r>
        <w:rPr>
          <w:rFonts w:hint="eastAsia" w:ascii="仿宋_GB2312" w:hAnsi="仿宋_GB2312" w:eastAsia="仿宋_GB2312"/>
          <w:sz w:val="32"/>
          <w:lang w:eastAsia="zh-CN"/>
        </w:rPr>
        <w:t>；</w:t>
      </w:r>
      <w:r>
        <w:rPr>
          <w:rFonts w:ascii="仿宋_GB2312" w:hAnsi="仿宋_GB2312" w:eastAsia="仿宋_GB2312"/>
          <w:sz w:val="32"/>
        </w:rPr>
        <w:t>负责“两结对两固定”、群众信访、矛盾纠纷调解、安置帮教、社区矫正、普法、预防未成年人违法犯罪、特殊群体的帮教帮扶等工作,并不断拓展教育服务群众的形式和载体</w:t>
      </w:r>
      <w:r>
        <w:rPr>
          <w:rFonts w:hint="eastAsia" w:ascii="仿宋_GB2312" w:hAnsi="仿宋_GB2312" w:eastAsia="仿宋_GB2312"/>
          <w:sz w:val="32"/>
          <w:lang w:eastAsia="zh-CN"/>
        </w:rPr>
        <w:t>；</w:t>
      </w:r>
      <w:r>
        <w:rPr>
          <w:rFonts w:ascii="仿宋_GB2312" w:hAnsi="仿宋_GB2312" w:eastAsia="仿宋_GB2312"/>
          <w:sz w:val="32"/>
        </w:rPr>
        <w:t>定期预测研判辖区社会风险并形成台账,围绕群众工作分析形势、解决问题、部署工作</w:t>
      </w:r>
      <w:r>
        <w:rPr>
          <w:rFonts w:hint="eastAsia" w:ascii="仿宋_GB2312" w:hAnsi="仿宋_GB2312" w:eastAsia="仿宋_GB2312"/>
          <w:sz w:val="32"/>
          <w:lang w:eastAsia="zh-CN"/>
        </w:rPr>
        <w:t>；</w:t>
      </w:r>
      <w:r>
        <w:rPr>
          <w:rFonts w:ascii="仿宋_GB2312" w:hAnsi="仿宋_GB2312" w:eastAsia="仿宋_GB2312"/>
          <w:sz w:val="32"/>
        </w:rPr>
        <w:t>负责流动人口管理工作,管理指导基层网格员队伍等</w:t>
      </w:r>
      <w:r>
        <w:rPr>
          <w:rFonts w:hint="eastAsia" w:ascii="仿宋_GB2312" w:hAnsi="仿宋_GB2312" w:eastAsia="仿宋_GB2312"/>
          <w:sz w:val="32"/>
          <w:lang w:eastAsia="zh-CN"/>
        </w:rPr>
        <w:t>；</w:t>
      </w:r>
      <w:r>
        <w:rPr>
          <w:rFonts w:ascii="仿宋_GB2312" w:hAnsi="仿宋_GB2312" w:eastAsia="仿宋_GB2312"/>
          <w:sz w:val="32"/>
        </w:rPr>
        <w:t>协助乡(镇)政府制定社会治安综合治理、法治建设、平安创建、网格化管理、安全生产等工作的规划和年度计划并组织实施。</w:t>
      </w:r>
    </w:p>
    <w:p w14:paraId="722EA8EA">
      <w:pPr>
        <w:spacing w:line="640" w:lineRule="exact"/>
        <w:ind w:firstLine="640"/>
        <w:jc w:val="both"/>
        <w:outlineLvl w:val="2"/>
      </w:pPr>
      <w:r>
        <w:rPr>
          <w:rFonts w:ascii="黑体" w:hAnsi="黑体" w:eastAsia="黑体"/>
          <w:sz w:val="32"/>
        </w:rPr>
        <w:t>二、机构设置及人员情况</w:t>
      </w:r>
    </w:p>
    <w:p w14:paraId="2123B38D">
      <w:pPr>
        <w:spacing w:line="580" w:lineRule="exact"/>
        <w:ind w:firstLine="640"/>
        <w:jc w:val="both"/>
      </w:pPr>
      <w:r>
        <w:rPr>
          <w:rFonts w:ascii="仿宋_GB2312" w:hAnsi="仿宋_GB2312" w:eastAsia="仿宋_GB2312"/>
          <w:sz w:val="32"/>
        </w:rPr>
        <w:t>轮台县阳霞镇人民政府2024年度，实有人数117人，其中：在职人员105人，增加0人；离休人员0人，增加0人；退休人员12人,增加2人。</w:t>
      </w:r>
    </w:p>
    <w:p w14:paraId="19D8A797">
      <w:pPr>
        <w:spacing w:line="580" w:lineRule="exact"/>
        <w:ind w:firstLine="640"/>
        <w:jc w:val="both"/>
      </w:pPr>
      <w:r>
        <w:rPr>
          <w:rFonts w:ascii="仿宋_GB2312" w:hAnsi="仿宋_GB2312" w:eastAsia="仿宋_GB2312"/>
          <w:sz w:val="32"/>
        </w:rPr>
        <w:t>轮台县阳霞镇人民政府无下属预算单位，下设8个科室，分别是：政府办公室、农业发展中心、财经核算中心、文化体育广播体育站、计生站、村镇规划建设发展中心、网格化和群众服务中心、社会保障服务中心。</w:t>
      </w:r>
    </w:p>
    <w:p w14:paraId="6BA62793">
      <w:r>
        <w:br w:type="page"/>
      </w:r>
    </w:p>
    <w:p w14:paraId="1E2BBEE6">
      <w:pPr>
        <w:spacing w:line="240" w:lineRule="auto"/>
        <w:jc w:val="center"/>
        <w:outlineLvl w:val="1"/>
      </w:pPr>
      <w:r>
        <w:rPr>
          <w:rFonts w:ascii="黑体" w:hAnsi="黑体" w:eastAsia="黑体"/>
          <w:sz w:val="32"/>
        </w:rPr>
        <w:t>第二部分 部门决算情况说明</w:t>
      </w:r>
    </w:p>
    <w:p w14:paraId="4665534A">
      <w:pPr>
        <w:spacing w:line="640" w:lineRule="exact"/>
        <w:ind w:firstLine="640"/>
        <w:jc w:val="both"/>
        <w:outlineLvl w:val="2"/>
      </w:pPr>
      <w:r>
        <w:rPr>
          <w:rFonts w:ascii="黑体" w:hAnsi="黑体" w:eastAsia="黑体"/>
          <w:sz w:val="32"/>
        </w:rPr>
        <w:t>一、收入支出决算总体情况说明</w:t>
      </w:r>
    </w:p>
    <w:p w14:paraId="1EAD0F1E">
      <w:pPr>
        <w:spacing w:line="580" w:lineRule="exact"/>
        <w:ind w:firstLine="640"/>
        <w:jc w:val="both"/>
      </w:pPr>
      <w:r>
        <w:rPr>
          <w:rFonts w:ascii="仿宋_GB2312" w:hAnsi="仿宋_GB2312" w:eastAsia="仿宋_GB2312"/>
          <w:b/>
          <w:sz w:val="32"/>
        </w:rPr>
        <w:t>2024年度收入总计3,702.48万元，</w:t>
      </w:r>
      <w:r>
        <w:rPr>
          <w:rFonts w:ascii="仿宋_GB2312" w:hAnsi="仿宋_GB2312" w:eastAsia="仿宋_GB2312"/>
          <w:b w:val="0"/>
          <w:sz w:val="32"/>
        </w:rPr>
        <w:t>其中：本年收入合计3,648.14万元，使用非财政拨款结余（含专用结余）0.00万元，年初结转和结余54.34万元。</w:t>
      </w:r>
    </w:p>
    <w:p w14:paraId="5931BC19">
      <w:pPr>
        <w:spacing w:line="580" w:lineRule="exact"/>
        <w:ind w:firstLine="640"/>
        <w:jc w:val="both"/>
      </w:pPr>
      <w:r>
        <w:rPr>
          <w:rFonts w:ascii="仿宋_GB2312" w:hAnsi="仿宋_GB2312" w:eastAsia="仿宋_GB2312"/>
          <w:b/>
          <w:sz w:val="32"/>
        </w:rPr>
        <w:t>2024年度支出总计3,702.48万元，</w:t>
      </w:r>
      <w:r>
        <w:rPr>
          <w:rFonts w:ascii="仿宋_GB2312" w:hAnsi="仿宋_GB2312" w:eastAsia="仿宋_GB2312"/>
          <w:b w:val="0"/>
          <w:sz w:val="32"/>
        </w:rPr>
        <w:t>其中：本年支出合计3,633.85万元，结余分配0.00万元，年末结转和结余68.63万元。</w:t>
      </w:r>
    </w:p>
    <w:p w14:paraId="3027CB9D">
      <w:pPr>
        <w:spacing w:line="580" w:lineRule="exact"/>
        <w:ind w:firstLine="640"/>
        <w:jc w:val="both"/>
      </w:pPr>
      <w:r>
        <w:rPr>
          <w:rFonts w:ascii="仿宋_GB2312" w:hAnsi="仿宋_GB2312" w:eastAsia="仿宋_GB2312"/>
          <w:b w:val="0"/>
          <w:sz w:val="32"/>
        </w:rPr>
        <w:t>收入支出总体与上年相比，减少178.42万元，下降4.60%，主要原因是：本年度减少三老人员补贴、民兵补贴费、乡镇干部周转宿舍项目工程款、国有土地使用权出让农业发展支出等项目。</w:t>
      </w:r>
    </w:p>
    <w:p w14:paraId="79D602EC">
      <w:pPr>
        <w:spacing w:line="640" w:lineRule="exact"/>
        <w:ind w:firstLine="640"/>
        <w:jc w:val="both"/>
        <w:outlineLvl w:val="2"/>
      </w:pPr>
      <w:r>
        <w:rPr>
          <w:rFonts w:ascii="黑体" w:hAnsi="黑体" w:eastAsia="黑体"/>
          <w:sz w:val="32"/>
        </w:rPr>
        <w:t>二、收入决算情况说明</w:t>
      </w:r>
    </w:p>
    <w:p w14:paraId="629B1DA7">
      <w:pPr>
        <w:spacing w:line="580" w:lineRule="exact"/>
        <w:ind w:firstLine="640"/>
        <w:jc w:val="both"/>
      </w:pPr>
      <w:r>
        <w:rPr>
          <w:rFonts w:ascii="仿宋_GB2312" w:hAnsi="仿宋_GB2312" w:eastAsia="仿宋_GB2312"/>
          <w:b/>
          <w:sz w:val="32"/>
        </w:rPr>
        <w:t>本年收入3,648.14万元，</w:t>
      </w:r>
      <w:r>
        <w:rPr>
          <w:rFonts w:ascii="仿宋_GB2312" w:hAnsi="仿宋_GB2312" w:eastAsia="仿宋_GB2312"/>
          <w:b w:val="0"/>
          <w:sz w:val="32"/>
        </w:rPr>
        <w:t>其中：财政拨款收入3,619.64万元，占99.22%；上级补助收入0.00万元，占0.00%；事业收入0.00万元，占0.00%；经营收入0.00万元，占0.00%；附属单位上缴收入0.00万元，占0.00%；其他收入28.50万元，占0.78%。</w:t>
      </w:r>
    </w:p>
    <w:p w14:paraId="3DA2ED87">
      <w:pPr>
        <w:spacing w:line="640" w:lineRule="exact"/>
        <w:ind w:firstLine="640"/>
        <w:jc w:val="both"/>
        <w:outlineLvl w:val="2"/>
      </w:pPr>
      <w:r>
        <w:rPr>
          <w:rFonts w:ascii="黑体" w:hAnsi="黑体" w:eastAsia="黑体"/>
          <w:sz w:val="32"/>
        </w:rPr>
        <w:t>三、支出决算情况说明</w:t>
      </w:r>
    </w:p>
    <w:p w14:paraId="396A0BF2">
      <w:pPr>
        <w:spacing w:line="580" w:lineRule="exact"/>
        <w:ind w:firstLine="640"/>
        <w:jc w:val="both"/>
      </w:pPr>
      <w:r>
        <w:rPr>
          <w:rFonts w:ascii="仿宋_GB2312" w:hAnsi="仿宋_GB2312" w:eastAsia="仿宋_GB2312"/>
          <w:b/>
          <w:sz w:val="32"/>
        </w:rPr>
        <w:t>本年支出3,633.85万元，</w:t>
      </w:r>
      <w:r>
        <w:rPr>
          <w:rFonts w:ascii="仿宋_GB2312" w:hAnsi="仿宋_GB2312" w:eastAsia="仿宋_GB2312"/>
          <w:b w:val="0"/>
          <w:sz w:val="32"/>
        </w:rPr>
        <w:t>其中：基本支出2,275.40万元，占62.62%；项目支出1,358.46万元，占37.38%；上缴上级支出0.00万元，占0.00%；经营支出0.00万元，占0.00%；对附属单位补助支出0.00万元，占0.00%。</w:t>
      </w:r>
    </w:p>
    <w:p w14:paraId="7200BF13">
      <w:pPr>
        <w:spacing w:line="640" w:lineRule="exact"/>
        <w:ind w:firstLine="640"/>
        <w:jc w:val="both"/>
        <w:outlineLvl w:val="2"/>
      </w:pPr>
      <w:r>
        <w:rPr>
          <w:rFonts w:ascii="黑体" w:hAnsi="黑体" w:eastAsia="黑体"/>
          <w:sz w:val="32"/>
        </w:rPr>
        <w:t>四、财政拨款收入支出决算总体情况说明</w:t>
      </w:r>
    </w:p>
    <w:p w14:paraId="2A3228A1">
      <w:pPr>
        <w:spacing w:line="580" w:lineRule="exact"/>
        <w:ind w:firstLine="640"/>
        <w:jc w:val="both"/>
      </w:pPr>
      <w:r>
        <w:rPr>
          <w:rFonts w:ascii="仿宋_GB2312" w:hAnsi="仿宋_GB2312" w:eastAsia="仿宋_GB2312"/>
          <w:b/>
          <w:sz w:val="32"/>
        </w:rPr>
        <w:t>2024年度财政拨款收入总计3,619.64万元，</w:t>
      </w:r>
      <w:r>
        <w:rPr>
          <w:rFonts w:ascii="仿宋_GB2312" w:hAnsi="仿宋_GB2312" w:eastAsia="仿宋_GB2312"/>
          <w:b w:val="0"/>
          <w:sz w:val="32"/>
        </w:rPr>
        <w:t>其中：年初财政拨款结转和结余0.00万元，本年财政拨款收入3,619.64万元。</w:t>
      </w:r>
      <w:r>
        <w:rPr>
          <w:rFonts w:ascii="仿宋_GB2312" w:hAnsi="仿宋_GB2312" w:eastAsia="仿宋_GB2312"/>
          <w:b/>
          <w:sz w:val="32"/>
        </w:rPr>
        <w:t>财政拨款支出总计3,619.64万元，</w:t>
      </w:r>
      <w:r>
        <w:rPr>
          <w:rFonts w:ascii="仿宋_GB2312" w:hAnsi="仿宋_GB2312" w:eastAsia="仿宋_GB2312"/>
          <w:b w:val="0"/>
          <w:sz w:val="32"/>
        </w:rPr>
        <w:t>其中：年末财政拨款结转和结余0.00万元，本年财政拨款支出3,619.64万元。</w:t>
      </w:r>
    </w:p>
    <w:p w14:paraId="44114A2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减少70.81万元，下降1.92%，主要原因是：本年度减少三老人员补贴、民兵补贴费、乡镇干部周转宿舍项目工程款、国有土地使用权出让农业发展支出等项目。</w:t>
      </w:r>
      <w:r>
        <w:rPr>
          <w:rFonts w:ascii="仿宋_GB2312" w:hAnsi="仿宋_GB2312" w:eastAsia="仿宋_GB2312"/>
          <w:b/>
          <w:sz w:val="32"/>
        </w:rPr>
        <w:t>与年初预算相比，</w:t>
      </w:r>
      <w:r>
        <w:rPr>
          <w:rFonts w:ascii="仿宋_GB2312" w:hAnsi="仿宋_GB2312" w:eastAsia="仿宋_GB2312"/>
          <w:b w:val="0"/>
          <w:sz w:val="32"/>
        </w:rPr>
        <w:t>年初预算数3,014.83万元，决算数3,619.64万元，预决算差异率20.06%，主要原因是：年中追加就业创业基地项目基础设施配套费和村民服务中心基础设施配套、污水处理厂电费，人员工资和环境验收监测费、农家乐工程款、挖掘机采购款、就业创业基地建设项目款等项目经费预算，导致预决算存在差异。</w:t>
      </w:r>
    </w:p>
    <w:p w14:paraId="49FD2275">
      <w:pPr>
        <w:spacing w:line="640" w:lineRule="exact"/>
        <w:ind w:firstLine="640"/>
        <w:jc w:val="both"/>
        <w:outlineLvl w:val="2"/>
      </w:pPr>
      <w:r>
        <w:rPr>
          <w:rFonts w:ascii="黑体" w:hAnsi="黑体" w:eastAsia="黑体"/>
          <w:sz w:val="32"/>
        </w:rPr>
        <w:t>五、一般公共预算财政拨款支出决算情况说明</w:t>
      </w:r>
    </w:p>
    <w:p w14:paraId="576D6D80">
      <w:pPr>
        <w:spacing w:line="640" w:lineRule="exact"/>
        <w:ind w:firstLine="640"/>
        <w:jc w:val="both"/>
        <w:outlineLvl w:val="3"/>
      </w:pPr>
      <w:r>
        <w:rPr>
          <w:rFonts w:ascii="楷体_GB2312" w:hAnsi="楷体_GB2312" w:eastAsia="楷体_GB2312"/>
          <w:b/>
          <w:sz w:val="32"/>
        </w:rPr>
        <w:t>（一）一般公共预算财政拨款支出决算总体情况</w:t>
      </w:r>
    </w:p>
    <w:p w14:paraId="45601186">
      <w:pPr>
        <w:spacing w:line="580" w:lineRule="exact"/>
        <w:ind w:firstLine="640"/>
        <w:jc w:val="both"/>
      </w:pPr>
      <w:r>
        <w:rPr>
          <w:rFonts w:ascii="仿宋_GB2312" w:hAnsi="仿宋_GB2312" w:eastAsia="仿宋_GB2312"/>
          <w:b/>
          <w:sz w:val="32"/>
        </w:rPr>
        <w:t>2024年度一般公共预算财政拨款支出3,524.30万元，</w:t>
      </w:r>
      <w:r>
        <w:rPr>
          <w:rFonts w:ascii="仿宋_GB2312" w:hAnsi="仿宋_GB2312" w:eastAsia="仿宋_GB2312"/>
          <w:b w:val="0"/>
          <w:sz w:val="32"/>
        </w:rPr>
        <w:t>占本年支出合计的96.99%。</w:t>
      </w:r>
      <w:r>
        <w:rPr>
          <w:rFonts w:ascii="仿宋_GB2312" w:hAnsi="仿宋_GB2312" w:eastAsia="仿宋_GB2312"/>
          <w:b/>
          <w:sz w:val="32"/>
        </w:rPr>
        <w:t>与上年相比，</w:t>
      </w:r>
      <w:r>
        <w:rPr>
          <w:rFonts w:ascii="仿宋_GB2312" w:hAnsi="仿宋_GB2312" w:eastAsia="仿宋_GB2312"/>
          <w:b w:val="0"/>
          <w:sz w:val="32"/>
        </w:rPr>
        <w:t>减少3.10万元，下降0.09%，主要原因是：本年度减少三老人员补贴、民兵补贴费、乡镇干部周转宿舍项目工程款等项目。</w:t>
      </w:r>
      <w:r>
        <w:rPr>
          <w:rFonts w:ascii="仿宋_GB2312" w:hAnsi="仿宋_GB2312" w:eastAsia="仿宋_GB2312"/>
          <w:b/>
          <w:sz w:val="32"/>
        </w:rPr>
        <w:t>与年初预算相比,</w:t>
      </w:r>
      <w:r>
        <w:rPr>
          <w:rFonts w:ascii="仿宋_GB2312" w:hAnsi="仿宋_GB2312" w:eastAsia="仿宋_GB2312"/>
          <w:b w:val="0"/>
          <w:sz w:val="32"/>
        </w:rPr>
        <w:t>年初预算数3,014.83万元，决算数3,524.30万元，预决算差异率16.90%，主要原因是：年中追加污水处理厂电费，人员工资和环境验收监测费、农家乐工程款、挖掘机采购款、就业创业基地建设项目款等项目经费预算，导致预决算存在差异。</w:t>
      </w:r>
    </w:p>
    <w:p w14:paraId="56877202">
      <w:pPr>
        <w:spacing w:line="640" w:lineRule="exact"/>
        <w:ind w:firstLine="640"/>
        <w:jc w:val="both"/>
        <w:outlineLvl w:val="3"/>
      </w:pPr>
      <w:r>
        <w:rPr>
          <w:rFonts w:ascii="楷体_GB2312" w:hAnsi="楷体_GB2312" w:eastAsia="楷体_GB2312"/>
          <w:b/>
          <w:sz w:val="32"/>
        </w:rPr>
        <w:t>（二）一般公共预算财政拨款支出决算结构情况</w:t>
      </w:r>
    </w:p>
    <w:p w14:paraId="4B33E49D">
      <w:pPr>
        <w:spacing w:line="580" w:lineRule="exact"/>
        <w:ind w:firstLine="640"/>
        <w:jc w:val="both"/>
      </w:pPr>
      <w:r>
        <w:rPr>
          <w:rFonts w:ascii="仿宋_GB2312" w:hAnsi="仿宋_GB2312" w:eastAsia="仿宋_GB2312"/>
          <w:b w:val="0"/>
          <w:sz w:val="32"/>
        </w:rPr>
        <w:t>1.一般公共服务支出(类)1,553.25万元,占44.07%。</w:t>
      </w:r>
    </w:p>
    <w:p w14:paraId="40ABFAA1">
      <w:pPr>
        <w:spacing w:line="580" w:lineRule="exact"/>
        <w:ind w:firstLine="640"/>
        <w:jc w:val="both"/>
      </w:pPr>
      <w:r>
        <w:rPr>
          <w:rFonts w:ascii="仿宋_GB2312" w:hAnsi="仿宋_GB2312" w:eastAsia="仿宋_GB2312"/>
          <w:b w:val="0"/>
          <w:sz w:val="32"/>
        </w:rPr>
        <w:t>2.公共安全支出(类)103.64万元,占2.94%。</w:t>
      </w:r>
    </w:p>
    <w:p w14:paraId="020E1EC0">
      <w:pPr>
        <w:spacing w:line="580" w:lineRule="exact"/>
        <w:ind w:firstLine="640"/>
        <w:jc w:val="both"/>
      </w:pPr>
      <w:r>
        <w:rPr>
          <w:rFonts w:ascii="仿宋_GB2312" w:hAnsi="仿宋_GB2312" w:eastAsia="仿宋_GB2312"/>
          <w:b w:val="0"/>
          <w:sz w:val="32"/>
        </w:rPr>
        <w:t>3.科学技术支出(类)8.50万元,占0.24%。</w:t>
      </w:r>
    </w:p>
    <w:p w14:paraId="745C26DB">
      <w:pPr>
        <w:spacing w:line="580" w:lineRule="exact"/>
        <w:ind w:firstLine="640"/>
        <w:jc w:val="both"/>
      </w:pPr>
      <w:r>
        <w:rPr>
          <w:rFonts w:ascii="仿宋_GB2312" w:hAnsi="仿宋_GB2312" w:eastAsia="仿宋_GB2312"/>
          <w:b w:val="0"/>
          <w:sz w:val="32"/>
        </w:rPr>
        <w:t>4.文化旅游体育与传媒支出(类)11.33万元,占0.32%。</w:t>
      </w:r>
    </w:p>
    <w:p w14:paraId="14851C02">
      <w:pPr>
        <w:spacing w:line="580" w:lineRule="exact"/>
        <w:ind w:firstLine="640"/>
        <w:jc w:val="both"/>
      </w:pPr>
      <w:r>
        <w:rPr>
          <w:rFonts w:ascii="仿宋_GB2312" w:hAnsi="仿宋_GB2312" w:eastAsia="仿宋_GB2312"/>
          <w:b w:val="0"/>
          <w:sz w:val="32"/>
        </w:rPr>
        <w:t>5.社会保障和就业支出(类)238.83万元,占6.78%。</w:t>
      </w:r>
    </w:p>
    <w:p w14:paraId="087B0B2F">
      <w:pPr>
        <w:spacing w:line="580" w:lineRule="exact"/>
        <w:ind w:firstLine="640"/>
        <w:jc w:val="both"/>
      </w:pPr>
      <w:r>
        <w:rPr>
          <w:rFonts w:ascii="仿宋_GB2312" w:hAnsi="仿宋_GB2312" w:eastAsia="仿宋_GB2312"/>
          <w:b w:val="0"/>
          <w:sz w:val="32"/>
        </w:rPr>
        <w:t>6.卫生健康支出(类)84.53万元,占2.40%。</w:t>
      </w:r>
    </w:p>
    <w:p w14:paraId="45E20B4E">
      <w:pPr>
        <w:spacing w:line="580" w:lineRule="exact"/>
        <w:ind w:firstLine="640"/>
        <w:jc w:val="both"/>
      </w:pPr>
      <w:r>
        <w:rPr>
          <w:rFonts w:ascii="仿宋_GB2312" w:hAnsi="仿宋_GB2312" w:eastAsia="仿宋_GB2312"/>
          <w:b w:val="0"/>
          <w:sz w:val="32"/>
        </w:rPr>
        <w:t>7.节能环保支出(类)104.81万元,占2.97%。</w:t>
      </w:r>
    </w:p>
    <w:p w14:paraId="660288D5">
      <w:pPr>
        <w:spacing w:line="580" w:lineRule="exact"/>
        <w:ind w:firstLine="640"/>
        <w:jc w:val="both"/>
      </w:pPr>
      <w:r>
        <w:rPr>
          <w:rFonts w:ascii="仿宋_GB2312" w:hAnsi="仿宋_GB2312" w:eastAsia="仿宋_GB2312"/>
          <w:b w:val="0"/>
          <w:sz w:val="32"/>
        </w:rPr>
        <w:t>8.农林水支出(类)768.98万元,占21.82%。</w:t>
      </w:r>
    </w:p>
    <w:p w14:paraId="635EE985">
      <w:pPr>
        <w:spacing w:line="580" w:lineRule="exact"/>
        <w:ind w:firstLine="640"/>
        <w:jc w:val="both"/>
      </w:pPr>
      <w:r>
        <w:rPr>
          <w:rFonts w:ascii="仿宋_GB2312" w:hAnsi="仿宋_GB2312" w:eastAsia="仿宋_GB2312"/>
          <w:b w:val="0"/>
          <w:sz w:val="32"/>
        </w:rPr>
        <w:t>9.住房保障支出(类)127.46万元,占3.62%。</w:t>
      </w:r>
    </w:p>
    <w:p w14:paraId="0F76FFED">
      <w:pPr>
        <w:spacing w:line="580" w:lineRule="exact"/>
        <w:ind w:firstLine="640"/>
        <w:jc w:val="both"/>
      </w:pPr>
      <w:r>
        <w:rPr>
          <w:rFonts w:ascii="仿宋_GB2312" w:hAnsi="仿宋_GB2312" w:eastAsia="仿宋_GB2312"/>
          <w:b w:val="0"/>
          <w:sz w:val="32"/>
        </w:rPr>
        <w:t>10.其他支出(类)522.97万元,占14.84%。</w:t>
      </w:r>
    </w:p>
    <w:p w14:paraId="3807B012">
      <w:pPr>
        <w:spacing w:line="640" w:lineRule="exact"/>
        <w:ind w:firstLine="640"/>
        <w:jc w:val="both"/>
        <w:outlineLvl w:val="3"/>
      </w:pPr>
      <w:r>
        <w:rPr>
          <w:rFonts w:ascii="楷体_GB2312" w:hAnsi="楷体_GB2312" w:eastAsia="楷体_GB2312"/>
          <w:b/>
          <w:sz w:val="32"/>
        </w:rPr>
        <w:t>（三）一般公共预算财政拨款支出决算具体情况</w:t>
      </w:r>
    </w:p>
    <w:p w14:paraId="04697E48">
      <w:pPr>
        <w:spacing w:line="580" w:lineRule="exact"/>
        <w:ind w:firstLine="640"/>
        <w:jc w:val="both"/>
      </w:pPr>
      <w:r>
        <w:rPr>
          <w:rFonts w:ascii="仿宋_GB2312" w:hAnsi="仿宋_GB2312" w:eastAsia="仿宋_GB2312"/>
          <w:b w:val="0"/>
          <w:sz w:val="32"/>
        </w:rPr>
        <w:t>1.一般公共服务支出(类)人大事务(款)人大代表履职能力提升(项):支出决算数为0.50万元，比上年决算减少4.80万元，下降90.57%,主要原因是：本年度减少人大代表活动经费支出，减少车辆</w:t>
      </w:r>
      <w:r>
        <w:rPr>
          <w:rFonts w:hint="eastAsia" w:ascii="仿宋_GB2312" w:hAnsi="仿宋_GB2312" w:eastAsia="仿宋_GB2312"/>
          <w:b w:val="0"/>
          <w:sz w:val="32"/>
          <w:lang w:eastAsia="zh-CN"/>
        </w:rPr>
        <w:t>租赁费</w:t>
      </w:r>
      <w:r>
        <w:rPr>
          <w:rFonts w:ascii="仿宋_GB2312" w:hAnsi="仿宋_GB2312" w:eastAsia="仿宋_GB2312"/>
          <w:b w:val="0"/>
          <w:sz w:val="32"/>
        </w:rPr>
        <w:t>、宣传板制作费。</w:t>
      </w:r>
    </w:p>
    <w:p w14:paraId="62FD109C">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2.一般公共服务支出(类)人大事务(款)其他人大事务支出(项):支出决算数为0.00万元，比上年决算减少2.00万元，下降100.00%,主要原因是：本年度减少阳霞镇人大代表工作室经费支出。</w:t>
      </w:r>
    </w:p>
    <w:p w14:paraId="4AD58B0B">
      <w:pPr>
        <w:spacing w:line="580" w:lineRule="exact"/>
        <w:ind w:firstLine="640"/>
        <w:jc w:val="both"/>
      </w:pPr>
      <w:r>
        <w:rPr>
          <w:rFonts w:ascii="仿宋_GB2312" w:hAnsi="仿宋_GB2312" w:eastAsia="仿宋_GB2312"/>
          <w:b w:val="0"/>
          <w:sz w:val="32"/>
        </w:rPr>
        <w:t>3.一般公共服务支出(类)政协事务(款)其他政协事务支出(项):支出决算数为0.05万元，比上年决算增加0.05万元，增长100.00%,主要原因是：本年度差旅费增加。</w:t>
      </w:r>
    </w:p>
    <w:p w14:paraId="7BFF271B">
      <w:pPr>
        <w:spacing w:line="580" w:lineRule="exact"/>
        <w:ind w:firstLine="640"/>
        <w:jc w:val="both"/>
      </w:pPr>
      <w:r>
        <w:rPr>
          <w:rFonts w:ascii="仿宋_GB2312" w:hAnsi="仿宋_GB2312" w:eastAsia="仿宋_GB2312"/>
          <w:b w:val="0"/>
          <w:sz w:val="32"/>
        </w:rPr>
        <w:t>4.一般公共服务支出(类)政府办公厅（室）及相关机构事务(款)行政运行(项):支出决算数为882.91万元，比上年决算减少30.25万元，下降3.31%,主要原因是：本年行政在职人员调出，导致人员经费较上年减少。</w:t>
      </w:r>
    </w:p>
    <w:p w14:paraId="0BB80A60">
      <w:pPr>
        <w:spacing w:line="580" w:lineRule="exact"/>
        <w:ind w:firstLine="640"/>
        <w:jc w:val="both"/>
      </w:pPr>
      <w:r>
        <w:rPr>
          <w:rFonts w:ascii="仿宋_GB2312" w:hAnsi="仿宋_GB2312" w:eastAsia="仿宋_GB2312"/>
          <w:b w:val="0"/>
          <w:sz w:val="32"/>
        </w:rPr>
        <w:t>5.一般公共服务支出(类)政府办公厅（室）及相关机构事务(款)事业运行(项):支出决算数为461.30万元，比上年决算增加19.23万元，增长4.35%,主要原因是：本年在职人员工资调增，导致相关人员经费较上年有所增加。</w:t>
      </w:r>
    </w:p>
    <w:p w14:paraId="7CD4DED6">
      <w:pPr>
        <w:spacing w:line="580" w:lineRule="exact"/>
        <w:ind w:firstLine="640"/>
        <w:jc w:val="both"/>
      </w:pPr>
      <w:r>
        <w:rPr>
          <w:rFonts w:ascii="仿宋_GB2312" w:hAnsi="仿宋_GB2312" w:eastAsia="仿宋_GB2312"/>
          <w:b w:val="0"/>
          <w:sz w:val="32"/>
        </w:rPr>
        <w:t>6.一般公共服务支出(类)政府办公厅（室）及相关机构事务(款)其他政府办公厅（室）及相关机构事务支出(项):支出决算数为96.62万元，比上年决算增加84.62万元，增长705.17%,主要原因是：本年度增加民兵生活补贴。</w:t>
      </w:r>
    </w:p>
    <w:p w14:paraId="750AD5C5">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7.一般公共服务支出(类)纪检监察事务(款)其他纪检监察事务支出(项):支出决算数为15.56万元，比上年决算增加0.26万元，增长1.70%,主要原因是：本年度增加油墨采购费。</w:t>
      </w:r>
    </w:p>
    <w:p w14:paraId="2E218AE8">
      <w:pPr>
        <w:spacing w:line="580" w:lineRule="exact"/>
        <w:ind w:firstLine="640"/>
        <w:jc w:val="both"/>
      </w:pPr>
      <w:r>
        <w:rPr>
          <w:rFonts w:ascii="仿宋_GB2312" w:hAnsi="仿宋_GB2312" w:eastAsia="仿宋_GB2312"/>
          <w:b w:val="0"/>
          <w:sz w:val="32"/>
        </w:rPr>
        <w:t>8.一般公共服务支出(类)组织事务(款)其他组织事务支出(项):支出决算数为91.32万元，比上年决算减少160.35万元，下降63.71%,主要原因是：本年度减少三老人员补贴。</w:t>
      </w:r>
    </w:p>
    <w:p w14:paraId="36FD6B1F">
      <w:pPr>
        <w:spacing w:line="580" w:lineRule="exact"/>
        <w:ind w:firstLine="640"/>
        <w:jc w:val="both"/>
      </w:pPr>
      <w:r>
        <w:rPr>
          <w:rFonts w:ascii="仿宋_GB2312" w:hAnsi="仿宋_GB2312" w:eastAsia="仿宋_GB2312"/>
          <w:b w:val="0"/>
          <w:sz w:val="32"/>
        </w:rPr>
        <w:t>9.一般公共服务支出(类)统战事务(款)宗教事务(项):支出决算数为0.00万元，比上年决算减少1.00万元，下降100.00%,主要原因是：本年度减少寺管会补贴。</w:t>
      </w:r>
    </w:p>
    <w:p w14:paraId="4B8531CE">
      <w:pPr>
        <w:spacing w:line="580" w:lineRule="exact"/>
        <w:ind w:firstLine="640"/>
        <w:jc w:val="both"/>
      </w:pPr>
      <w:r>
        <w:rPr>
          <w:rFonts w:ascii="仿宋_GB2312" w:hAnsi="仿宋_GB2312" w:eastAsia="仿宋_GB2312"/>
          <w:b w:val="0"/>
          <w:sz w:val="32"/>
        </w:rPr>
        <w:t>10.一般公共服务支出(类)统战事务(款)其他统战事务支出(项):支出决算数为5.00万元，比上年决算增加2.84万元，增长131.48%,主要原因是：本年度增加民族团结示范点打造费和活动礼品采购费。</w:t>
      </w:r>
    </w:p>
    <w:p w14:paraId="75DDC47E">
      <w:pPr>
        <w:spacing w:line="580" w:lineRule="exact"/>
        <w:ind w:firstLine="640"/>
        <w:jc w:val="both"/>
      </w:pPr>
      <w:r>
        <w:rPr>
          <w:rFonts w:ascii="仿宋_GB2312" w:hAnsi="仿宋_GB2312" w:eastAsia="仿宋_GB2312"/>
          <w:b w:val="0"/>
          <w:sz w:val="32"/>
        </w:rPr>
        <w:t>11.国防支出(类)国防动员(款)民兵(项):支出决算数为0.00万元，比上年决算减少79.05万元，下降100.00%,主要原因是：本年度减少民兵补贴费。</w:t>
      </w:r>
    </w:p>
    <w:p w14:paraId="16355D6F">
      <w:pPr>
        <w:spacing w:line="580" w:lineRule="exact"/>
        <w:ind w:firstLine="640"/>
        <w:jc w:val="both"/>
      </w:pPr>
      <w:r>
        <w:rPr>
          <w:rFonts w:ascii="仿宋_GB2312" w:hAnsi="仿宋_GB2312" w:eastAsia="仿宋_GB2312"/>
          <w:b w:val="0"/>
          <w:sz w:val="32"/>
        </w:rPr>
        <w:t>12.公共安全支出(类)公安(款)其他公安支出(项):支出决算数为0.00万元，比上年决算减少10.00万元，下降100.00%,主要原因是：本年度减少矛盾纠纷化解奖励费和情报信息奖励费。</w:t>
      </w:r>
    </w:p>
    <w:p w14:paraId="5DA4B300">
      <w:pPr>
        <w:spacing w:line="580" w:lineRule="exact"/>
        <w:ind w:firstLine="640"/>
        <w:jc w:val="both"/>
      </w:pPr>
      <w:r>
        <w:rPr>
          <w:rFonts w:ascii="仿宋_GB2312" w:hAnsi="仿宋_GB2312" w:eastAsia="仿宋_GB2312"/>
          <w:b w:val="0"/>
          <w:sz w:val="32"/>
        </w:rPr>
        <w:t>13.公共安全支出(类)其他公共安全支出(款)其他公共安全支出(项):支出决算数为103.64万元，比上年决算增加11.00万元，增长11.87%,主要原因是：本年度增加联户长生活补贴。</w:t>
      </w:r>
    </w:p>
    <w:p w14:paraId="507C9278">
      <w:pPr>
        <w:spacing w:line="580" w:lineRule="exact"/>
        <w:ind w:firstLine="640"/>
        <w:jc w:val="both"/>
      </w:pPr>
      <w:r>
        <w:rPr>
          <w:rFonts w:ascii="仿宋_GB2312" w:hAnsi="仿宋_GB2312" w:eastAsia="仿宋_GB2312"/>
          <w:b w:val="0"/>
          <w:sz w:val="32"/>
        </w:rPr>
        <w:t>14.科学技术支出(类)科学技术普及(款)科普活动(项):支出决算数为3.40万元，比上年决算减少12.10万元，下降78.06%,主要原因是：本年度减少情报信息奖励费和霞各村文化示范点制作费、阳霞镇纪委廉政文化长廊制作费。</w:t>
      </w:r>
    </w:p>
    <w:p w14:paraId="5C030615">
      <w:pPr>
        <w:spacing w:line="580" w:lineRule="exact"/>
        <w:ind w:firstLine="640"/>
        <w:jc w:val="both"/>
      </w:pPr>
      <w:r>
        <w:rPr>
          <w:rFonts w:ascii="仿宋_GB2312" w:hAnsi="仿宋_GB2312" w:eastAsia="仿宋_GB2312"/>
          <w:b w:val="0"/>
          <w:sz w:val="32"/>
        </w:rPr>
        <w:t>15.科学技术支出(类)科学技术普及(款)其他科学技术普及支出(项):支出决算数为5.10万元，比上年决算增加5.10万元，增长100.00%,主要原因是：本年度增加科普馆装修费。</w:t>
      </w:r>
    </w:p>
    <w:p w14:paraId="2C340AC1">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6.85万元，比上年决算增加6.85万元，增长100.00%,主要原因是：本年度增加图书采购费和文化站开展活动车辆租赁费、服装租赁费。</w:t>
      </w:r>
    </w:p>
    <w:p w14:paraId="4B758E49">
      <w:pPr>
        <w:spacing w:line="580" w:lineRule="exact"/>
        <w:ind w:firstLine="640"/>
        <w:jc w:val="both"/>
      </w:pPr>
      <w:r>
        <w:rPr>
          <w:rFonts w:ascii="仿宋_GB2312" w:hAnsi="仿宋_GB2312" w:eastAsia="仿宋_GB2312"/>
          <w:b w:val="0"/>
          <w:sz w:val="32"/>
        </w:rPr>
        <w:t>17.文化旅游体育与传媒支出(类)其他文化旅游体育与传媒支出(款)其他文化旅游体育与传媒支出(项):支出决算数为4.48万元，比上年决算减少5.30万元，下降54.19%,主要原因是：本年度减少志愿服务台制作费和活动奖品采购费。</w:t>
      </w:r>
    </w:p>
    <w:p w14:paraId="10E6380D">
      <w:pPr>
        <w:spacing w:line="580" w:lineRule="exact"/>
        <w:ind w:firstLine="640"/>
        <w:jc w:val="both"/>
      </w:pPr>
      <w:r>
        <w:rPr>
          <w:rFonts w:ascii="仿宋_GB2312" w:hAnsi="仿宋_GB2312" w:eastAsia="仿宋_GB2312"/>
          <w:b w:val="0"/>
          <w:sz w:val="32"/>
        </w:rPr>
        <w:t>18.社会保障和就业支出(类)行政事业单位养老支出(款)行政单位离退休(项):支出决算数为6.41万元，比上年决算减少21.43万元，下降76.98%,主要原因是：本年度减少退休干部抚恤金。</w:t>
      </w:r>
    </w:p>
    <w:p w14:paraId="6F27140C">
      <w:pPr>
        <w:spacing w:line="580" w:lineRule="exact"/>
        <w:ind w:firstLine="640"/>
        <w:jc w:val="both"/>
      </w:pPr>
      <w:r>
        <w:rPr>
          <w:rFonts w:ascii="仿宋_GB2312" w:hAnsi="仿宋_GB2312" w:eastAsia="仿宋_GB2312"/>
          <w:b w:val="0"/>
          <w:sz w:val="32"/>
        </w:rPr>
        <w:t>19.社会保障和就业支出(类)行政事业单位养老支出(款)事业单位离退休(项):支出决算数为0.61万元，比上年决算增加0.53万元，增长662.50%,主要原因是：本年退休人员增加，退休费支出增加。</w:t>
      </w:r>
    </w:p>
    <w:p w14:paraId="4872CB17">
      <w:pPr>
        <w:spacing w:line="580" w:lineRule="exact"/>
        <w:ind w:firstLine="640"/>
        <w:jc w:val="both"/>
      </w:pPr>
      <w:r>
        <w:rPr>
          <w:rFonts w:ascii="仿宋_GB2312" w:hAnsi="仿宋_GB2312" w:eastAsia="仿宋_GB2312"/>
          <w:b w:val="0"/>
          <w:sz w:val="32"/>
        </w:rPr>
        <w:t>20.社会保障和就业支出(类)行政事业单位养老支出(款)机关事业单位基本养老保险缴费支出(项):支出决算数为148.25万元，比上年决算增加19.01万元，增长14.71%,主要原因是：本年在职人员工资基数调增，养老缴费基数上涨，相应支出增加。</w:t>
      </w:r>
    </w:p>
    <w:p w14:paraId="17819C82">
      <w:pPr>
        <w:spacing w:line="580" w:lineRule="exact"/>
        <w:ind w:firstLine="640"/>
        <w:jc w:val="both"/>
      </w:pPr>
      <w:r>
        <w:rPr>
          <w:rFonts w:ascii="仿宋_GB2312" w:hAnsi="仿宋_GB2312" w:eastAsia="仿宋_GB2312"/>
          <w:b w:val="0"/>
          <w:sz w:val="32"/>
        </w:rPr>
        <w:t>21.社会保障和就业支出(类)行政事业单位养老支出(款)机关事业单位职业年金缴费支出(项):支出决算数为21.93万元，比上年决算增加16.29万元，增长288.83%,主要原因是：本年新增退休人员较上年增加、人员调出，职业年金缴费支出增加。</w:t>
      </w:r>
    </w:p>
    <w:p w14:paraId="4A39E27C">
      <w:pPr>
        <w:spacing w:line="580" w:lineRule="exact"/>
        <w:ind w:firstLine="640"/>
        <w:jc w:val="both"/>
      </w:pPr>
      <w:r>
        <w:rPr>
          <w:rFonts w:ascii="仿宋_GB2312" w:hAnsi="仿宋_GB2312" w:eastAsia="仿宋_GB2312"/>
          <w:b w:val="0"/>
          <w:sz w:val="32"/>
        </w:rPr>
        <w:t>22.社会保障和就业支出(类)就业补助(款)其他就业补助支出(项):支出决算数为3.52万元，比上年决算增加3.52万元，增长100.00%,主要原因是：本年度增加群众转移就业租领费和转移就业表现突出人员奖励费。</w:t>
      </w:r>
    </w:p>
    <w:p w14:paraId="524FFD6B">
      <w:pPr>
        <w:spacing w:line="580" w:lineRule="exact"/>
        <w:ind w:firstLine="640"/>
        <w:jc w:val="both"/>
      </w:pPr>
      <w:r>
        <w:rPr>
          <w:rFonts w:ascii="仿宋_GB2312" w:hAnsi="仿宋_GB2312" w:eastAsia="仿宋_GB2312"/>
          <w:b w:val="0"/>
          <w:sz w:val="32"/>
        </w:rPr>
        <w:t>23.社会保障和就业支出(类)社会福利(款)老年福利(项):支出决算数为58.11万元，比上年决算减少6.89万元，下降10.60%,主要原因是：本年度减少阳霞镇各村养老助餐点维修款。</w:t>
      </w:r>
    </w:p>
    <w:p w14:paraId="48339A47">
      <w:pPr>
        <w:spacing w:line="580" w:lineRule="exact"/>
        <w:ind w:firstLine="640"/>
        <w:jc w:val="both"/>
      </w:pPr>
      <w:r>
        <w:rPr>
          <w:rFonts w:ascii="仿宋_GB2312" w:hAnsi="仿宋_GB2312" w:eastAsia="仿宋_GB2312"/>
          <w:b w:val="0"/>
          <w:sz w:val="32"/>
        </w:rPr>
        <w:t>24.卫生健康支出(类)行政事业单位医疗(款)行政单位医疗(项):支出决算数为40.58万元，比上年决算增加0.37万元，增长0.92%,主要原因是：本年在职人员工资基数调增，医疗缴费基数上涨，相应支出增加。</w:t>
      </w:r>
    </w:p>
    <w:p w14:paraId="78CE5EF8">
      <w:pPr>
        <w:spacing w:line="580" w:lineRule="exact"/>
        <w:ind w:firstLine="640"/>
        <w:jc w:val="both"/>
      </w:pPr>
      <w:r>
        <w:rPr>
          <w:rFonts w:ascii="仿宋_GB2312" w:hAnsi="仿宋_GB2312" w:eastAsia="仿宋_GB2312"/>
          <w:b w:val="0"/>
          <w:sz w:val="32"/>
        </w:rPr>
        <w:t>25.卫生健康支出(类)行政事业单位医疗(款)事业单位医疗(项):支出决算数为27.44万元，比上年决算增加7.85万元，增长40.07%,主要原因是：本年在职人员工资基数调增，医疗缴费基数上涨，相应支出增加。</w:t>
      </w:r>
    </w:p>
    <w:p w14:paraId="26DB808B">
      <w:pPr>
        <w:spacing w:line="580" w:lineRule="exact"/>
        <w:ind w:firstLine="640"/>
        <w:jc w:val="both"/>
      </w:pPr>
      <w:r>
        <w:rPr>
          <w:rFonts w:ascii="仿宋_GB2312" w:hAnsi="仿宋_GB2312" w:eastAsia="仿宋_GB2312"/>
          <w:b w:val="0"/>
          <w:sz w:val="32"/>
        </w:rPr>
        <w:t>26.卫生健康支出(类)行政事业单位医疗(款)公务员医疗补助(项):支出决算数为16.51万元，比上年决算增加2.69万元，增长19.46%,主要原因是：本年在职人员工资基数调增，医疗缴费基数上涨，相应支出增加。</w:t>
      </w:r>
    </w:p>
    <w:p w14:paraId="142FFFEE">
      <w:pPr>
        <w:spacing w:line="580" w:lineRule="exact"/>
        <w:ind w:firstLine="640"/>
        <w:jc w:val="both"/>
      </w:pPr>
      <w:r>
        <w:rPr>
          <w:rFonts w:ascii="仿宋_GB2312" w:hAnsi="仿宋_GB2312" w:eastAsia="仿宋_GB2312"/>
          <w:b w:val="0"/>
          <w:sz w:val="32"/>
        </w:rPr>
        <w:t>27.节能环保支出(类)自然生态保护(款)农村环境保护(项):支出决算数为104.81万元，比上年决算增加104.81万元，增长100.00%,主要原因是：本年度增加污水处理厂电费，人员工资和环境验收监测费。</w:t>
      </w:r>
    </w:p>
    <w:p w14:paraId="0822553C">
      <w:pPr>
        <w:spacing w:line="580" w:lineRule="exact"/>
        <w:ind w:firstLine="640"/>
        <w:jc w:val="both"/>
      </w:pPr>
      <w:r>
        <w:rPr>
          <w:rFonts w:ascii="仿宋_GB2312" w:hAnsi="仿宋_GB2312" w:eastAsia="仿宋_GB2312"/>
          <w:b w:val="0"/>
          <w:sz w:val="32"/>
        </w:rPr>
        <w:t>28.农林水支出(类)农业农村(款)对高校毕业生到基层任职补助(项):支出决算数为0.00万元，比上年决算减少10.00万元，下降100.00%,主要原因是：本年度减少选调生宣传品宣传横幅制作费和慰问物资采购费。</w:t>
      </w:r>
    </w:p>
    <w:p w14:paraId="343958B2">
      <w:pPr>
        <w:spacing w:line="580" w:lineRule="exact"/>
        <w:ind w:firstLine="640"/>
        <w:jc w:val="both"/>
      </w:pPr>
      <w:r>
        <w:rPr>
          <w:rFonts w:ascii="仿宋_GB2312" w:hAnsi="仿宋_GB2312" w:eastAsia="仿宋_GB2312"/>
          <w:b w:val="0"/>
          <w:sz w:val="32"/>
        </w:rPr>
        <w:t>29.农林水支出(类)农业农村(款)其他农业农村支出(项):支出决算数为0.00万元，比上年决算减少19.00万元，下降100.00%,主要原因是：本年度减少残膜回收场地平整费和干部周转宿舍项目设计费、勘探费、测绘费。</w:t>
      </w:r>
    </w:p>
    <w:p w14:paraId="507FE238">
      <w:pPr>
        <w:spacing w:line="580" w:lineRule="exact"/>
        <w:ind w:firstLine="640"/>
        <w:jc w:val="both"/>
      </w:pPr>
      <w:r>
        <w:rPr>
          <w:rFonts w:ascii="仿宋_GB2312" w:hAnsi="仿宋_GB2312" w:eastAsia="仿宋_GB2312"/>
          <w:b w:val="0"/>
          <w:sz w:val="32"/>
        </w:rPr>
        <w:t>30.农林水支出(类)巩固脱贫攻坚成果衔接乡村振兴(款)生产发展(项):支出决算数为418.58万元，比上年决算增加368.58万元，增长737.16%,主要原因是：本年度增加农家乐工程款、挖掘机采购款、就业创业基地建设项目款。</w:t>
      </w:r>
    </w:p>
    <w:p w14:paraId="742D2871">
      <w:pPr>
        <w:spacing w:line="580" w:lineRule="exact"/>
        <w:ind w:firstLine="640"/>
        <w:jc w:val="both"/>
      </w:pPr>
      <w:r>
        <w:rPr>
          <w:rFonts w:ascii="仿宋_GB2312" w:hAnsi="仿宋_GB2312" w:eastAsia="仿宋_GB2312"/>
          <w:b w:val="0"/>
          <w:sz w:val="32"/>
        </w:rPr>
        <w:t>31.农林水支出(类)巩固脱贫攻坚成果衔接乡村振兴(款)其他巩固脱贫攻坚成果衔接乡村振兴支出(项):支出决算数为15.40万元，比上年决算增加4.77万元，增长44.87%,主要原因是：本年度增加群众奖金、就业创业基地项目设计费、监理费。</w:t>
      </w:r>
    </w:p>
    <w:p w14:paraId="46E66FCF">
      <w:pPr>
        <w:spacing w:line="580" w:lineRule="exact"/>
        <w:ind w:firstLine="640"/>
        <w:jc w:val="both"/>
      </w:pPr>
      <w:r>
        <w:rPr>
          <w:rFonts w:ascii="仿宋_GB2312" w:hAnsi="仿宋_GB2312" w:eastAsia="仿宋_GB2312"/>
          <w:b w:val="0"/>
          <w:sz w:val="32"/>
        </w:rPr>
        <w:t>32.农林水支出(类)农村综合改革(款)对村级公益事业建设的补助(项):支出决算数为317.02万元，比上年决算增加60.15万元，增长23.42%,主要原因是：本年度增加五小工程建设项目工程款、</w:t>
      </w:r>
      <w:r>
        <w:rPr>
          <w:rFonts w:hint="eastAsia" w:ascii="仿宋_GB2312" w:hAnsi="仿宋_GB2312" w:eastAsia="仿宋_GB2312"/>
          <w:b w:val="0"/>
          <w:sz w:val="32"/>
          <w:lang w:eastAsia="zh-CN"/>
        </w:rPr>
        <w:t>村民</w:t>
      </w:r>
      <w:r>
        <w:rPr>
          <w:rFonts w:ascii="仿宋_GB2312" w:hAnsi="仿宋_GB2312" w:eastAsia="仿宋_GB2312"/>
          <w:b w:val="0"/>
          <w:sz w:val="32"/>
        </w:rPr>
        <w:t>小组活动室和村委会业务用房建设项目款、村民服务中心项目工程款。</w:t>
      </w:r>
    </w:p>
    <w:p w14:paraId="7B189EFF">
      <w:pPr>
        <w:spacing w:line="580" w:lineRule="exact"/>
        <w:ind w:firstLine="640"/>
        <w:jc w:val="both"/>
      </w:pPr>
      <w:r>
        <w:rPr>
          <w:rFonts w:ascii="仿宋_GB2312" w:hAnsi="仿宋_GB2312" w:eastAsia="仿宋_GB2312"/>
          <w:b w:val="0"/>
          <w:sz w:val="32"/>
        </w:rPr>
        <w:t>33.农林水支出(类)农村综合改革(款)对村民委员会和村党支部的补助(项):支出决算数为17.98万元，比上年决算减少283.27万元，下降94.03%,主要原因是：本年度对村民委员会和村党支部的补助减少。</w:t>
      </w:r>
    </w:p>
    <w:p w14:paraId="7432A816">
      <w:pPr>
        <w:spacing w:line="580" w:lineRule="exact"/>
        <w:ind w:firstLine="640"/>
        <w:jc w:val="both"/>
      </w:pPr>
      <w:r>
        <w:rPr>
          <w:rFonts w:ascii="仿宋_GB2312" w:hAnsi="仿宋_GB2312" w:eastAsia="仿宋_GB2312"/>
          <w:b w:val="0"/>
          <w:sz w:val="32"/>
        </w:rPr>
        <w:t>34.农林水支出(类)农村综合改革(款)对村集体经济组织的补助(项):支出决算数为0.00万元，比上年决算减少20.97万元，下降100.00%,主要原因是：本年度减少轮台县杨霞镇其盖布拉克村小微创业基地项目。</w:t>
      </w:r>
    </w:p>
    <w:p w14:paraId="0C10619D">
      <w:pPr>
        <w:spacing w:line="580" w:lineRule="exact"/>
        <w:ind w:firstLine="640"/>
        <w:jc w:val="both"/>
      </w:pPr>
      <w:r>
        <w:rPr>
          <w:rFonts w:ascii="仿宋_GB2312" w:hAnsi="仿宋_GB2312" w:eastAsia="仿宋_GB2312"/>
          <w:b w:val="0"/>
          <w:sz w:val="32"/>
        </w:rPr>
        <w:t>35.住房保障支出(类)住房改革支出(款)住房公积金(项):支出决算数为127.46万元，比上年决算增加10.53万元，增长9.01%,主要原因是：本年在职人员工资基数调增，公积金缴费基数上涨，相应支出增加。</w:t>
      </w:r>
    </w:p>
    <w:p w14:paraId="20CF5336">
      <w:pPr>
        <w:spacing w:line="580" w:lineRule="exact"/>
        <w:ind w:firstLine="640"/>
        <w:jc w:val="both"/>
      </w:pPr>
      <w:r>
        <w:rPr>
          <w:rFonts w:ascii="仿宋_GB2312" w:hAnsi="仿宋_GB2312" w:eastAsia="仿宋_GB2312"/>
          <w:b w:val="0"/>
          <w:sz w:val="32"/>
        </w:rPr>
        <w:t>36.其他支出(类)其他支出(款)其他支出(项):支出决算数为522.97万元，比上年决算减少65.73万元，下降11.17%,主要原因是：本年度减少乡镇干部周转宿舍项目工程款。</w:t>
      </w:r>
    </w:p>
    <w:p w14:paraId="42099DE5">
      <w:pPr>
        <w:spacing w:line="640" w:lineRule="exact"/>
        <w:ind w:firstLine="640"/>
        <w:jc w:val="both"/>
        <w:outlineLvl w:val="2"/>
      </w:pPr>
      <w:r>
        <w:rPr>
          <w:rFonts w:ascii="黑体" w:hAnsi="黑体" w:eastAsia="黑体"/>
          <w:sz w:val="32"/>
        </w:rPr>
        <w:t>六、一般公共预算财政拨款基本支出决算情况说明</w:t>
      </w:r>
    </w:p>
    <w:p w14:paraId="0ACB078F">
      <w:pPr>
        <w:spacing w:line="580" w:lineRule="exact"/>
        <w:ind w:firstLine="640"/>
        <w:jc w:val="both"/>
      </w:pPr>
      <w:r>
        <w:rPr>
          <w:rFonts w:ascii="仿宋_GB2312" w:hAnsi="仿宋_GB2312" w:eastAsia="仿宋_GB2312"/>
          <w:b w:val="0"/>
          <w:sz w:val="32"/>
        </w:rPr>
        <w:t>2024年度一般公共预算财政拨款基本支出2,248.82万元，其中：</w:t>
      </w:r>
      <w:r>
        <w:rPr>
          <w:rFonts w:ascii="仿宋_GB2312" w:hAnsi="仿宋_GB2312" w:eastAsia="仿宋_GB2312"/>
          <w:b/>
          <w:sz w:val="32"/>
        </w:rPr>
        <w:t>人员经费1,895.77万元，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救济费、奖励金、其他对个人和家庭的补助。</w:t>
      </w:r>
    </w:p>
    <w:p w14:paraId="79E62AB2">
      <w:pPr>
        <w:spacing w:line="580" w:lineRule="exact"/>
        <w:ind w:firstLine="640"/>
        <w:jc w:val="both"/>
      </w:pPr>
      <w:r>
        <w:rPr>
          <w:rFonts w:ascii="仿宋_GB2312" w:hAnsi="仿宋_GB2312" w:eastAsia="仿宋_GB2312"/>
          <w:b/>
          <w:sz w:val="32"/>
        </w:rPr>
        <w:t>公用经费353.05万元，</w:t>
      </w:r>
      <w:r>
        <w:rPr>
          <w:rFonts w:ascii="仿宋_GB2312" w:hAnsi="仿宋_GB2312" w:eastAsia="仿宋_GB2312"/>
          <w:b w:val="0"/>
          <w:sz w:val="32"/>
        </w:rPr>
        <w:t>包括：办公费、印刷费、咨询费、水费、电费、邮电费、取暖费、差旅费、维修（护）费、租赁费、培训费、专用材料费、劳务费、委托业务费、公务用车运行维护费、其他交通费用、税金及附加费用、办公设备购置、专用设备购置。</w:t>
      </w:r>
    </w:p>
    <w:p w14:paraId="1F8EF06A">
      <w:pPr>
        <w:spacing w:line="640" w:lineRule="exact"/>
        <w:ind w:firstLine="640"/>
        <w:jc w:val="both"/>
        <w:outlineLvl w:val="2"/>
      </w:pPr>
      <w:r>
        <w:rPr>
          <w:rFonts w:ascii="黑体" w:hAnsi="黑体" w:eastAsia="黑体"/>
          <w:sz w:val="32"/>
        </w:rPr>
        <w:t>七、政府性基金预算财政拨款收入支出决算情况说明</w:t>
      </w:r>
    </w:p>
    <w:p w14:paraId="120B8ADF">
      <w:pPr>
        <w:spacing w:line="580" w:lineRule="exact"/>
        <w:ind w:firstLine="640"/>
        <w:jc w:val="both"/>
      </w:pPr>
      <w:r>
        <w:rPr>
          <w:rFonts w:ascii="仿宋_GB2312" w:hAnsi="仿宋_GB2312" w:eastAsia="仿宋_GB2312"/>
          <w:b/>
          <w:sz w:val="32"/>
        </w:rPr>
        <w:t>2024年度政府性基金预算财政拨款收入总计95.34万元，</w:t>
      </w:r>
      <w:r>
        <w:rPr>
          <w:rFonts w:ascii="仿宋_GB2312" w:hAnsi="仿宋_GB2312" w:eastAsia="仿宋_GB2312"/>
          <w:b w:val="0"/>
          <w:sz w:val="32"/>
        </w:rPr>
        <w:t>其中：年初结转和结余0.00万元，本年收入95.34万元。</w:t>
      </w:r>
      <w:r>
        <w:rPr>
          <w:rFonts w:ascii="仿宋_GB2312" w:hAnsi="仿宋_GB2312" w:eastAsia="仿宋_GB2312"/>
          <w:b/>
          <w:sz w:val="32"/>
        </w:rPr>
        <w:t>政府性基金预算财政拨款支出总计95.34万元，</w:t>
      </w:r>
      <w:r>
        <w:rPr>
          <w:rFonts w:ascii="仿宋_GB2312" w:hAnsi="仿宋_GB2312" w:eastAsia="仿宋_GB2312"/>
          <w:b w:val="0"/>
          <w:sz w:val="32"/>
        </w:rPr>
        <w:t>其中：年末结转和结余0.00万元，本年支出95.34万元。</w:t>
      </w:r>
    </w:p>
    <w:p w14:paraId="308A33F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减少67.71万元，下降41.53%，主要原因是：本年度减少国有土地使用权出让农业发展支出。</w:t>
      </w:r>
      <w:r>
        <w:rPr>
          <w:rFonts w:ascii="仿宋_GB2312" w:hAnsi="仿宋_GB2312" w:eastAsia="仿宋_GB2312"/>
          <w:b/>
          <w:sz w:val="32"/>
        </w:rPr>
        <w:t>与年初预算相比，</w:t>
      </w:r>
      <w:r>
        <w:rPr>
          <w:rFonts w:ascii="仿宋_GB2312" w:hAnsi="仿宋_GB2312" w:eastAsia="仿宋_GB2312"/>
          <w:b w:val="0"/>
          <w:sz w:val="32"/>
        </w:rPr>
        <w:t>年初预算数0.00万元，决算数95.34万元，预决算差异率100.00%，主要原因是：年中追加就业创业基地项目基础设施配套费和村民服务中心基础设施配套等项目经费预算，导致预决算存在差异。</w:t>
      </w:r>
    </w:p>
    <w:p w14:paraId="44FD6173">
      <w:pPr>
        <w:spacing w:line="580" w:lineRule="exact"/>
        <w:ind w:firstLine="640"/>
        <w:jc w:val="both"/>
      </w:pPr>
      <w:r>
        <w:rPr>
          <w:rFonts w:ascii="仿宋_GB2312" w:hAnsi="仿宋_GB2312" w:eastAsia="仿宋_GB2312"/>
          <w:b w:val="0"/>
          <w:sz w:val="32"/>
        </w:rPr>
        <w:t>政府性基金预算财政拨款支出95.34万元。</w:t>
      </w:r>
    </w:p>
    <w:p w14:paraId="44F35413">
      <w:pPr>
        <w:spacing w:line="580" w:lineRule="exact"/>
        <w:ind w:firstLine="640"/>
        <w:jc w:val="both"/>
      </w:pPr>
      <w:r>
        <w:rPr>
          <w:rFonts w:ascii="仿宋_GB2312" w:hAnsi="仿宋_GB2312" w:eastAsia="仿宋_GB2312"/>
          <w:b w:val="0"/>
          <w:sz w:val="32"/>
        </w:rPr>
        <w:t>1.城乡社区支出(类)国有土地使用权出让收入安排的支出(款)土地开发支出(项):支出决算数为0.00万元，比上年决算减少1.80万元，下降100.00%,主要原因是：本年度减少幸福大院耕地补偿款。</w:t>
      </w:r>
    </w:p>
    <w:p w14:paraId="463A6F31">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2.城乡社区支出(类)国有土地使用权出让收入安排的支出(款)农业生产发展支出(项):支出决算数为0.00万元，比上年决算减少161.24万元，下降100.00%,主要原因是：本年度减少国有土地使用权出让农业发展支出。</w:t>
      </w:r>
    </w:p>
    <w:p w14:paraId="413840D7">
      <w:pPr>
        <w:spacing w:line="580" w:lineRule="exact"/>
        <w:ind w:firstLine="640"/>
        <w:jc w:val="both"/>
      </w:pPr>
      <w:r>
        <w:rPr>
          <w:rFonts w:ascii="仿宋_GB2312" w:hAnsi="仿宋_GB2312" w:eastAsia="仿宋_GB2312"/>
          <w:b w:val="0"/>
          <w:sz w:val="32"/>
        </w:rPr>
        <w:t>3.城乡社区支出(类)国有土地使用权出让收入安排的支出(款)农村社会事业支出(项):支出决算数为17.35万元，比上年决算增加17.35万元，增长100.00%,主要原因是：本年度增加就业创业基地项目基础设施配套费和村民服务中心基础设施配套费。</w:t>
      </w:r>
    </w:p>
    <w:p w14:paraId="349AF032">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其他国有土地使用权出让收入对应专项债务收入安排的支出(项):支出决算数为77.00万元，比上年决算增加77.00万元，增长100.00%,主要原因是：本年度增加维修改造等工程项目款。</w:t>
      </w:r>
    </w:p>
    <w:p w14:paraId="2ECE6091">
      <w:pPr>
        <w:spacing w:line="580" w:lineRule="exact"/>
        <w:ind w:firstLine="640"/>
        <w:jc w:val="both"/>
      </w:pPr>
      <w:r>
        <w:rPr>
          <w:rFonts w:ascii="仿宋_GB2312" w:hAnsi="仿宋_GB2312" w:eastAsia="仿宋_GB2312"/>
          <w:b w:val="0"/>
          <w:sz w:val="32"/>
        </w:rPr>
        <w:t>5.其他支出(类)彩票公益金安排的支出(款)用于体育事业的彩票公益金支出(项):支出决算数为0.99万元，比上年决算增加0.99万元，增长100.00%,主要原因是：本年度增加活动服装租赁费。</w:t>
      </w:r>
    </w:p>
    <w:p w14:paraId="3BF2D09B">
      <w:pPr>
        <w:spacing w:line="640" w:lineRule="exact"/>
        <w:ind w:firstLine="640"/>
        <w:jc w:val="both"/>
        <w:outlineLvl w:val="2"/>
      </w:pPr>
      <w:r>
        <w:rPr>
          <w:rFonts w:ascii="黑体" w:hAnsi="黑体" w:eastAsia="黑体"/>
          <w:sz w:val="32"/>
        </w:rPr>
        <w:t>八、国有资本经营预算财政拨款收入支出决算情况说明</w:t>
      </w:r>
    </w:p>
    <w:p w14:paraId="7AC2FF1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883699">
      <w:pPr>
        <w:spacing w:line="640" w:lineRule="exact"/>
        <w:ind w:firstLine="640"/>
        <w:jc w:val="both"/>
        <w:outlineLvl w:val="2"/>
      </w:pPr>
      <w:r>
        <w:rPr>
          <w:rFonts w:ascii="黑体" w:hAnsi="黑体" w:eastAsia="黑体"/>
          <w:sz w:val="32"/>
        </w:rPr>
        <w:t>九、财政拨款“三公”经费支出决算情况说明</w:t>
      </w:r>
    </w:p>
    <w:p w14:paraId="6CEE3920">
      <w:pPr>
        <w:spacing w:line="580" w:lineRule="exact"/>
        <w:ind w:firstLine="640"/>
        <w:jc w:val="both"/>
      </w:pPr>
      <w:r>
        <w:rPr>
          <w:rFonts w:ascii="仿宋_GB2312" w:hAnsi="仿宋_GB2312" w:eastAsia="仿宋_GB2312"/>
          <w:b/>
          <w:sz w:val="32"/>
        </w:rPr>
        <w:t>2024年度财政拨款“三公”经费支出1.01万元，</w:t>
      </w:r>
      <w:r>
        <w:rPr>
          <w:rFonts w:ascii="仿宋_GB2312" w:hAnsi="仿宋_GB2312" w:eastAsia="仿宋_GB2312"/>
          <w:b w:val="0"/>
          <w:sz w:val="32"/>
        </w:rPr>
        <w:t>比上年减少8.17万元，下降89.00%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1.01万元，占100.00%，比上年减少8.17万元，下降89.00%，主要原因是：严格落实中央八项规定精神，厉行节约，减少公务用车运行维护费。公务接待费支出0.00万元，占0.00%，比上年增加0.00万元，增长0.00%，主要原因是：2023年与2024年均未安排公务接待费支出。</w:t>
      </w:r>
    </w:p>
    <w:p w14:paraId="3B44B109">
      <w:pPr>
        <w:spacing w:line="580" w:lineRule="exact"/>
        <w:ind w:firstLine="640"/>
        <w:jc w:val="both"/>
      </w:pPr>
      <w:r>
        <w:rPr>
          <w:rFonts w:ascii="仿宋_GB2312" w:hAnsi="仿宋_GB2312" w:eastAsia="仿宋_GB2312"/>
          <w:b/>
          <w:sz w:val="32"/>
        </w:rPr>
        <w:t>具体情况如下：</w:t>
      </w:r>
    </w:p>
    <w:p w14:paraId="03E9D7E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490E27">
      <w:pPr>
        <w:spacing w:line="580" w:lineRule="exact"/>
        <w:ind w:firstLine="640"/>
        <w:jc w:val="both"/>
      </w:pPr>
      <w:r>
        <w:rPr>
          <w:rFonts w:ascii="仿宋_GB2312" w:hAnsi="仿宋_GB2312" w:eastAsia="仿宋_GB2312"/>
          <w:b w:val="0"/>
          <w:sz w:val="32"/>
        </w:rPr>
        <w:t>公务用车购置及运行维护费1.01万元，其中：公务用车购置费0.00万元，公务用车运行维护费1.01万元。公务用车运行维护费开支内容包括车辆维修费、燃油费。公务用车购置数0辆，公务用车保有量7辆。国有资产占用情况中固定资产车辆7辆，与公务用车保有量差异原因是：本单位固定资产车辆与公务用车保有量一致无差异。</w:t>
      </w:r>
    </w:p>
    <w:p w14:paraId="4D7AC68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29383A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1.01万元，决算数1.01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1.01万元，决算数1.01万元，预决算差异率0.00%，主要原因是：严格按照预算执行，预决算无差异。公务接待费全年预算数0.00万元，决算数0.00万元，预决算差异率0.00%，主要原因是：本单位无公务接待费。</w:t>
      </w:r>
    </w:p>
    <w:p w14:paraId="7EAC84CF">
      <w:pPr>
        <w:spacing w:line="640" w:lineRule="exact"/>
        <w:ind w:firstLine="640"/>
        <w:jc w:val="both"/>
        <w:outlineLvl w:val="2"/>
      </w:pPr>
      <w:r>
        <w:rPr>
          <w:rFonts w:ascii="黑体" w:hAnsi="黑体" w:eastAsia="黑体"/>
          <w:sz w:val="32"/>
        </w:rPr>
        <w:t>十、其他重要事项的情况说明</w:t>
      </w:r>
    </w:p>
    <w:p w14:paraId="544D165A">
      <w:pPr>
        <w:spacing w:line="640" w:lineRule="exact"/>
        <w:ind w:firstLine="640"/>
        <w:jc w:val="both"/>
        <w:outlineLvl w:val="3"/>
      </w:pPr>
      <w:r>
        <w:rPr>
          <w:rFonts w:ascii="楷体_GB2312" w:hAnsi="楷体_GB2312" w:eastAsia="楷体_GB2312"/>
          <w:b/>
          <w:sz w:val="32"/>
        </w:rPr>
        <w:t>（一）机关运行经费及公用经费支出情况</w:t>
      </w:r>
    </w:p>
    <w:p w14:paraId="369538CF">
      <w:pPr>
        <w:spacing w:line="580" w:lineRule="exact"/>
        <w:ind w:firstLine="640"/>
        <w:jc w:val="both"/>
      </w:pPr>
      <w:r>
        <w:rPr>
          <w:rFonts w:ascii="仿宋_GB2312" w:hAnsi="仿宋_GB2312" w:eastAsia="仿宋_GB2312"/>
          <w:b w:val="0"/>
          <w:sz w:val="32"/>
        </w:rPr>
        <w:t>2024年度轮台县阳霞镇人民政府（行政单位和参照公务员法管理事业单位）机关运行经费支出365.41万元，比上年增加70.38万元，增长23.86%，主要原因是：本年更新、维护补充办公用品，导致机关运行经费较上年增加。</w:t>
      </w:r>
    </w:p>
    <w:p w14:paraId="11B6A5F2">
      <w:pPr>
        <w:spacing w:line="640" w:lineRule="exact"/>
        <w:ind w:firstLine="640"/>
        <w:jc w:val="both"/>
        <w:outlineLvl w:val="3"/>
      </w:pPr>
      <w:r>
        <w:rPr>
          <w:rFonts w:ascii="楷体_GB2312" w:hAnsi="楷体_GB2312" w:eastAsia="楷体_GB2312"/>
          <w:b/>
          <w:sz w:val="32"/>
        </w:rPr>
        <w:t>（二）政府采购情况</w:t>
      </w:r>
    </w:p>
    <w:p w14:paraId="65241850">
      <w:pPr>
        <w:spacing w:line="580" w:lineRule="exact"/>
        <w:ind w:firstLine="640"/>
        <w:jc w:val="both"/>
      </w:pPr>
      <w:r>
        <w:rPr>
          <w:rFonts w:ascii="仿宋_GB2312" w:hAnsi="仿宋_GB2312" w:eastAsia="仿宋_GB2312"/>
          <w:b w:val="0"/>
          <w:sz w:val="32"/>
        </w:rPr>
        <w:t>2024年度政府采购支出总额476.62万元，其中：政府采购货物支出132.09万元、政府采购工程支出245.37万元、政府采购服务支出99.17万元。</w:t>
      </w:r>
    </w:p>
    <w:p w14:paraId="165641B6">
      <w:pPr>
        <w:spacing w:line="580" w:lineRule="exact"/>
        <w:ind w:firstLine="640"/>
        <w:jc w:val="both"/>
      </w:pPr>
      <w:r>
        <w:rPr>
          <w:rFonts w:ascii="仿宋_GB2312" w:hAnsi="仿宋_GB2312" w:eastAsia="仿宋_GB2312"/>
          <w:b w:val="0"/>
          <w:sz w:val="32"/>
        </w:rPr>
        <w:t>授予中小企业合同金额425.44万元，占政府采购支出总额的89.26%，其中：授予小微企业合同金额425.44万元，占政府采购支出总额的89.26%。</w:t>
      </w:r>
    </w:p>
    <w:p w14:paraId="11022320">
      <w:pPr>
        <w:spacing w:line="640" w:lineRule="exact"/>
        <w:ind w:firstLine="640"/>
        <w:jc w:val="both"/>
        <w:outlineLvl w:val="3"/>
      </w:pPr>
      <w:r>
        <w:rPr>
          <w:rFonts w:ascii="楷体_GB2312" w:hAnsi="楷体_GB2312" w:eastAsia="楷体_GB2312"/>
          <w:b/>
          <w:sz w:val="32"/>
        </w:rPr>
        <w:t>（三）国有资产占用情况说明</w:t>
      </w:r>
    </w:p>
    <w:p w14:paraId="4F9F4176">
      <w:pPr>
        <w:spacing w:line="580" w:lineRule="exact"/>
        <w:ind w:firstLine="640"/>
        <w:jc w:val="both"/>
      </w:pPr>
      <w:r>
        <w:rPr>
          <w:rFonts w:ascii="仿宋_GB2312" w:hAnsi="仿宋_GB2312" w:eastAsia="仿宋_GB2312"/>
          <w:b w:val="0"/>
          <w:sz w:val="32"/>
        </w:rPr>
        <w:t>截至2024年12月31日，房屋13,840.82平方米，价值2,247.49万元。车辆7辆，价值118.19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26606A1F">
      <w:pPr>
        <w:spacing w:line="640" w:lineRule="exact"/>
        <w:ind w:firstLine="640"/>
        <w:jc w:val="both"/>
        <w:outlineLvl w:val="2"/>
      </w:pPr>
      <w:r>
        <w:rPr>
          <w:rFonts w:ascii="黑体" w:hAnsi="黑体" w:eastAsia="黑体"/>
          <w:sz w:val="32"/>
        </w:rPr>
        <w:t>十一、预算绩效的情况说明</w:t>
      </w:r>
    </w:p>
    <w:p w14:paraId="24B56FD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3,702.48万元，实际执行总额3,633.85万元；预算绩效评价项目5个，全年预算数578.22万元，全年执行数574.22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本年度落实了各项工作,维持了政府机关和各站所正常运转，促进了单位各项事业的持续健康发展，为人民群众提供了更加安全、有效的公共服务二是已完成保障105名工作人员（包含4名纪委工作人员）的各类办公需求。发现的问题及原因：一是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对项目绩效的认识还不够深入，相关知识了解还不够、掌握还不够多，把绩效管理简单等同于工作目标、工作考核和业务管理。下一步改进措施：一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二是进一步完善项目评价过程中有关数据和资料的收集、整理、审核及分析。项目启动时同步做好档案的归纳与整理，及时整理、收集、汇总，健全档案资料。具体附整体支出绩效自评表，项目支出绩效自评表和评价报告。</w:t>
      </w:r>
    </w:p>
    <w:p w14:paraId="200FAB9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EE1EDC5">
        <w:tblPrEx>
          <w:tblCellMar>
            <w:top w:w="0" w:type="dxa"/>
            <w:left w:w="108" w:type="dxa"/>
            <w:bottom w:w="0" w:type="dxa"/>
            <w:right w:w="108" w:type="dxa"/>
          </w:tblCellMar>
        </w:tblPrEx>
        <w:tc>
          <w:tcPr>
            <w:tcW w:w="8840" w:type="dxa"/>
            <w:gridSpan w:val="8"/>
            <w:vAlign w:val="center"/>
          </w:tcPr>
          <w:p w14:paraId="7BA96351">
            <w:pPr>
              <w:jc w:val="center"/>
            </w:pPr>
            <w:r>
              <w:rPr>
                <w:rFonts w:ascii="宋体" w:hAnsi="宋体" w:eastAsia="宋体"/>
                <w:sz w:val="24"/>
              </w:rPr>
              <w:t>单位整体支出绩效自评表</w:t>
            </w:r>
          </w:p>
        </w:tc>
      </w:tr>
      <w:tr w14:paraId="5F3201EB">
        <w:tblPrEx>
          <w:tblCellMar>
            <w:top w:w="0" w:type="dxa"/>
            <w:left w:w="108" w:type="dxa"/>
            <w:bottom w:w="0" w:type="dxa"/>
            <w:right w:w="108" w:type="dxa"/>
          </w:tblCellMar>
        </w:tblPrEx>
        <w:tc>
          <w:tcPr>
            <w:tcW w:w="8840" w:type="dxa"/>
            <w:gridSpan w:val="8"/>
            <w:vAlign w:val="center"/>
          </w:tcPr>
          <w:p w14:paraId="54F075D3">
            <w:pPr>
              <w:jc w:val="center"/>
            </w:pPr>
            <w:r>
              <w:rPr>
                <w:rFonts w:ascii="宋体" w:hAnsi="宋体" w:eastAsia="宋体"/>
                <w:sz w:val="24"/>
              </w:rPr>
              <w:t>（2024年度）</w:t>
            </w:r>
          </w:p>
        </w:tc>
      </w:tr>
      <w:tr w14:paraId="75C2184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3175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583FD">
            <w:pPr>
              <w:jc w:val="center"/>
            </w:pPr>
            <w:r>
              <w:rPr>
                <w:rFonts w:ascii="宋体" w:hAnsi="宋体" w:eastAsia="宋体"/>
                <w:sz w:val="16"/>
              </w:rPr>
              <w:t>轮台县阳霞镇人民政府</w:t>
            </w:r>
          </w:p>
        </w:tc>
      </w:tr>
      <w:tr w14:paraId="14E5D5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A652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9497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4DEA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B675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E4BA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341F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575B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8F80A">
            <w:pPr>
              <w:jc w:val="center"/>
            </w:pPr>
            <w:r>
              <w:rPr>
                <w:rFonts w:ascii="宋体" w:hAnsi="宋体" w:eastAsia="宋体"/>
                <w:sz w:val="16"/>
              </w:rPr>
              <w:t>得分</w:t>
            </w:r>
          </w:p>
        </w:tc>
      </w:tr>
      <w:tr w14:paraId="6953CC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FD16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B652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57091">
            <w:pPr>
              <w:jc w:val="center"/>
            </w:pPr>
            <w:r>
              <w:rPr>
                <w:rFonts w:ascii="宋体" w:hAnsi="宋体" w:eastAsia="宋体"/>
                <w:sz w:val="16"/>
              </w:rPr>
              <w:t>3,014.83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98ACB">
            <w:pPr>
              <w:jc w:val="center"/>
            </w:pPr>
            <w:r>
              <w:rPr>
                <w:rFonts w:ascii="宋体" w:hAnsi="宋体" w:eastAsia="宋体"/>
                <w:sz w:val="16"/>
              </w:rPr>
              <w:t>3,702.48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EF7EC">
            <w:pPr>
              <w:jc w:val="center"/>
            </w:pPr>
            <w:r>
              <w:rPr>
                <w:rFonts w:ascii="宋体" w:hAnsi="宋体" w:eastAsia="宋体"/>
                <w:sz w:val="16"/>
              </w:rPr>
              <w:t>3,633.85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6379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13D77">
            <w:pPr>
              <w:jc w:val="center"/>
            </w:pPr>
            <w:r>
              <w:rPr>
                <w:rFonts w:ascii="宋体" w:hAnsi="宋体" w:eastAsia="宋体"/>
                <w:sz w:val="16"/>
              </w:rPr>
              <w:t>98.15%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B0D08">
            <w:pPr>
              <w:jc w:val="center"/>
            </w:pPr>
            <w:r>
              <w:rPr>
                <w:rFonts w:ascii="宋体" w:hAnsi="宋体" w:eastAsia="宋体"/>
                <w:sz w:val="16"/>
              </w:rPr>
              <w:t>9.82</w:t>
            </w:r>
          </w:p>
        </w:tc>
      </w:tr>
      <w:tr w14:paraId="0F9595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B62A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369CD">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82F61">
            <w:pPr>
              <w:jc w:val="center"/>
            </w:pPr>
            <w:r>
              <w:rPr>
                <w:rFonts w:ascii="宋体" w:hAnsi="宋体" w:eastAsia="宋体"/>
                <w:sz w:val="16"/>
              </w:rPr>
              <w:t>546.00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C9361">
            <w:pPr>
              <w:jc w:val="center"/>
            </w:pPr>
            <w:r>
              <w:rPr>
                <w:rFonts w:ascii="宋体" w:hAnsi="宋体" w:eastAsia="宋体"/>
                <w:sz w:val="16"/>
              </w:rPr>
              <w:t>1,517.69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C5232">
            <w:pPr>
              <w:jc w:val="center"/>
            </w:pPr>
            <w:r>
              <w:rPr>
                <w:rFonts w:ascii="宋体" w:hAnsi="宋体" w:eastAsia="宋体"/>
                <w:sz w:val="16"/>
              </w:rPr>
              <w:t>1,480.74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4D9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8F5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8D3CB">
            <w:pPr>
              <w:jc w:val="center"/>
            </w:pPr>
            <w:r>
              <w:rPr>
                <w:rFonts w:ascii="宋体" w:hAnsi="宋体" w:eastAsia="宋体"/>
                <w:sz w:val="16"/>
              </w:rPr>
              <w:t>-</w:t>
            </w:r>
          </w:p>
        </w:tc>
      </w:tr>
      <w:tr w14:paraId="70A3B6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7D24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5EBC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92F28">
            <w:pPr>
              <w:jc w:val="center"/>
            </w:pPr>
            <w:r>
              <w:rPr>
                <w:rFonts w:ascii="宋体" w:hAnsi="宋体" w:eastAsia="宋体"/>
                <w:sz w:val="16"/>
              </w:rPr>
              <w:t>2,468.83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6BE90">
            <w:pPr>
              <w:jc w:val="center"/>
            </w:pPr>
            <w:r>
              <w:rPr>
                <w:rFonts w:ascii="宋体" w:hAnsi="宋体" w:eastAsia="宋体"/>
                <w:sz w:val="16"/>
              </w:rPr>
              <w:t>2,101.95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5A9D5">
            <w:pPr>
              <w:jc w:val="center"/>
            </w:pPr>
            <w:r>
              <w:rPr>
                <w:rFonts w:ascii="宋体" w:hAnsi="宋体" w:eastAsia="宋体"/>
                <w:sz w:val="16"/>
              </w:rPr>
              <w:t>2,138.90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1A4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C837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7C603">
            <w:pPr>
              <w:jc w:val="center"/>
            </w:pPr>
            <w:r>
              <w:rPr>
                <w:rFonts w:ascii="宋体" w:hAnsi="宋体" w:eastAsia="宋体"/>
                <w:sz w:val="16"/>
              </w:rPr>
              <w:t>-</w:t>
            </w:r>
          </w:p>
        </w:tc>
      </w:tr>
      <w:tr w14:paraId="4BB8F1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11FF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D4DF3">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F841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06841">
            <w:pPr>
              <w:jc w:val="center"/>
            </w:pPr>
            <w:r>
              <w:rPr>
                <w:rFonts w:ascii="宋体" w:hAnsi="宋体" w:eastAsia="宋体"/>
                <w:sz w:val="16"/>
              </w:rPr>
              <w:t>82.84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49900">
            <w:pPr>
              <w:jc w:val="center"/>
            </w:pPr>
            <w:r>
              <w:rPr>
                <w:rFonts w:ascii="宋体" w:hAnsi="宋体" w:eastAsia="宋体"/>
                <w:sz w:val="16"/>
              </w:rPr>
              <w:t>14.21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EFC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909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B072B">
            <w:pPr>
              <w:jc w:val="center"/>
            </w:pPr>
            <w:r>
              <w:rPr>
                <w:rFonts w:ascii="宋体" w:hAnsi="宋体" w:eastAsia="宋体"/>
                <w:sz w:val="16"/>
              </w:rPr>
              <w:t>-</w:t>
            </w:r>
          </w:p>
        </w:tc>
      </w:tr>
      <w:tr w14:paraId="4538FEA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A621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09643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AF3FDD">
            <w:pPr>
              <w:jc w:val="center"/>
            </w:pPr>
            <w:r>
              <w:rPr>
                <w:rFonts w:ascii="宋体" w:hAnsi="宋体" w:eastAsia="宋体"/>
                <w:sz w:val="16"/>
              </w:rPr>
              <w:t>实际完成情况</w:t>
            </w:r>
          </w:p>
        </w:tc>
      </w:tr>
      <w:tr w14:paraId="12867F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A4D75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C15FAE">
            <w:pPr>
              <w:jc w:val="both"/>
            </w:pPr>
            <w:r>
              <w:rPr>
                <w:rFonts w:ascii="宋体" w:hAnsi="宋体" w:eastAsia="宋体"/>
                <w:sz w:val="16"/>
              </w:rPr>
              <w:t xml:space="preserve">宣传贯彻党的路线方针政策和法律法规，强化法治宣传教育、畅通诉求渠道、调解民事纠纷、化解社会矛盾，处理群众性突发事件，做好农业、农村、农民和社区工作，维护社会稳定。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推进乡村振兴，健全完善镇村群众工作机构，群众工作更细更精，计划举办不少于30场次的农民技术专业培训，计划提供不少于1500的富余劳动力就业岗位，计划开展24场次的安全隐患排查和整治活动，计划开展不少于4次的“资产清查”行动，并计划开展不少于12次的</w:t>
            </w:r>
            <w:r>
              <w:rPr>
                <w:rFonts w:hint="eastAsia" w:ascii="宋体" w:hAnsi="宋体"/>
                <w:sz w:val="16"/>
                <w:lang w:eastAsia="zh-CN"/>
              </w:rPr>
              <w:t>返贫监测</w:t>
            </w:r>
            <w:r>
              <w:rPr>
                <w:rFonts w:ascii="宋体" w:hAnsi="宋体" w:eastAsia="宋体"/>
                <w:sz w:val="16"/>
              </w:rPr>
              <w:t>活动，解决的群众困难诉求解决率要</w:t>
            </w:r>
            <w:r>
              <w:rPr>
                <w:rFonts w:hint="eastAsia" w:ascii="宋体" w:hAnsi="宋体"/>
                <w:sz w:val="16"/>
                <w:lang w:eastAsia="zh-CN"/>
              </w:rPr>
              <w:t>达到</w:t>
            </w:r>
            <w:r>
              <w:rPr>
                <w:rFonts w:ascii="宋体" w:hAnsi="宋体" w:eastAsia="宋体"/>
                <w:sz w:val="16"/>
              </w:rPr>
              <w:t xml:space="preserve">95%以上的效果，维护社会稳定，构建社会主义和谐社会。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2.加快城镇化建设步伐，涉及8个行政村，目标享受补贴人数21500人次，努力改善我镇各村整体硬件环境。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3.按照全镇整体规划设计进一步充实小城镇化内涵，建立以驻地为中心，形成初具规模的小城镇框架</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4.加大投入力度，通过各种途径尽力争取建设项目和资金，节支开源，加快建设；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5.重点抓好基础设施建设，对驻地主干道两侧进行进一步的综合环境治理，计划开展不少于12场次的志愿者活动，搞好驻地绿化、亮化建设，着力提升全镇文化品位，整体提升辖区内人居环境，使辖区内群众</w:t>
            </w:r>
            <w:r>
              <w:rPr>
                <w:rFonts w:hint="eastAsia" w:ascii="宋体" w:hAnsi="宋体"/>
                <w:sz w:val="16"/>
                <w:lang w:eastAsia="zh-CN"/>
              </w:rPr>
              <w:t>幸福感足感</w:t>
            </w:r>
            <w:r>
              <w:rPr>
                <w:rFonts w:ascii="宋体" w:hAnsi="宋体" w:eastAsia="宋体"/>
                <w:sz w:val="16"/>
              </w:rPr>
              <w:t>大幅提升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F8F122">
            <w:pPr>
              <w:jc w:val="both"/>
            </w:pPr>
            <w:r>
              <w:rPr>
                <w:rFonts w:ascii="宋体" w:hAnsi="宋体" w:eastAsia="宋体"/>
                <w:sz w:val="16"/>
              </w:rPr>
              <w:t xml:space="preserve">本单位认真宣传贯彻党的路线方针政策和法律法规，强化法治宣传教育、畅通诉求渠道、调解民事纠纷、化解社会矛盾，处理群众性突发事件，做好农业、农村、农民和社区工作，维护社会稳定。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推进乡村振兴，健全完善镇村群众工作机构，群众工作更细更精，举办了30场次的农民技术专业培训，提供了1500个富余劳动力就业岗位，开展了24场次的安全隐患排查和整治活动、4次的“资产清查”行动、12次的</w:t>
            </w:r>
            <w:r>
              <w:rPr>
                <w:rFonts w:hint="eastAsia" w:ascii="宋体" w:hAnsi="宋体"/>
                <w:sz w:val="16"/>
                <w:lang w:eastAsia="zh-CN"/>
              </w:rPr>
              <w:t>返贫监测</w:t>
            </w:r>
            <w:r>
              <w:rPr>
                <w:rFonts w:ascii="宋体" w:hAnsi="宋体" w:eastAsia="宋体"/>
                <w:sz w:val="16"/>
              </w:rPr>
              <w:t>活动，解决的群众困难诉求解决率达到了99.49%的效果，维护了社会稳定，</w:t>
            </w:r>
            <w:r>
              <w:rPr>
                <w:rFonts w:hint="eastAsia" w:ascii="宋体" w:hAnsi="宋体"/>
                <w:sz w:val="16"/>
                <w:lang w:eastAsia="zh-CN"/>
              </w:rPr>
              <w:t>构建社会主义和谐社会</w:t>
            </w:r>
            <w:r>
              <w:rPr>
                <w:rFonts w:ascii="宋体" w:hAnsi="宋体" w:eastAsia="宋体"/>
                <w:sz w:val="16"/>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2.加快城镇化建设步伐，对8个行政村开展了综合环境治理，享受补贴人数21652人次，改善了我镇各村整体硬件环境；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3.按照全镇整体规划设计进一步充实小城镇化内涵，建立以驻地为中心，形成了初具规模的小城镇框架；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4.加大投入力度，通过各种途径尽力争取建设项目和资金，节支开源，加快建设；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5.重点抓好基础设施建设，对驻地主干道两侧进行进一步的综合环境治理，开展了12场次的志愿者活动，搞好驻地绿化、亮化建设，着力提升全镇文化品位，整体提升辖区内人居环境，使辖区内群众幸福满</w:t>
            </w:r>
            <w:r>
              <w:rPr>
                <w:rFonts w:hint="eastAsia" w:ascii="宋体" w:hAnsi="宋体"/>
                <w:sz w:val="16"/>
                <w:lang w:eastAsia="zh-CN"/>
              </w:rPr>
              <w:t>足感</w:t>
            </w:r>
            <w:r>
              <w:rPr>
                <w:rFonts w:ascii="宋体" w:hAnsi="宋体" w:eastAsia="宋体"/>
                <w:sz w:val="16"/>
              </w:rPr>
              <w:t>大幅提升。</w:t>
            </w:r>
          </w:p>
        </w:tc>
      </w:tr>
      <w:tr w14:paraId="5F8848C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026A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BE75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2277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4295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77FD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3435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51AA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09E33">
            <w:pPr>
              <w:jc w:val="center"/>
            </w:pPr>
            <w:r>
              <w:rPr>
                <w:rFonts w:ascii="宋体" w:hAnsi="宋体" w:eastAsia="宋体"/>
                <w:sz w:val="16"/>
              </w:rPr>
              <w:t>得分</w:t>
            </w:r>
          </w:p>
        </w:tc>
      </w:tr>
      <w:tr w14:paraId="6BFB54E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2470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A472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456AF">
            <w:pPr>
              <w:jc w:val="center"/>
            </w:pPr>
            <w:r>
              <w:rPr>
                <w:rFonts w:ascii="宋体" w:hAnsi="宋体" w:eastAsia="宋体"/>
                <w:sz w:val="16"/>
              </w:rPr>
              <w:t>开展“资产清查”行动次数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5E090">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1D06E">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21F9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EC22B">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3CD6F">
            <w:pPr>
              <w:jc w:val="center"/>
            </w:pPr>
            <w:r>
              <w:rPr>
                <w:rFonts w:ascii="宋体" w:hAnsi="宋体" w:eastAsia="宋体"/>
                <w:sz w:val="16"/>
              </w:rPr>
              <w:t>10</w:t>
            </w:r>
          </w:p>
        </w:tc>
      </w:tr>
      <w:tr w14:paraId="0407BC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6BDB4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63BB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0798F">
            <w:pPr>
              <w:jc w:val="center"/>
            </w:pPr>
            <w:r>
              <w:rPr>
                <w:rFonts w:ascii="宋体" w:hAnsi="宋体" w:eastAsia="宋体"/>
                <w:sz w:val="16"/>
              </w:rPr>
              <w:t>综合治理村居数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72780">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0D1DC">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E025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9FF15">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892B2">
            <w:pPr>
              <w:jc w:val="center"/>
            </w:pPr>
            <w:r>
              <w:rPr>
                <w:rFonts w:ascii="宋体" w:hAnsi="宋体" w:eastAsia="宋体"/>
                <w:sz w:val="16"/>
              </w:rPr>
              <w:t>10</w:t>
            </w:r>
          </w:p>
        </w:tc>
      </w:tr>
      <w:tr w14:paraId="1AA9B9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09FF6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580E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DE3FF">
            <w:pPr>
              <w:jc w:val="center"/>
            </w:pPr>
            <w:r>
              <w:rPr>
                <w:rFonts w:ascii="宋体" w:hAnsi="宋体" w:eastAsia="宋体"/>
                <w:sz w:val="16"/>
              </w:rPr>
              <w:t>发放</w:t>
            </w:r>
            <w:r>
              <w:rPr>
                <w:rFonts w:hint="eastAsia" w:ascii="宋体" w:hAnsi="宋体"/>
                <w:sz w:val="16"/>
                <w:lang w:eastAsia="zh-CN"/>
              </w:rPr>
              <w:t>惠民</w:t>
            </w:r>
            <w:r>
              <w:rPr>
                <w:rFonts w:ascii="宋体" w:hAnsi="宋体" w:eastAsia="宋体"/>
                <w:sz w:val="16"/>
              </w:rPr>
              <w:t>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528FF">
            <w:pPr>
              <w:jc w:val="center"/>
            </w:pPr>
            <w:r>
              <w:rPr>
                <w:rFonts w:ascii="宋体" w:hAnsi="宋体" w:eastAsia="宋体"/>
                <w:sz w:val="16"/>
              </w:rPr>
              <w:t>=21500人次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B7C17">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CB7D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D5B60">
            <w:pPr>
              <w:jc w:val="center"/>
            </w:pPr>
            <w:r>
              <w:rPr>
                <w:rFonts w:ascii="宋体" w:hAnsi="宋体" w:eastAsia="宋体"/>
                <w:sz w:val="16"/>
              </w:rPr>
              <w:t>21652人次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222CB">
            <w:pPr>
              <w:jc w:val="center"/>
            </w:pPr>
            <w:r>
              <w:rPr>
                <w:rFonts w:ascii="宋体" w:hAnsi="宋体" w:eastAsia="宋体"/>
                <w:sz w:val="16"/>
              </w:rPr>
              <w:t>10</w:t>
            </w:r>
          </w:p>
        </w:tc>
      </w:tr>
      <w:tr w14:paraId="3CC584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0131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E72B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91869">
            <w:pPr>
              <w:jc w:val="center"/>
            </w:pPr>
            <w:r>
              <w:rPr>
                <w:rFonts w:ascii="宋体" w:hAnsi="宋体" w:eastAsia="宋体"/>
                <w:sz w:val="16"/>
              </w:rPr>
              <w:t>提供富余劳动力就业岗位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26987">
            <w:pPr>
              <w:jc w:val="center"/>
            </w:pPr>
            <w:r>
              <w:rPr>
                <w:rFonts w:ascii="宋体" w:hAnsi="宋体" w:eastAsia="宋体"/>
                <w:sz w:val="16"/>
              </w:rPr>
              <w:t>&gt;=1500个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C2497">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9226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38AEF">
            <w:pPr>
              <w:jc w:val="center"/>
            </w:pPr>
            <w:r>
              <w:rPr>
                <w:rFonts w:ascii="宋体" w:hAnsi="宋体" w:eastAsia="宋体"/>
                <w:sz w:val="16"/>
              </w:rPr>
              <w:t>1500个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05F00">
            <w:pPr>
              <w:jc w:val="center"/>
            </w:pPr>
            <w:r>
              <w:rPr>
                <w:rFonts w:ascii="宋体" w:hAnsi="宋体" w:eastAsia="宋体"/>
                <w:sz w:val="16"/>
              </w:rPr>
              <w:t>10</w:t>
            </w:r>
          </w:p>
        </w:tc>
      </w:tr>
      <w:tr w14:paraId="0AED9F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FD5E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37A9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4044E">
            <w:pPr>
              <w:jc w:val="center"/>
            </w:pPr>
            <w:r>
              <w:rPr>
                <w:rFonts w:ascii="宋体" w:hAnsi="宋体" w:eastAsia="宋体"/>
                <w:sz w:val="16"/>
              </w:rPr>
              <w:t>农民农业技术就业培训场次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09FEA">
            <w:pPr>
              <w:jc w:val="center"/>
            </w:pPr>
            <w:r>
              <w:rPr>
                <w:rFonts w:ascii="宋体" w:hAnsi="宋体" w:eastAsia="宋体"/>
                <w:sz w:val="16"/>
              </w:rPr>
              <w:t>&gt;=30次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4762D">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98B0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9BF98">
            <w:pPr>
              <w:jc w:val="center"/>
            </w:pPr>
            <w:r>
              <w:rPr>
                <w:rFonts w:ascii="宋体" w:hAnsi="宋体" w:eastAsia="宋体"/>
                <w:sz w:val="16"/>
              </w:rPr>
              <w: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42F8C">
            <w:pPr>
              <w:jc w:val="center"/>
            </w:pPr>
            <w:r>
              <w:rPr>
                <w:rFonts w:ascii="宋体" w:hAnsi="宋体" w:eastAsia="宋体"/>
                <w:sz w:val="16"/>
              </w:rPr>
              <w:t>10</w:t>
            </w:r>
          </w:p>
        </w:tc>
      </w:tr>
      <w:tr w14:paraId="49473C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EBEFE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3C63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7529D">
            <w:pPr>
              <w:jc w:val="center"/>
            </w:pPr>
            <w:r>
              <w:rPr>
                <w:rFonts w:ascii="宋体" w:hAnsi="宋体" w:eastAsia="宋体"/>
                <w:sz w:val="16"/>
              </w:rPr>
              <w:t>开展志愿者活动次数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76E49">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A0B3A">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D1C1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F51D1">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18B6C">
            <w:pPr>
              <w:jc w:val="center"/>
            </w:pPr>
            <w:r>
              <w:rPr>
                <w:rFonts w:ascii="宋体" w:hAnsi="宋体" w:eastAsia="宋体"/>
                <w:sz w:val="16"/>
              </w:rPr>
              <w:t>10</w:t>
            </w:r>
          </w:p>
        </w:tc>
      </w:tr>
      <w:tr w14:paraId="5051C9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C0187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F46B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3605D">
            <w:pPr>
              <w:jc w:val="center"/>
            </w:pPr>
            <w:r>
              <w:rPr>
                <w:rFonts w:ascii="宋体" w:hAnsi="宋体" w:eastAsia="宋体"/>
                <w:sz w:val="16"/>
              </w:rPr>
              <w:t>开展安全隐患排查和整治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E7A5B">
            <w:pPr>
              <w:jc w:val="center"/>
            </w:pPr>
            <w:r>
              <w:rPr>
                <w:rFonts w:ascii="宋体" w:hAnsi="宋体" w:eastAsia="宋体"/>
                <w:sz w:val="16"/>
              </w:rPr>
              <w:t>&gt;=24次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D5526">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3FA6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39475">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F5254">
            <w:pPr>
              <w:jc w:val="center"/>
            </w:pPr>
            <w:r>
              <w:rPr>
                <w:rFonts w:ascii="宋体" w:hAnsi="宋体" w:eastAsia="宋体"/>
                <w:sz w:val="16"/>
              </w:rPr>
              <w:t>10</w:t>
            </w:r>
          </w:p>
        </w:tc>
      </w:tr>
      <w:tr w14:paraId="0C13B8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1EB6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D125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07F95">
            <w:pPr>
              <w:jc w:val="center"/>
            </w:pPr>
            <w:r>
              <w:rPr>
                <w:rFonts w:ascii="宋体" w:hAnsi="宋体" w:eastAsia="宋体"/>
                <w:sz w:val="16"/>
              </w:rPr>
              <w:t>返贫动态监测次数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F18F6">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CF987">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7C5B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E4B3E">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CCAEE">
            <w:pPr>
              <w:jc w:val="center"/>
            </w:pPr>
            <w:r>
              <w:rPr>
                <w:rFonts w:ascii="宋体" w:hAnsi="宋体" w:eastAsia="宋体"/>
                <w:sz w:val="16"/>
              </w:rPr>
              <w:t>10</w:t>
            </w:r>
          </w:p>
        </w:tc>
      </w:tr>
      <w:tr w14:paraId="7C46AD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4EC5E">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953C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DFB63">
            <w:pPr>
              <w:jc w:val="center"/>
            </w:pPr>
            <w:r>
              <w:rPr>
                <w:rFonts w:ascii="宋体" w:hAnsi="宋体" w:eastAsia="宋体"/>
                <w:sz w:val="16"/>
              </w:rPr>
              <w:t>群众困难诉求解决率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B8B4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DB6D2">
            <w:pPr>
              <w:jc w:val="center"/>
            </w:pPr>
            <w:r>
              <w:rPr>
                <w:rFonts w:ascii="宋体" w:hAnsi="宋体" w:eastAsia="宋体"/>
                <w:sz w:val="16"/>
              </w:rPr>
              <w:t>轮台县阳霞镇人民政府2024年工作计划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B8C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4FEE9">
            <w:pPr>
              <w:jc w:val="center"/>
            </w:pPr>
            <w:r>
              <w:rPr>
                <w:rFonts w:ascii="宋体" w:hAnsi="宋体" w:eastAsia="宋体"/>
                <w:sz w:val="16"/>
              </w:rPr>
              <w:t>99.49%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D2C2C">
            <w:pPr>
              <w:jc w:val="center"/>
            </w:pPr>
            <w:r>
              <w:rPr>
                <w:rFonts w:ascii="宋体" w:hAnsi="宋体" w:eastAsia="宋体"/>
                <w:sz w:val="16"/>
              </w:rPr>
              <w:t>10</w:t>
            </w:r>
          </w:p>
        </w:tc>
      </w:tr>
    </w:tbl>
    <w:p w14:paraId="1F9EA284">
      <w:r>
        <w:br w:type="page"/>
      </w:r>
    </w:p>
    <w:tbl>
      <w:tblPr>
        <w:tblStyle w:val="9"/>
        <w:tblW w:w="9239" w:type="dxa"/>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gridCol w:w="179"/>
      </w:tblGrid>
      <w:tr w14:paraId="64D9ACFE">
        <w:tblPrEx>
          <w:tblCellMar>
            <w:top w:w="0" w:type="dxa"/>
            <w:left w:w="108" w:type="dxa"/>
            <w:bottom w:w="0" w:type="dxa"/>
            <w:right w:w="108" w:type="dxa"/>
          </w:tblCellMar>
        </w:tblPrEx>
        <w:tc>
          <w:tcPr>
            <w:tcW w:w="9239" w:type="dxa"/>
            <w:gridSpan w:val="15"/>
            <w:vAlign w:val="center"/>
          </w:tcPr>
          <w:p w14:paraId="15C87A2C">
            <w:pPr>
              <w:jc w:val="center"/>
            </w:pPr>
            <w:r>
              <w:rPr>
                <w:rFonts w:ascii="宋体" w:hAnsi="宋体" w:eastAsia="宋体"/>
                <w:sz w:val="24"/>
              </w:rPr>
              <w:t>项目支出绩效自评表</w:t>
            </w:r>
          </w:p>
        </w:tc>
      </w:tr>
      <w:tr w14:paraId="52A12FFA">
        <w:tblPrEx>
          <w:tblCellMar>
            <w:top w:w="0" w:type="dxa"/>
            <w:left w:w="108" w:type="dxa"/>
            <w:bottom w:w="0" w:type="dxa"/>
            <w:right w:w="108" w:type="dxa"/>
          </w:tblCellMar>
        </w:tblPrEx>
        <w:tc>
          <w:tcPr>
            <w:tcW w:w="9239" w:type="dxa"/>
            <w:gridSpan w:val="15"/>
            <w:vAlign w:val="center"/>
          </w:tcPr>
          <w:p w14:paraId="01B665CB">
            <w:pPr>
              <w:jc w:val="center"/>
            </w:pPr>
            <w:r>
              <w:rPr>
                <w:rFonts w:ascii="宋体" w:hAnsi="宋体" w:eastAsia="宋体"/>
                <w:sz w:val="24"/>
              </w:rPr>
              <w:t>(2024年度)</w:t>
            </w:r>
          </w:p>
        </w:tc>
      </w:tr>
      <w:tr w14:paraId="23569447">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E0D1BEF">
            <w:pPr>
              <w:jc w:val="center"/>
            </w:pPr>
            <w:r>
              <w:rPr>
                <w:rFonts w:ascii="宋体" w:hAnsi="宋体" w:eastAsia="宋体"/>
                <w:sz w:val="16"/>
              </w:rPr>
              <w:t>项目名称</w:t>
            </w:r>
          </w:p>
        </w:tc>
        <w:tc>
          <w:tcPr>
            <w:tcW w:w="861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A438B8B">
            <w:pPr>
              <w:jc w:val="center"/>
            </w:pPr>
            <w:r>
              <w:rPr>
                <w:rFonts w:ascii="宋体" w:hAnsi="宋体" w:eastAsia="宋体"/>
                <w:sz w:val="16"/>
              </w:rPr>
              <w:t>阳霞镇巴财建</w:t>
            </w:r>
            <w:r>
              <w:rPr>
                <w:rFonts w:hint="eastAsia" w:ascii="宋体" w:hAnsi="宋体"/>
                <w:sz w:val="16"/>
                <w:lang w:eastAsia="zh-CN"/>
              </w:rPr>
              <w:t>〔2023〕66号</w:t>
            </w:r>
            <w:r>
              <w:rPr>
                <w:rFonts w:ascii="宋体" w:hAnsi="宋体" w:eastAsia="宋体"/>
                <w:sz w:val="16"/>
              </w:rPr>
              <w:t>2023年新疆专项[第一批]中央基建投资预算（巴州轮台县阳霞镇2023年村民服务中心建设项目）</w:t>
            </w:r>
          </w:p>
        </w:tc>
      </w:tr>
      <w:tr w14:paraId="21E9BC13">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7A7B0DA">
            <w:pPr>
              <w:jc w:val="center"/>
            </w:pPr>
            <w:r>
              <w:rPr>
                <w:rFonts w:ascii="宋体" w:hAnsi="宋体" w:eastAsia="宋体"/>
                <w:sz w:val="16"/>
              </w:rPr>
              <w:t>主管部门</w:t>
            </w:r>
          </w:p>
        </w:tc>
        <w:tc>
          <w:tcPr>
            <w:tcW w:w="45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A905B">
            <w:pPr>
              <w:jc w:val="center"/>
            </w:pPr>
            <w:r>
              <w:rPr>
                <w:rFonts w:ascii="宋体" w:hAnsi="宋体" w:eastAsia="宋体"/>
                <w:sz w:val="16"/>
              </w:rPr>
              <w:t>新疆轮台县阳霞镇人民政府</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BF38F5B">
            <w:pPr>
              <w:jc w:val="center"/>
            </w:pPr>
            <w:r>
              <w:rPr>
                <w:rFonts w:ascii="宋体" w:hAnsi="宋体" w:eastAsia="宋体"/>
                <w:sz w:val="16"/>
              </w:rPr>
              <w:t>实施单位</w:t>
            </w:r>
          </w:p>
        </w:tc>
        <w:tc>
          <w:tcPr>
            <w:tcW w:w="35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999BC9">
            <w:pPr>
              <w:jc w:val="center"/>
            </w:pPr>
            <w:r>
              <w:rPr>
                <w:rFonts w:ascii="宋体" w:hAnsi="宋体" w:eastAsia="宋体"/>
                <w:sz w:val="16"/>
              </w:rPr>
              <w:t>轮台县阳霞镇人民政府</w:t>
            </w:r>
          </w:p>
        </w:tc>
      </w:tr>
      <w:tr w14:paraId="5E9B39F7">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5A3F93CE"/>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AE435">
            <w:pPr>
              <w:jc w:val="center"/>
            </w:pPr>
          </w:p>
        </w:tc>
        <w:tc>
          <w:tcPr>
            <w:tcW w:w="14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6164">
            <w:pPr>
              <w:jc w:val="center"/>
            </w:pPr>
            <w:r>
              <w:rPr>
                <w:rFonts w:ascii="宋体" w:hAnsi="宋体" w:eastAsia="宋体"/>
                <w:sz w:val="16"/>
              </w:rPr>
              <w:t>年初预算数</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D7605">
            <w:pPr>
              <w:jc w:val="center"/>
            </w:pPr>
            <w:r>
              <w:rPr>
                <w:rFonts w:ascii="宋体" w:hAnsi="宋体" w:eastAsia="宋体"/>
                <w:sz w:val="16"/>
              </w:rPr>
              <w:t>全年预算数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1D065">
            <w:pPr>
              <w:jc w:val="center"/>
            </w:pPr>
            <w:r>
              <w:rPr>
                <w:rFonts w:ascii="宋体" w:hAnsi="宋体" w:eastAsia="宋体"/>
                <w:sz w:val="16"/>
              </w:rPr>
              <w:t>全年执行数</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E7D2">
            <w:pPr>
              <w:jc w:val="center"/>
            </w:pPr>
            <w:r>
              <w:rPr>
                <w:rFonts w:ascii="宋体" w:hAnsi="宋体" w:eastAsia="宋体"/>
                <w:sz w:val="16"/>
              </w:rPr>
              <w:t>分值权重</w:t>
            </w:r>
          </w:p>
        </w:tc>
        <w:tc>
          <w:tcPr>
            <w:tcW w:w="13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E375">
            <w:pPr>
              <w:jc w:val="center"/>
            </w:pPr>
            <w:r>
              <w:rPr>
                <w:rFonts w:ascii="宋体" w:hAnsi="宋体" w:eastAsia="宋体"/>
                <w:sz w:val="16"/>
              </w:rPr>
              <w:t>执行率</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A6502">
            <w:pPr>
              <w:jc w:val="center"/>
            </w:pPr>
            <w:r>
              <w:rPr>
                <w:rFonts w:ascii="宋体" w:hAnsi="宋体" w:eastAsia="宋体"/>
                <w:sz w:val="16"/>
              </w:rPr>
              <w:t>得分</w:t>
            </w:r>
          </w:p>
        </w:tc>
      </w:tr>
      <w:tr w14:paraId="5AFABB1B">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533AC">
            <w:pPr>
              <w:jc w:val="center"/>
            </w:pPr>
            <w:r>
              <w:rPr>
                <w:rFonts w:ascii="宋体" w:hAnsi="宋体" w:eastAsia="宋体"/>
                <w:sz w:val="16"/>
              </w:rPr>
              <w:t>项目资金 （万元）</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28BC">
            <w:pPr>
              <w:jc w:val="center"/>
            </w:pPr>
            <w:r>
              <w:rPr>
                <w:rFonts w:ascii="宋体" w:hAnsi="宋体" w:eastAsia="宋体"/>
                <w:sz w:val="16"/>
              </w:rPr>
              <w:t>年度资金总额</w:t>
            </w:r>
          </w:p>
        </w:tc>
        <w:tc>
          <w:tcPr>
            <w:tcW w:w="14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84578">
            <w:pPr>
              <w:jc w:val="center"/>
            </w:pPr>
            <w:r>
              <w:rPr>
                <w:rFonts w:ascii="宋体" w:hAnsi="宋体" w:eastAsia="宋体"/>
                <w:sz w:val="16"/>
              </w:rPr>
              <w:t>523.51</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ECF60">
            <w:pPr>
              <w:jc w:val="center"/>
            </w:pPr>
            <w:r>
              <w:rPr>
                <w:rFonts w:ascii="宋体" w:hAnsi="宋体" w:eastAsia="宋体"/>
                <w:sz w:val="16"/>
              </w:rPr>
              <w:t>523.51</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46268">
            <w:pPr>
              <w:jc w:val="center"/>
            </w:pPr>
            <w:r>
              <w:rPr>
                <w:rFonts w:ascii="宋体" w:hAnsi="宋体" w:eastAsia="宋体"/>
                <w:sz w:val="16"/>
              </w:rPr>
              <w:t>523.51</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0071B">
            <w:pPr>
              <w:jc w:val="center"/>
            </w:pPr>
            <w:r>
              <w:rPr>
                <w:rFonts w:ascii="宋体" w:hAnsi="宋体" w:eastAsia="宋体"/>
                <w:sz w:val="16"/>
              </w:rPr>
              <w:t>10</w:t>
            </w:r>
          </w:p>
        </w:tc>
        <w:tc>
          <w:tcPr>
            <w:tcW w:w="13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C7E92">
            <w:pPr>
              <w:jc w:val="center"/>
            </w:pPr>
            <w:r>
              <w:rPr>
                <w:rFonts w:ascii="宋体" w:hAnsi="宋体" w:eastAsia="宋体"/>
                <w:sz w:val="16"/>
              </w:rPr>
              <w:t>100.00%</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093B5">
            <w:pPr>
              <w:jc w:val="center"/>
            </w:pPr>
            <w:r>
              <w:rPr>
                <w:rFonts w:ascii="宋体" w:hAnsi="宋体" w:eastAsia="宋体"/>
                <w:sz w:val="16"/>
              </w:rPr>
              <w:t>10.00</w:t>
            </w:r>
          </w:p>
        </w:tc>
      </w:tr>
      <w:tr w14:paraId="0F4F668C">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8F2128F"/>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B2F2D">
            <w:pPr>
              <w:jc w:val="center"/>
            </w:pPr>
            <w:r>
              <w:rPr>
                <w:rFonts w:ascii="宋体" w:hAnsi="宋体" w:eastAsia="宋体"/>
                <w:sz w:val="16"/>
              </w:rPr>
              <w:t>其中：当年财政拨款</w:t>
            </w:r>
          </w:p>
        </w:tc>
        <w:tc>
          <w:tcPr>
            <w:tcW w:w="14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3881C">
            <w:pPr>
              <w:jc w:val="center"/>
            </w:pPr>
            <w:r>
              <w:rPr>
                <w:rFonts w:ascii="宋体" w:hAnsi="宋体" w:eastAsia="宋体"/>
                <w:sz w:val="16"/>
              </w:rPr>
              <w:t>523.51</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5FF93">
            <w:pPr>
              <w:jc w:val="center"/>
            </w:pPr>
            <w:r>
              <w:rPr>
                <w:rFonts w:ascii="宋体" w:hAnsi="宋体" w:eastAsia="宋体"/>
                <w:sz w:val="16"/>
              </w:rPr>
              <w:t>523.51</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3E87A">
            <w:pPr>
              <w:jc w:val="center"/>
            </w:pPr>
            <w:r>
              <w:rPr>
                <w:rFonts w:ascii="宋体" w:hAnsi="宋体" w:eastAsia="宋体"/>
                <w:sz w:val="16"/>
              </w:rPr>
              <w:t>523.51</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9F965">
            <w:pPr>
              <w:jc w:val="center"/>
            </w:pPr>
            <w:r>
              <w:rPr>
                <w:rFonts w:ascii="宋体" w:hAnsi="宋体" w:eastAsia="宋体"/>
                <w:sz w:val="16"/>
              </w:rPr>
              <w:t>-</w:t>
            </w:r>
          </w:p>
        </w:tc>
        <w:tc>
          <w:tcPr>
            <w:tcW w:w="13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E243">
            <w:pPr>
              <w:jc w:val="center"/>
            </w:pPr>
            <w:r>
              <w:rPr>
                <w:rFonts w:ascii="宋体" w:hAnsi="宋体" w:eastAsia="宋体"/>
                <w:sz w:val="16"/>
              </w:rPr>
              <w:t>-</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7AEE6">
            <w:pPr>
              <w:jc w:val="center"/>
            </w:pPr>
            <w:r>
              <w:rPr>
                <w:rFonts w:ascii="宋体" w:hAnsi="宋体" w:eastAsia="宋体"/>
                <w:sz w:val="16"/>
              </w:rPr>
              <w:t>-</w:t>
            </w:r>
          </w:p>
        </w:tc>
      </w:tr>
      <w:tr w14:paraId="3772B57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6B8C3C6"/>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55ED0">
            <w:pPr>
              <w:jc w:val="center"/>
            </w:pPr>
            <w:r>
              <w:rPr>
                <w:rFonts w:ascii="宋体" w:hAnsi="宋体" w:eastAsia="宋体"/>
                <w:sz w:val="16"/>
              </w:rPr>
              <w:t>其他资金</w:t>
            </w:r>
          </w:p>
        </w:tc>
        <w:tc>
          <w:tcPr>
            <w:tcW w:w="14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53EF0">
            <w:pPr>
              <w:jc w:val="center"/>
            </w:pPr>
            <w:r>
              <w:rPr>
                <w:rFonts w:ascii="宋体" w:hAnsi="宋体" w:eastAsia="宋体"/>
                <w:sz w:val="16"/>
              </w:rPr>
              <w:t>0.00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2E5B7">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ED21D">
            <w:pPr>
              <w:jc w:val="center"/>
            </w:pPr>
            <w:r>
              <w:rPr>
                <w:rFonts w:ascii="宋体" w:hAnsi="宋体" w:eastAsia="宋体"/>
                <w:sz w:val="16"/>
              </w:rPr>
              <w:t>0.00</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CBD98">
            <w:pPr>
              <w:jc w:val="center"/>
            </w:pPr>
            <w:r>
              <w:rPr>
                <w:rFonts w:ascii="宋体" w:hAnsi="宋体" w:eastAsia="宋体"/>
                <w:sz w:val="16"/>
              </w:rPr>
              <w:t>-</w:t>
            </w:r>
          </w:p>
        </w:tc>
        <w:tc>
          <w:tcPr>
            <w:tcW w:w="13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7A123">
            <w:pPr>
              <w:jc w:val="center"/>
            </w:pPr>
            <w:r>
              <w:rPr>
                <w:rFonts w:ascii="宋体" w:hAnsi="宋体" w:eastAsia="宋体"/>
                <w:sz w:val="16"/>
              </w:rPr>
              <w:t>-</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FDADA">
            <w:pPr>
              <w:jc w:val="center"/>
            </w:pPr>
            <w:r>
              <w:rPr>
                <w:rFonts w:ascii="宋体" w:hAnsi="宋体" w:eastAsia="宋体"/>
                <w:sz w:val="16"/>
              </w:rPr>
              <w:t>-</w:t>
            </w:r>
          </w:p>
        </w:tc>
      </w:tr>
      <w:tr w14:paraId="3A0DE30F">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D27D9">
            <w:pPr>
              <w:jc w:val="center"/>
            </w:pPr>
            <w:r>
              <w:rPr>
                <w:rFonts w:ascii="宋体" w:hAnsi="宋体" w:eastAsia="宋体"/>
                <w:sz w:val="16"/>
              </w:rPr>
              <w:t>年度总体目标</w:t>
            </w:r>
          </w:p>
        </w:tc>
        <w:tc>
          <w:tcPr>
            <w:tcW w:w="45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60DF2">
            <w:pPr>
              <w:jc w:val="center"/>
            </w:pPr>
            <w:r>
              <w:rPr>
                <w:rFonts w:ascii="宋体" w:hAnsi="宋体" w:eastAsia="宋体"/>
                <w:sz w:val="16"/>
              </w:rPr>
              <w:t>总体目标</w:t>
            </w:r>
          </w:p>
        </w:tc>
        <w:tc>
          <w:tcPr>
            <w:tcW w:w="41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EBFA8">
            <w:pPr>
              <w:jc w:val="center"/>
            </w:pPr>
            <w:r>
              <w:rPr>
                <w:rFonts w:ascii="宋体" w:hAnsi="宋体" w:eastAsia="宋体"/>
                <w:sz w:val="16"/>
              </w:rPr>
              <w:t>总体目标完成情况</w:t>
            </w:r>
          </w:p>
        </w:tc>
      </w:tr>
      <w:tr w14:paraId="619B444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4A5EF11"/>
        </w:tc>
        <w:tc>
          <w:tcPr>
            <w:tcW w:w="45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9EE27E">
            <w:pPr>
              <w:jc w:val="both"/>
            </w:pPr>
            <w:r>
              <w:rPr>
                <w:rFonts w:ascii="宋体" w:hAnsi="宋体" w:eastAsia="宋体"/>
                <w:sz w:val="16"/>
              </w:rPr>
              <w:t>贯彻落实中央深入贯彻乡村振兴战略，提升乡镇公共服务水平，改善村民办事与活动环境，加强基层治理能力的精神以及阳霞镇</w:t>
            </w:r>
            <w:r>
              <w:rPr>
                <w:rFonts w:hint="eastAsia" w:ascii="宋体" w:hAnsi="宋体"/>
                <w:sz w:val="16"/>
                <w:lang w:eastAsia="zh-CN"/>
              </w:rPr>
              <w:t>关于</w:t>
            </w:r>
            <w:r>
              <w:rPr>
                <w:rFonts w:ascii="宋体" w:hAnsi="宋体" w:eastAsia="宋体"/>
                <w:sz w:val="16"/>
              </w:rPr>
              <w:t>改善辖区各村村民服务环境，提高公共服务水平的相关要求，通过阳霞镇2023年村民服务中心项目建设，改善村民服务环境，提高公共服务水平，促进乡村发展和社会和谐稳定，推动乡村治理现代化，提升村民满意度。</w:t>
            </w:r>
            <w:r>
              <w:rPr>
                <w:rFonts w:ascii="宋体" w:hAnsi="宋体" w:eastAsia="宋体"/>
                <w:sz w:val="16"/>
              </w:rPr>
              <w:br w:type="textWrapping"/>
            </w:r>
            <w:r>
              <w:rPr>
                <w:rFonts w:ascii="宋体" w:hAnsi="宋体" w:eastAsia="宋体"/>
                <w:sz w:val="16"/>
              </w:rPr>
              <w:t>目标1：在阳霞</w:t>
            </w:r>
            <w:r>
              <w:rPr>
                <w:rFonts w:hint="eastAsia" w:ascii="宋体" w:hAnsi="宋体"/>
                <w:sz w:val="16"/>
                <w:lang w:eastAsia="zh-CN"/>
              </w:rPr>
              <w:t>镇</w:t>
            </w:r>
            <w:r>
              <w:rPr>
                <w:rFonts w:ascii="宋体" w:hAnsi="宋体" w:eastAsia="宋体"/>
                <w:sz w:val="16"/>
              </w:rPr>
              <w:t>建设1个总建筑面积为2100平方米的村民服务中心，进一步改善村民服务环境，提高公共服务水平，促进乡村发展和社会和谐稳定，推动乡村治理现代化，提升村民满意度。</w:t>
            </w:r>
          </w:p>
        </w:tc>
        <w:tc>
          <w:tcPr>
            <w:tcW w:w="41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3BB7E">
            <w:pPr>
              <w:jc w:val="both"/>
            </w:pPr>
            <w:r>
              <w:rPr>
                <w:rFonts w:hint="eastAsia" w:ascii="宋体" w:hAnsi="宋体"/>
                <w:sz w:val="16"/>
                <w:lang w:eastAsia="zh-CN"/>
              </w:rPr>
              <w:t>本单位</w:t>
            </w:r>
            <w:r>
              <w:rPr>
                <w:rFonts w:ascii="宋体" w:hAnsi="宋体" w:eastAsia="宋体"/>
                <w:sz w:val="16"/>
              </w:rPr>
              <w:t>严格贯彻落实中央深入贯彻乡村振兴战略，提升乡镇公共服务水平，改善村民办事与活动环境，加强基层治理能力的精神以及阳霞镇</w:t>
            </w:r>
            <w:r>
              <w:rPr>
                <w:rFonts w:hint="eastAsia" w:ascii="宋体" w:hAnsi="宋体"/>
                <w:sz w:val="16"/>
                <w:lang w:eastAsia="zh-CN"/>
              </w:rPr>
              <w:t>关于</w:t>
            </w:r>
            <w:r>
              <w:rPr>
                <w:rFonts w:ascii="宋体" w:hAnsi="宋体" w:eastAsia="宋体"/>
                <w:sz w:val="16"/>
              </w:rPr>
              <w:t>改善辖区各村村民服务环境，提高公共服务水平的相关要求，已建设完成总建筑面积为2100平方米的村民服务中心1个，通过建设村民服务中心项目，改善了村民服务环境，提高了公共服务水平，促进了乡村发展和社会和谐稳定，推动了乡村治理现代化，提升了村民满意度。</w:t>
            </w:r>
          </w:p>
        </w:tc>
      </w:tr>
      <w:tr w14:paraId="00026C52">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1CC2A859"/>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563FAF7">
            <w:pPr>
              <w:jc w:val="center"/>
            </w:pPr>
            <w:r>
              <w:rPr>
                <w:rFonts w:ascii="宋体" w:hAnsi="宋体" w:eastAsia="宋体"/>
                <w:sz w:val="16"/>
              </w:rPr>
              <w:t>一级指标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B7528B1">
            <w:pPr>
              <w:jc w:val="center"/>
            </w:pPr>
            <w:r>
              <w:rPr>
                <w:rFonts w:ascii="宋体" w:hAnsi="宋体" w:eastAsia="宋体"/>
                <w:sz w:val="16"/>
              </w:rPr>
              <w:t>二级指标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345BBC1">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A2FEC3E">
            <w:pPr>
              <w:jc w:val="center"/>
            </w:pPr>
            <w:r>
              <w:rPr>
                <w:rFonts w:ascii="宋体" w:hAnsi="宋体" w:eastAsia="宋体"/>
                <w:sz w:val="16"/>
              </w:rPr>
              <w:t>指标值</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B4BB749">
            <w:pPr>
              <w:jc w:val="center"/>
            </w:pPr>
            <w:r>
              <w:rPr>
                <w:rFonts w:ascii="宋体" w:hAnsi="宋体" w:eastAsia="宋体"/>
                <w:sz w:val="16"/>
              </w:rPr>
              <w:t>指标值设定依据</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C3B264B">
            <w:pPr>
              <w:jc w:val="center"/>
            </w:pPr>
            <w:r>
              <w:rPr>
                <w:rFonts w:ascii="宋体" w:hAnsi="宋体" w:eastAsia="宋体"/>
                <w:sz w:val="16"/>
              </w:rPr>
              <w:t>上年完成值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24E176A">
            <w:pPr>
              <w:jc w:val="center"/>
            </w:pPr>
            <w:r>
              <w:rPr>
                <w:rFonts w:ascii="宋体" w:hAnsi="宋体" w:eastAsia="宋体"/>
                <w:sz w:val="16"/>
              </w:rPr>
              <w:t>指标分值权重</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859F08A">
            <w:pPr>
              <w:jc w:val="center"/>
            </w:pPr>
            <w:r>
              <w:rPr>
                <w:rFonts w:ascii="宋体" w:hAnsi="宋体" w:eastAsia="宋体"/>
                <w:sz w:val="16"/>
              </w:rPr>
              <w:t>指标赋分规则</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E64207B">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1FEB97">
            <w:pPr>
              <w:jc w:val="center"/>
            </w:pPr>
            <w:r>
              <w:rPr>
                <w:rFonts w:ascii="宋体" w:hAnsi="宋体" w:eastAsia="宋体"/>
                <w:sz w:val="16"/>
              </w:rPr>
              <w:t>指标实际完成值</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E87ECCF">
            <w:pPr>
              <w:jc w:val="center"/>
            </w:pPr>
            <w:r>
              <w:rPr>
                <w:rFonts w:ascii="宋体" w:hAnsi="宋体" w:eastAsia="宋体"/>
                <w:sz w:val="16"/>
              </w:rPr>
              <w:t>完成率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AF90353">
            <w:pPr>
              <w:jc w:val="center"/>
            </w:pPr>
            <w:r>
              <w:rPr>
                <w:rFonts w:ascii="宋体" w:hAnsi="宋体" w:eastAsia="宋体"/>
                <w:sz w:val="16"/>
              </w:rPr>
              <w:t>指标得分</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5D63F">
            <w:pPr>
              <w:jc w:val="center"/>
            </w:pPr>
            <w:r>
              <w:rPr>
                <w:rFonts w:ascii="宋体" w:hAnsi="宋体" w:eastAsia="宋体"/>
                <w:sz w:val="16"/>
              </w:rPr>
              <w:t>偏差原因分析及改进措施</w:t>
            </w:r>
          </w:p>
        </w:tc>
      </w:tr>
      <w:tr w14:paraId="28BE55FD">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D1965">
            <w:pPr>
              <w:jc w:val="center"/>
            </w:pPr>
            <w:r>
              <w:rPr>
                <w:rFonts w:ascii="宋体" w:hAnsi="宋体" w:eastAsia="宋体"/>
                <w:sz w:val="16"/>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C792D">
            <w:pPr>
              <w:jc w:val="center"/>
            </w:pPr>
            <w:r>
              <w:rPr>
                <w:rFonts w:ascii="宋体" w:hAnsi="宋体" w:eastAsia="宋体"/>
                <w:sz w:val="16"/>
              </w:rPr>
              <w:t>产出指标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3B554">
            <w:pPr>
              <w:jc w:val="center"/>
            </w:pPr>
            <w:r>
              <w:rPr>
                <w:rFonts w:ascii="宋体" w:hAnsi="宋体" w:eastAsia="宋体"/>
                <w:sz w:val="16"/>
              </w:rPr>
              <w:t>数量指标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D7E6762">
            <w:pPr>
              <w:jc w:val="center"/>
            </w:pPr>
            <w:r>
              <w:rPr>
                <w:rFonts w:ascii="宋体" w:hAnsi="宋体" w:eastAsia="宋体"/>
                <w:sz w:val="16"/>
              </w:rPr>
              <w:t>新建村民服务中心数量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4A2D93B">
            <w:pPr>
              <w:jc w:val="center"/>
            </w:pPr>
            <w:r>
              <w:rPr>
                <w:rFonts w:ascii="宋体" w:hAnsi="宋体" w:eastAsia="宋体"/>
                <w:sz w:val="16"/>
              </w:rPr>
              <w:t>=1个</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047501F">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24E06FF">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6D707C3">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26F29AA">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3839FF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E4870E">
            <w:pPr>
              <w:jc w:val="center"/>
            </w:pPr>
            <w:r>
              <w:rPr>
                <w:rFonts w:ascii="宋体" w:hAnsi="宋体" w:eastAsia="宋体"/>
                <w:sz w:val="16"/>
              </w:rPr>
              <w:t>=1个</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99BE197">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5F77D0C">
            <w:pPr>
              <w:jc w:val="center"/>
            </w:pPr>
            <w:r>
              <w:rPr>
                <w:rFonts w:ascii="宋体" w:hAnsi="宋体" w:eastAsia="宋体"/>
                <w:sz w:val="16"/>
              </w:rPr>
              <w:t>6</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91A98">
            <w:pPr>
              <w:jc w:val="center"/>
            </w:pPr>
          </w:p>
        </w:tc>
      </w:tr>
      <w:tr w14:paraId="5900AB99">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44A1"/>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953EF8C"/>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F422538"/>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74A4A8E">
            <w:pPr>
              <w:jc w:val="center"/>
            </w:pPr>
            <w:r>
              <w:rPr>
                <w:rFonts w:ascii="宋体" w:hAnsi="宋体" w:eastAsia="宋体"/>
                <w:sz w:val="16"/>
              </w:rPr>
              <w:t>村民服务中心总建筑面积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70726C5">
            <w:pPr>
              <w:jc w:val="center"/>
            </w:pPr>
            <w:r>
              <w:rPr>
                <w:rFonts w:ascii="宋体" w:hAnsi="宋体" w:eastAsia="宋体"/>
                <w:sz w:val="16"/>
              </w:rPr>
              <w:t>=2100平方米</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2343101">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BD869E2">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0154BEF">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B7E92FF">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EDAAC4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11CE08">
            <w:pPr>
              <w:jc w:val="center"/>
            </w:pPr>
            <w:r>
              <w:rPr>
                <w:rFonts w:ascii="宋体" w:hAnsi="宋体" w:eastAsia="宋体"/>
                <w:sz w:val="16"/>
              </w:rPr>
              <w:t>=2100平方米</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4CF102E">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24630E3">
            <w:pPr>
              <w:jc w:val="center"/>
            </w:pPr>
            <w:r>
              <w:rPr>
                <w:rFonts w:ascii="宋体" w:hAnsi="宋体" w:eastAsia="宋体"/>
                <w:sz w:val="16"/>
              </w:rPr>
              <w:t>6</w:t>
            </w:r>
          </w:p>
        </w:tc>
        <w:tc>
          <w:tcPr>
            <w:tcW w:w="8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EE4DB">
            <w:pPr>
              <w:jc w:val="center"/>
            </w:pPr>
          </w:p>
        </w:tc>
      </w:tr>
      <w:tr w14:paraId="2AFDA9AA">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443295C"/>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471F699"/>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5C6E9">
            <w:pPr>
              <w:jc w:val="center"/>
            </w:pPr>
            <w:r>
              <w:rPr>
                <w:rFonts w:ascii="宋体" w:hAnsi="宋体" w:eastAsia="宋体"/>
                <w:sz w:val="16"/>
              </w:rPr>
              <w:t>质量指标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E142DF5">
            <w:pPr>
              <w:jc w:val="center"/>
            </w:pPr>
            <w:r>
              <w:rPr>
                <w:rFonts w:ascii="宋体" w:hAnsi="宋体" w:eastAsia="宋体"/>
                <w:sz w:val="16"/>
              </w:rPr>
              <w:t>项目设计变更率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F596AAB">
            <w:pPr>
              <w:jc w:val="center"/>
            </w:pPr>
            <w:r>
              <w:rPr>
                <w:rFonts w:ascii="宋体" w:hAnsi="宋体" w:eastAsia="宋体"/>
                <w:sz w:val="16"/>
              </w:rPr>
              <w:t>&lt;=5%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90CCF6D">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5233319">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7A608BC">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839A6D9">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3DB1C4E">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A24CB2">
            <w:pPr>
              <w:jc w:val="center"/>
            </w:pPr>
            <w:r>
              <w:rPr>
                <w:rFonts w:ascii="宋体" w:hAnsi="宋体" w:eastAsia="宋体"/>
                <w:sz w:val="16"/>
              </w:rPr>
              <w:t>=0%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D7CC4F0">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0931AFD">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2E5F5DF">
            <w:pPr>
              <w:jc w:val="center"/>
            </w:pPr>
          </w:p>
        </w:tc>
      </w:tr>
      <w:tr w14:paraId="0836E456">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D0FD941"/>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2EBDC93"/>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F82315B"/>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26DB3D2">
            <w:pPr>
              <w:jc w:val="center"/>
            </w:pPr>
            <w:r>
              <w:rPr>
                <w:rFonts w:ascii="宋体" w:hAnsi="宋体" w:eastAsia="宋体"/>
                <w:sz w:val="16"/>
              </w:rPr>
              <w:t>工程验收合格率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3FF95DA">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EC21251">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28F8E2A">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07B3351">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F7D8A35">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453460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C82738">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3F66534">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02095FA">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CC704F">
            <w:pPr>
              <w:jc w:val="center"/>
            </w:pPr>
          </w:p>
        </w:tc>
      </w:tr>
      <w:tr w14:paraId="061C85B9">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928FEE8"/>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3B64CFDE"/>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76F2D8D"/>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10E8AB5">
            <w:pPr>
              <w:jc w:val="center"/>
            </w:pPr>
            <w:r>
              <w:rPr>
                <w:rFonts w:ascii="宋体" w:hAnsi="宋体" w:eastAsia="宋体"/>
                <w:sz w:val="16"/>
              </w:rPr>
              <w:t>资金支付率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83A044A">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D647EEF">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C36DC52">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FD6C694">
            <w:pPr>
              <w:jc w:val="center"/>
            </w:pPr>
            <w:r>
              <w:rPr>
                <w:rFonts w:ascii="宋体" w:hAnsi="宋体" w:eastAsia="宋体"/>
                <w:sz w:val="16"/>
              </w:rPr>
              <w:t>6</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C985620">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AD7413E">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965854">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CA4E9B5">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8209A45">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D385BDE">
            <w:pPr>
              <w:jc w:val="center"/>
            </w:pPr>
          </w:p>
        </w:tc>
      </w:tr>
      <w:tr w14:paraId="083FB64B">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1EDAE61"/>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2558623"/>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050C2">
            <w:pPr>
              <w:jc w:val="center"/>
            </w:pPr>
            <w:r>
              <w:rPr>
                <w:rFonts w:ascii="宋体" w:hAnsi="宋体" w:eastAsia="宋体"/>
                <w:sz w:val="16"/>
              </w:rPr>
              <w:t>时效指标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0D7176D">
            <w:pPr>
              <w:jc w:val="center"/>
            </w:pPr>
            <w:r>
              <w:rPr>
                <w:rFonts w:ascii="宋体" w:hAnsi="宋体" w:eastAsia="宋体"/>
                <w:sz w:val="16"/>
              </w:rPr>
              <w:t>项目按计划开工时间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1C3E4C">
            <w:pPr>
              <w:jc w:val="center"/>
            </w:pPr>
            <w:r>
              <w:rPr>
                <w:rFonts w:ascii="宋体" w:hAnsi="宋体" w:eastAsia="宋体"/>
                <w:sz w:val="16"/>
              </w:rPr>
              <w:t>2024年8月30日</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032E1A1">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64C91D4">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1C48F8B">
            <w:pPr>
              <w:jc w:val="center"/>
            </w:pPr>
            <w:r>
              <w:rPr>
                <w:rFonts w:ascii="宋体" w:hAnsi="宋体" w:eastAsia="宋体"/>
                <w:sz w:val="16"/>
              </w:rPr>
              <w:t>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9B71D4D">
            <w:pPr>
              <w:jc w:val="center"/>
            </w:pPr>
            <w:r>
              <w:rPr>
                <w:rFonts w:ascii="宋体" w:hAnsi="宋体" w:eastAsia="宋体"/>
                <w:sz w:val="16"/>
              </w:rPr>
              <w:t>直接赋分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946CFF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6B0004">
            <w:pPr>
              <w:jc w:val="center"/>
            </w:pPr>
            <w:r>
              <w:rPr>
                <w:rFonts w:ascii="宋体" w:hAnsi="宋体" w:eastAsia="宋体"/>
                <w:sz w:val="16"/>
              </w:rPr>
              <w:t>=2024年8月20日</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5AB4F5F">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216F3A3">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F35DB00">
            <w:pPr>
              <w:jc w:val="center"/>
            </w:pPr>
          </w:p>
        </w:tc>
      </w:tr>
      <w:tr w14:paraId="6BCED8CC">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3A62845"/>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AF0B1CC"/>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9A35663"/>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73E51FC">
            <w:pPr>
              <w:jc w:val="center"/>
            </w:pPr>
            <w:r>
              <w:rPr>
                <w:rFonts w:ascii="宋体" w:hAnsi="宋体" w:eastAsia="宋体"/>
                <w:sz w:val="16"/>
              </w:rPr>
              <w:t>项目按计划完工时间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DBF83B5">
            <w:pPr>
              <w:jc w:val="center"/>
            </w:pPr>
            <w:r>
              <w:rPr>
                <w:rFonts w:ascii="宋体" w:hAnsi="宋体" w:eastAsia="宋体"/>
                <w:sz w:val="16"/>
              </w:rPr>
              <w:t>2024年11月30日</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FE51923">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FB6EF6C">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1FA0A96">
            <w:pPr>
              <w:jc w:val="center"/>
            </w:pPr>
            <w:r>
              <w:rPr>
                <w:rFonts w:ascii="宋体" w:hAnsi="宋体" w:eastAsia="宋体"/>
                <w:sz w:val="16"/>
              </w:rPr>
              <w:t>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A9632DE">
            <w:pPr>
              <w:jc w:val="center"/>
            </w:pPr>
            <w:r>
              <w:rPr>
                <w:rFonts w:ascii="宋体" w:hAnsi="宋体" w:eastAsia="宋体"/>
                <w:sz w:val="16"/>
              </w:rPr>
              <w:t>直接赋分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19C543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978D7F">
            <w:pPr>
              <w:jc w:val="center"/>
            </w:pPr>
            <w:r>
              <w:rPr>
                <w:rFonts w:ascii="宋体" w:hAnsi="宋体" w:eastAsia="宋体"/>
                <w:sz w:val="16"/>
              </w:rPr>
              <w:t>2024年11月25日</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CB69F9D">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7DBF40A">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6518CFE">
            <w:pPr>
              <w:jc w:val="center"/>
            </w:pPr>
          </w:p>
        </w:tc>
      </w:tr>
      <w:tr w14:paraId="20B84102">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B4F0B22"/>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0A46E">
            <w:pPr>
              <w:jc w:val="center"/>
            </w:pPr>
            <w:r>
              <w:rPr>
                <w:rFonts w:ascii="宋体" w:hAnsi="宋体" w:eastAsia="宋体"/>
                <w:sz w:val="16"/>
              </w:rPr>
              <w:t>成本指标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E5454">
            <w:pPr>
              <w:jc w:val="center"/>
            </w:pPr>
            <w:r>
              <w:rPr>
                <w:rFonts w:ascii="宋体" w:hAnsi="宋体" w:eastAsia="宋体"/>
                <w:sz w:val="16"/>
              </w:rPr>
              <w:t>经济成本指标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E4F53A5">
            <w:pPr>
              <w:jc w:val="center"/>
            </w:pPr>
            <w:r>
              <w:rPr>
                <w:rFonts w:ascii="宋体" w:hAnsi="宋体" w:eastAsia="宋体"/>
                <w:sz w:val="16"/>
              </w:rPr>
              <w:t>项目建设施工费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DD2B15">
            <w:pPr>
              <w:jc w:val="center"/>
            </w:pPr>
            <w:r>
              <w:rPr>
                <w:rFonts w:ascii="宋体" w:hAnsi="宋体" w:eastAsia="宋体"/>
                <w:sz w:val="16"/>
              </w:rPr>
              <w:t>&lt;=495.61万元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E28D317">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D056703">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17B6309">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6B445BC">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5570F8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CABB8C">
            <w:pPr>
              <w:jc w:val="center"/>
            </w:pPr>
            <w:r>
              <w:rPr>
                <w:rFonts w:ascii="宋体" w:hAnsi="宋体" w:eastAsia="宋体"/>
                <w:sz w:val="16"/>
              </w:rPr>
              <w:t>=495.61万元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1819625">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981EADC">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2D325B8">
            <w:pPr>
              <w:jc w:val="center"/>
            </w:pPr>
          </w:p>
        </w:tc>
      </w:tr>
      <w:tr w14:paraId="1B7605C1">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DF65B18"/>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E58B4E4"/>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05F2C1E"/>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ED6578E">
            <w:pPr>
              <w:jc w:val="center"/>
            </w:pPr>
            <w:r>
              <w:rPr>
                <w:rFonts w:ascii="宋体" w:hAnsi="宋体" w:eastAsia="宋体"/>
                <w:sz w:val="16"/>
              </w:rPr>
              <w:t>项目建设前期费用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B55AF66">
            <w:pPr>
              <w:jc w:val="center"/>
            </w:pPr>
            <w:r>
              <w:rPr>
                <w:rFonts w:ascii="宋体" w:hAnsi="宋体" w:eastAsia="宋体"/>
                <w:sz w:val="16"/>
              </w:rPr>
              <w:t>&lt;=27.90万元</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7DD39B9">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1D686DC">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35D8D22">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995D6D5">
            <w:pPr>
              <w:jc w:val="center"/>
            </w:pPr>
            <w:r>
              <w:rPr>
                <w:rFonts w:ascii="宋体" w:hAnsi="宋体" w:eastAsia="宋体"/>
                <w:sz w:val="16"/>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D36AC0D">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269D41">
            <w:pPr>
              <w:jc w:val="center"/>
            </w:pPr>
            <w:r>
              <w:rPr>
                <w:rFonts w:ascii="宋体" w:hAnsi="宋体" w:eastAsia="宋体"/>
                <w:sz w:val="16"/>
              </w:rPr>
              <w:t>=27.9万元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A3A4025">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9AF77EB">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1F8E831">
            <w:pPr>
              <w:jc w:val="center"/>
            </w:pPr>
          </w:p>
        </w:tc>
      </w:tr>
      <w:tr w14:paraId="46C6CCC3">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0299C67"/>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E3916FB">
            <w:pPr>
              <w:jc w:val="center"/>
            </w:pPr>
            <w:r>
              <w:rPr>
                <w:rFonts w:ascii="宋体" w:hAnsi="宋体" w:eastAsia="宋体"/>
                <w:sz w:val="16"/>
              </w:rPr>
              <w:t>效益指标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E83B628">
            <w:pPr>
              <w:jc w:val="center"/>
            </w:pPr>
            <w:r>
              <w:rPr>
                <w:rFonts w:ascii="宋体" w:hAnsi="宋体" w:eastAsia="宋体"/>
                <w:sz w:val="16"/>
              </w:rPr>
              <w:t>社会效益指标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B19706F">
            <w:pPr>
              <w:jc w:val="center"/>
            </w:pPr>
            <w:r>
              <w:rPr>
                <w:rFonts w:ascii="宋体" w:hAnsi="宋体" w:eastAsia="宋体"/>
                <w:sz w:val="16"/>
              </w:rPr>
              <w:t>改善村民服务环境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1F7CF9C">
            <w:pPr>
              <w:jc w:val="center"/>
            </w:pPr>
            <w:r>
              <w:rPr>
                <w:rFonts w:ascii="宋体" w:hAnsi="宋体" w:eastAsia="宋体"/>
                <w:sz w:val="16"/>
              </w:rPr>
              <w:t>有效改善</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657C9BE">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5711292">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60A9D3F">
            <w:pPr>
              <w:jc w:val="center"/>
            </w:pPr>
            <w:r>
              <w:rPr>
                <w:rFonts w:ascii="宋体" w:hAnsi="宋体" w:eastAsia="宋体"/>
                <w:sz w:val="16"/>
              </w:rPr>
              <w:t>20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3A09BF5">
            <w:pPr>
              <w:jc w:val="center"/>
            </w:pPr>
            <w:r>
              <w:rPr>
                <w:rFonts w:ascii="宋体" w:hAnsi="宋体" w:eastAsia="宋体"/>
                <w:sz w:val="16"/>
              </w:rPr>
              <w:t>按评判等级赋分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276A53D">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90A2C4">
            <w:pPr>
              <w:jc w:val="center"/>
            </w:pPr>
            <w:r>
              <w:rPr>
                <w:rFonts w:ascii="宋体" w:hAnsi="宋体" w:eastAsia="宋体"/>
                <w:sz w:val="16"/>
              </w:rPr>
              <w:t>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2CBDD07">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5780581">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1070EF5">
            <w:pPr>
              <w:jc w:val="center"/>
            </w:pPr>
          </w:p>
        </w:tc>
      </w:tr>
      <w:tr w14:paraId="60A90EBB">
        <w:tblPrEx>
          <w:tblCellMar>
            <w:top w:w="0" w:type="dxa"/>
            <w:left w:w="108" w:type="dxa"/>
            <w:bottom w:w="0" w:type="dxa"/>
            <w:right w:w="108" w:type="dxa"/>
          </w:tblCellMar>
        </w:tblPrEx>
        <w:trPr>
          <w:gridAfter w:val="1"/>
          <w:wAfter w:w="179" w:type="dxa"/>
        </w:trPr>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AB48251"/>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D959D6B">
            <w:pPr>
              <w:jc w:val="center"/>
            </w:pPr>
            <w:r>
              <w:rPr>
                <w:rFonts w:ascii="宋体" w:hAnsi="宋体" w:eastAsia="宋体"/>
                <w:sz w:val="16"/>
              </w:rPr>
              <w:t>满意度指标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7211C67">
            <w:pPr>
              <w:jc w:val="center"/>
            </w:pPr>
            <w:r>
              <w:rPr>
                <w:rFonts w:ascii="宋体" w:hAnsi="宋体" w:eastAsia="宋体"/>
                <w:sz w:val="16"/>
              </w:rPr>
              <w:t>满意度指标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1696481">
            <w:pPr>
              <w:jc w:val="center"/>
            </w:pPr>
            <w:r>
              <w:rPr>
                <w:rFonts w:ascii="宋体" w:hAnsi="宋体" w:eastAsia="宋体"/>
                <w:sz w:val="16"/>
              </w:rPr>
              <w:t>干部及群众满意度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46AEA9D">
            <w:pPr>
              <w:jc w:val="center"/>
            </w:pPr>
            <w:r>
              <w:rPr>
                <w:rFonts w:ascii="宋体" w:hAnsi="宋体" w:eastAsia="宋体"/>
                <w:sz w:val="16"/>
              </w:rPr>
              <w:t>&gt;=90%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13D694B">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4944519">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44591F4">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01B854C">
            <w:pPr>
              <w:jc w:val="center"/>
            </w:pPr>
            <w:r>
              <w:rPr>
                <w:rFonts w:ascii="宋体" w:hAnsi="宋体" w:eastAsia="宋体"/>
                <w:sz w:val="16"/>
              </w:rPr>
              <w:t>满意度赋分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B149134">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E00FBF">
            <w:pPr>
              <w:jc w:val="center"/>
            </w:pPr>
            <w:r>
              <w:rPr>
                <w:rFonts w:ascii="宋体" w:hAnsi="宋体" w:eastAsia="宋体"/>
                <w:sz w:val="16"/>
              </w:rPr>
              <w:t>=90%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1A42684">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1766E84">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C808F19">
            <w:pPr>
              <w:jc w:val="center"/>
            </w:pPr>
          </w:p>
        </w:tc>
      </w:tr>
      <w:tr w14:paraId="0851DE3E">
        <w:tblPrEx>
          <w:tblCellMar>
            <w:top w:w="0" w:type="dxa"/>
            <w:left w:w="108" w:type="dxa"/>
            <w:bottom w:w="0" w:type="dxa"/>
            <w:right w:w="108" w:type="dxa"/>
          </w:tblCellMar>
        </w:tblPrEx>
        <w:trPr>
          <w:gridAfter w:val="1"/>
          <w:wAfter w:w="179" w:type="dxa"/>
        </w:trPr>
        <w:tc>
          <w:tcPr>
            <w:tcW w:w="244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6A2F3A">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6457F478"/>
        </w:tc>
        <w:tc>
          <w:tcPr>
            <w:tcW w:w="606" w:type="dxa"/>
            <w:tcBorders>
              <w:top w:val="single" w:color="auto" w:sz="10" w:space="0"/>
              <w:left w:val="single" w:color="auto" w:sz="10" w:space="0"/>
              <w:bottom w:val="single" w:color="auto" w:sz="10" w:space="0"/>
              <w:right w:val="single" w:color="auto" w:sz="10" w:space="0"/>
              <w:insideV w:val="single" w:sz="10" w:space="0"/>
            </w:tcBorders>
          </w:tcPr>
          <w:p w14:paraId="260992C3"/>
        </w:tc>
        <w:tc>
          <w:tcPr>
            <w:tcW w:w="606" w:type="dxa"/>
            <w:tcBorders>
              <w:top w:val="single" w:color="auto" w:sz="10" w:space="0"/>
              <w:left w:val="single" w:color="auto" w:sz="10" w:space="0"/>
              <w:bottom w:val="single" w:color="auto" w:sz="10" w:space="0"/>
              <w:right w:val="single" w:color="auto" w:sz="10" w:space="0"/>
              <w:insideV w:val="single" w:sz="10" w:space="0"/>
            </w:tcBorders>
          </w:tcPr>
          <w:p w14:paraId="72F76EA4"/>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4275E82">
            <w:pPr>
              <w:jc w:val="center"/>
            </w:pPr>
            <w:r>
              <w:rPr>
                <w:rFonts w:ascii="宋体" w:hAnsi="宋体" w:eastAsia="宋体"/>
                <w:sz w:val="16"/>
              </w:rPr>
              <w:t>100</w:t>
            </w:r>
          </w:p>
        </w:tc>
        <w:tc>
          <w:tcPr>
            <w:tcW w:w="606" w:type="dxa"/>
            <w:tcBorders>
              <w:top w:val="single" w:color="auto" w:sz="10" w:space="0"/>
              <w:left w:val="single" w:color="auto" w:sz="10" w:space="0"/>
              <w:bottom w:val="single" w:color="auto" w:sz="10" w:space="0"/>
              <w:right w:val="single" w:color="auto" w:sz="10" w:space="0"/>
              <w:insideV w:val="single" w:sz="10" w:space="0"/>
            </w:tcBorders>
          </w:tcPr>
          <w:p w14:paraId="1635C771"/>
        </w:tc>
        <w:tc>
          <w:tcPr>
            <w:tcW w:w="606" w:type="dxa"/>
            <w:tcBorders>
              <w:top w:val="single" w:color="auto" w:sz="10" w:space="0"/>
              <w:left w:val="single" w:color="auto" w:sz="10" w:space="0"/>
              <w:bottom w:val="single" w:color="auto" w:sz="10" w:space="0"/>
              <w:right w:val="single" w:color="auto" w:sz="10" w:space="0"/>
              <w:insideV w:val="single" w:sz="10" w:space="0"/>
            </w:tcBorders>
          </w:tcPr>
          <w:p w14:paraId="63A63EAE"/>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683D6C8"/>
        </w:tc>
        <w:tc>
          <w:tcPr>
            <w:tcW w:w="622" w:type="dxa"/>
            <w:tcBorders>
              <w:top w:val="single" w:color="auto" w:sz="10" w:space="0"/>
              <w:left w:val="single" w:color="auto" w:sz="10" w:space="0"/>
              <w:bottom w:val="single" w:color="auto" w:sz="10" w:space="0"/>
              <w:right w:val="single" w:color="auto" w:sz="10" w:space="0"/>
              <w:insideV w:val="single" w:sz="10" w:space="0"/>
            </w:tcBorders>
          </w:tcPr>
          <w:p w14:paraId="6D3BEF0E"/>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CB33724">
            <w:pPr>
              <w:jc w:val="center"/>
            </w:pPr>
            <w:r>
              <w:rPr>
                <w:rFonts w:ascii="宋体" w:hAnsi="宋体" w:eastAsia="宋体"/>
                <w:sz w:val="16"/>
              </w:rPr>
              <w:t>100.00分</w:t>
            </w:r>
          </w:p>
        </w:tc>
        <w:tc>
          <w:tcPr>
            <w:tcW w:w="631" w:type="dxa"/>
            <w:tcBorders>
              <w:top w:val="single" w:color="auto" w:sz="10" w:space="0"/>
              <w:left w:val="single" w:color="auto" w:sz="10" w:space="0"/>
              <w:bottom w:val="single" w:color="auto" w:sz="10" w:space="0"/>
              <w:right w:val="single" w:color="auto" w:sz="10" w:space="0"/>
              <w:insideV w:val="single" w:sz="10" w:space="0"/>
            </w:tcBorders>
          </w:tcPr>
          <w:p w14:paraId="2031159D"/>
        </w:tc>
      </w:tr>
    </w:tbl>
    <w:p w14:paraId="610B214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26CE131">
        <w:tblPrEx>
          <w:tblCellMar>
            <w:top w:w="0" w:type="dxa"/>
            <w:left w:w="108" w:type="dxa"/>
            <w:bottom w:w="0" w:type="dxa"/>
            <w:right w:w="108" w:type="dxa"/>
          </w:tblCellMar>
        </w:tblPrEx>
        <w:tc>
          <w:tcPr>
            <w:tcW w:w="8848" w:type="dxa"/>
            <w:gridSpan w:val="14"/>
            <w:vAlign w:val="center"/>
          </w:tcPr>
          <w:p w14:paraId="61022DB5">
            <w:pPr>
              <w:jc w:val="center"/>
            </w:pPr>
            <w:r>
              <w:rPr>
                <w:rFonts w:ascii="宋体" w:hAnsi="宋体" w:eastAsia="宋体"/>
                <w:sz w:val="24"/>
              </w:rPr>
              <w:t>项目支出绩效自评表</w:t>
            </w:r>
          </w:p>
        </w:tc>
      </w:tr>
      <w:tr w14:paraId="1280B9F9">
        <w:tblPrEx>
          <w:tblCellMar>
            <w:top w:w="0" w:type="dxa"/>
            <w:left w:w="108" w:type="dxa"/>
            <w:bottom w:w="0" w:type="dxa"/>
            <w:right w:w="108" w:type="dxa"/>
          </w:tblCellMar>
        </w:tblPrEx>
        <w:tc>
          <w:tcPr>
            <w:tcW w:w="8848" w:type="dxa"/>
            <w:gridSpan w:val="14"/>
            <w:vAlign w:val="center"/>
          </w:tcPr>
          <w:p w14:paraId="2DDAE988">
            <w:pPr>
              <w:jc w:val="center"/>
            </w:pPr>
            <w:r>
              <w:rPr>
                <w:rFonts w:ascii="宋体" w:hAnsi="宋体" w:eastAsia="宋体"/>
                <w:sz w:val="24"/>
              </w:rPr>
              <w:t>(2024年度)</w:t>
            </w:r>
          </w:p>
        </w:tc>
      </w:tr>
      <w:tr w14:paraId="38BD5B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68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33A58E">
            <w:pPr>
              <w:jc w:val="center"/>
            </w:pPr>
            <w:r>
              <w:rPr>
                <w:rFonts w:ascii="宋体" w:hAnsi="宋体" w:eastAsia="宋体"/>
                <w:sz w:val="16"/>
              </w:rPr>
              <w:t>阳霞镇巴财教</w:t>
            </w:r>
            <w:r>
              <w:rPr>
                <w:rFonts w:hint="eastAsia" w:ascii="宋体" w:hAnsi="宋体"/>
                <w:sz w:val="16"/>
                <w:lang w:eastAsia="zh-CN"/>
              </w:rPr>
              <w:t>〔2023〕68号</w:t>
            </w:r>
            <w:r>
              <w:rPr>
                <w:rFonts w:ascii="宋体" w:hAnsi="宋体" w:eastAsia="宋体"/>
                <w:sz w:val="16"/>
              </w:rPr>
              <w:t>提前下达2024年中央文化人才专项经费</w:t>
            </w:r>
          </w:p>
        </w:tc>
      </w:tr>
      <w:tr w14:paraId="59B5CD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6A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0BED8F">
            <w:pPr>
              <w:jc w:val="center"/>
            </w:pPr>
            <w:r>
              <w:rPr>
                <w:rFonts w:ascii="宋体" w:hAnsi="宋体" w:eastAsia="宋体"/>
                <w:sz w:val="16"/>
              </w:rPr>
              <w:t>新疆轮台县阳霞镇人民政府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7D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C8CA3A">
            <w:pPr>
              <w:jc w:val="center"/>
            </w:pPr>
            <w:r>
              <w:rPr>
                <w:rFonts w:ascii="宋体" w:hAnsi="宋体" w:eastAsia="宋体"/>
                <w:sz w:val="16"/>
              </w:rPr>
              <w:t>轮台县阳霞镇人民政府</w:t>
            </w:r>
          </w:p>
        </w:tc>
      </w:tr>
      <w:tr w14:paraId="06EBFC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A9CE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93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1B5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D0B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125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B66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59F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8F8F">
            <w:pPr>
              <w:jc w:val="center"/>
            </w:pPr>
            <w:r>
              <w:rPr>
                <w:rFonts w:ascii="宋体" w:hAnsi="宋体" w:eastAsia="宋体"/>
                <w:sz w:val="16"/>
              </w:rPr>
              <w:t>得分</w:t>
            </w:r>
          </w:p>
        </w:tc>
      </w:tr>
      <w:tr w14:paraId="67FEBC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4AC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354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1838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08CB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5E94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22D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B19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F2E1">
            <w:pPr>
              <w:jc w:val="center"/>
            </w:pPr>
            <w:r>
              <w:rPr>
                <w:rFonts w:ascii="宋体" w:hAnsi="宋体" w:eastAsia="宋体"/>
                <w:sz w:val="16"/>
              </w:rPr>
              <w:t>10.00</w:t>
            </w:r>
          </w:p>
        </w:tc>
      </w:tr>
      <w:tr w14:paraId="75059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044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710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A1B9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0FDA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4A14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3D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363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513D">
            <w:pPr>
              <w:jc w:val="center"/>
            </w:pPr>
            <w:r>
              <w:rPr>
                <w:rFonts w:ascii="宋体" w:hAnsi="宋体" w:eastAsia="宋体"/>
                <w:sz w:val="16"/>
              </w:rPr>
              <w:t>-</w:t>
            </w:r>
          </w:p>
        </w:tc>
      </w:tr>
      <w:tr w14:paraId="49856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3DB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95BF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8D8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A4B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967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98A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930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BB54">
            <w:pPr>
              <w:jc w:val="center"/>
            </w:pPr>
            <w:r>
              <w:rPr>
                <w:rFonts w:ascii="宋体" w:hAnsi="宋体" w:eastAsia="宋体"/>
                <w:sz w:val="16"/>
              </w:rPr>
              <w:t>-</w:t>
            </w:r>
          </w:p>
        </w:tc>
      </w:tr>
      <w:tr w14:paraId="4DCE81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E4B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F70DD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1D637">
            <w:pPr>
              <w:jc w:val="center"/>
            </w:pPr>
            <w:r>
              <w:rPr>
                <w:rFonts w:ascii="宋体" w:hAnsi="宋体" w:eastAsia="宋体"/>
                <w:sz w:val="16"/>
              </w:rPr>
              <w:t>总体目标完成情况</w:t>
            </w:r>
          </w:p>
        </w:tc>
      </w:tr>
      <w:tr w14:paraId="4CD171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751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9A082">
            <w:pPr>
              <w:jc w:val="both"/>
            </w:pPr>
            <w:r>
              <w:rPr>
                <w:rFonts w:ascii="宋体" w:hAnsi="宋体" w:eastAsia="宋体"/>
                <w:sz w:val="16"/>
              </w:rPr>
              <w:t>落实巴州文化体育广播电视和旅游局2024年度文化人才服务支持艰苦边远地区和基层一线专项工作实施方案及阳霞镇人民政府年度文化工作计划，通过文化人才专项经费支持，开展各类文化活动，丰富群众文化生活，提升阳霞镇文化服务能力，推动乡村文化振兴。</w:t>
            </w:r>
            <w:r>
              <w:rPr>
                <w:rFonts w:ascii="宋体" w:hAnsi="宋体" w:eastAsia="宋体"/>
                <w:sz w:val="16"/>
              </w:rPr>
              <w:br w:type="textWrapping"/>
            </w:r>
            <w:r>
              <w:rPr>
                <w:rFonts w:ascii="宋体" w:hAnsi="宋体" w:eastAsia="宋体"/>
                <w:sz w:val="16"/>
              </w:rPr>
              <w:t>目标1：采购2批次书法绘画活动用品，确保书法绘画活动能顺利开展；</w:t>
            </w:r>
            <w:r>
              <w:rPr>
                <w:rFonts w:ascii="宋体" w:hAnsi="宋体" w:eastAsia="宋体"/>
                <w:sz w:val="16"/>
              </w:rPr>
              <w:br w:type="textWrapping"/>
            </w:r>
            <w:r>
              <w:rPr>
                <w:rFonts w:ascii="宋体" w:hAnsi="宋体" w:eastAsia="宋体"/>
                <w:sz w:val="16"/>
              </w:rPr>
              <w:t>目标2：租赁10辆大巴车，解决干部及群众参与活动的交通问题，提升活动参与率。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B86E1A">
            <w:pPr>
              <w:jc w:val="both"/>
            </w:pPr>
            <w:r>
              <w:rPr>
                <w:rFonts w:hint="eastAsia" w:ascii="宋体" w:hAnsi="宋体"/>
                <w:sz w:val="16"/>
                <w:lang w:eastAsia="zh-CN"/>
              </w:rPr>
              <w:t>本单位</w:t>
            </w:r>
            <w:r>
              <w:rPr>
                <w:rFonts w:ascii="宋体" w:hAnsi="宋体" w:eastAsia="宋体"/>
                <w:sz w:val="16"/>
              </w:rPr>
              <w:t>严格落实巴州文化体育广播电视和旅游局2024年度文化人才服务支持艰苦边远地区和基层一线专项工作实施方案及阳霞镇人民政府年度文化工作计划，通过文化人才专项经费支持，已开展书法绘画等活动，丰富了群众文化生活，提升了阳霞镇文化服务能力，推动了乡村文化振兴。</w:t>
            </w:r>
            <w:r>
              <w:rPr>
                <w:rFonts w:ascii="宋体" w:hAnsi="宋体" w:eastAsia="宋体"/>
                <w:sz w:val="16"/>
              </w:rPr>
              <w:br w:type="textWrapping"/>
            </w:r>
            <w:r>
              <w:rPr>
                <w:rFonts w:ascii="宋体" w:hAnsi="宋体" w:eastAsia="宋体"/>
                <w:sz w:val="16"/>
              </w:rPr>
              <w:t>目标1：已完成2批次书法绘画活动用品的采购，顺利开展了书法绘画活动；</w:t>
            </w:r>
            <w:r>
              <w:rPr>
                <w:rFonts w:ascii="宋体" w:hAnsi="宋体" w:eastAsia="宋体"/>
                <w:sz w:val="16"/>
              </w:rPr>
              <w:br w:type="textWrapping"/>
            </w:r>
            <w:r>
              <w:rPr>
                <w:rFonts w:ascii="宋体" w:hAnsi="宋体" w:eastAsia="宋体"/>
                <w:sz w:val="16"/>
              </w:rPr>
              <w:t>目标2：已完成10辆大巴车，切实解决了干部及群众参与活动的交通问题，提升了活动参与率。</w:t>
            </w:r>
          </w:p>
        </w:tc>
      </w:tr>
      <w:tr w14:paraId="2FFA88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4EC4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42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5B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F4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6A4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0D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7C0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CAE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A83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FC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4DE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4BD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E63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3C23">
            <w:pPr>
              <w:jc w:val="center"/>
            </w:pPr>
            <w:r>
              <w:rPr>
                <w:rFonts w:ascii="宋体" w:hAnsi="宋体" w:eastAsia="宋体"/>
                <w:sz w:val="16"/>
              </w:rPr>
              <w:t>偏差原因分析及改进措施</w:t>
            </w:r>
          </w:p>
        </w:tc>
      </w:tr>
      <w:tr w14:paraId="368DDE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DCF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CD1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317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AC77">
            <w:pPr>
              <w:jc w:val="center"/>
            </w:pPr>
            <w:r>
              <w:rPr>
                <w:rFonts w:ascii="宋体" w:hAnsi="宋体" w:eastAsia="宋体"/>
                <w:sz w:val="16"/>
              </w:rPr>
              <w:t>采购书法绘画用品的批次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8D27">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7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35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B1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8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FD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6CD8">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2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98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C73A">
            <w:pPr>
              <w:jc w:val="center"/>
            </w:pPr>
          </w:p>
        </w:tc>
      </w:tr>
      <w:tr w14:paraId="29B71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C82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B05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C2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890B">
            <w:pPr>
              <w:jc w:val="center"/>
            </w:pPr>
            <w:r>
              <w:rPr>
                <w:rFonts w:ascii="宋体" w:hAnsi="宋体" w:eastAsia="宋体"/>
                <w:sz w:val="16"/>
              </w:rPr>
              <w:t>租赁大巴车数量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012D">
            <w:pPr>
              <w:jc w:val="center"/>
            </w:pPr>
            <w:r>
              <w:rPr>
                <w:rFonts w:ascii="宋体" w:hAnsi="宋体" w:eastAsia="宋体"/>
                <w:sz w:val="16"/>
              </w:rPr>
              <w:t>&gt;=10辆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04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D6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96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8E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E8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0DAB">
            <w:pPr>
              <w:jc w:val="center"/>
            </w:pPr>
            <w:r>
              <w:rPr>
                <w:rFonts w:ascii="宋体" w:hAnsi="宋体" w:eastAsia="宋体"/>
                <w:sz w:val="16"/>
              </w:rPr>
              <w: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0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32B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BC99">
            <w:pPr>
              <w:jc w:val="center"/>
            </w:pPr>
          </w:p>
        </w:tc>
      </w:tr>
      <w:tr w14:paraId="04EDF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0DF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BC3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D7B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412C">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5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2A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11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B2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27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8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9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C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25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8D95">
            <w:pPr>
              <w:jc w:val="center"/>
            </w:pPr>
          </w:p>
        </w:tc>
      </w:tr>
      <w:tr w14:paraId="77770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3F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1E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A8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A919">
            <w:pPr>
              <w:jc w:val="center"/>
            </w:pPr>
            <w:r>
              <w:rPr>
                <w:rFonts w:ascii="宋体" w:hAnsi="宋体" w:eastAsia="宋体"/>
                <w:sz w:val="16"/>
              </w:rPr>
              <w:t>采购书法绘画用品验收合格率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8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1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90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C76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2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62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0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78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AE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EF3F">
            <w:pPr>
              <w:jc w:val="center"/>
            </w:pPr>
          </w:p>
        </w:tc>
      </w:tr>
      <w:tr w14:paraId="5F2FD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84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B2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24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B655">
            <w:pPr>
              <w:jc w:val="center"/>
            </w:pPr>
            <w:r>
              <w:rPr>
                <w:rFonts w:ascii="宋体" w:hAnsi="宋体" w:eastAsia="宋体"/>
                <w:sz w:val="16"/>
              </w:rPr>
              <w:t>租赁大巴车资质合规率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4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EA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32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89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AC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AC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3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A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C6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A8BC">
            <w:pPr>
              <w:jc w:val="center"/>
            </w:pPr>
          </w:p>
        </w:tc>
      </w:tr>
      <w:tr w14:paraId="027FD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4E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092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FF9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F76D">
            <w:pPr>
              <w:jc w:val="center"/>
            </w:pPr>
            <w:r>
              <w:rPr>
                <w:rFonts w:ascii="宋体" w:hAnsi="宋体" w:eastAsia="宋体"/>
                <w:sz w:val="16"/>
              </w:rPr>
              <w:t>书法及绘画活动用品采购完成时间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E802">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6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7F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0C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EE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1A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AB5C">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E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77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D43C">
            <w:pPr>
              <w:jc w:val="center"/>
            </w:pPr>
          </w:p>
        </w:tc>
      </w:tr>
      <w:tr w14:paraId="3C225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89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CE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06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D5A6">
            <w:pPr>
              <w:jc w:val="center"/>
            </w:pPr>
            <w:r>
              <w:rPr>
                <w:rFonts w:ascii="宋体" w:hAnsi="宋体" w:eastAsia="宋体"/>
                <w:sz w:val="16"/>
              </w:rPr>
              <w:t>租赁大巴车完成时间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4864">
            <w:pPr>
              <w:jc w:val="center"/>
            </w:pPr>
            <w:r>
              <w:rPr>
                <w:rFonts w:ascii="宋体" w:hAnsi="宋体" w:eastAsia="宋体"/>
                <w:sz w:val="16"/>
              </w:rPr>
              <w:t>=2024年2月15日前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B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0E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B9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7D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E9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5FB7">
            <w:pPr>
              <w:jc w:val="center"/>
            </w:pPr>
            <w:r>
              <w:rPr>
                <w:rFonts w:ascii="宋体" w:hAnsi="宋体" w:eastAsia="宋体"/>
                <w:sz w:val="16"/>
              </w:rPr>
              <w:t>2024年2月9日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E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7C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CF2C">
            <w:pPr>
              <w:jc w:val="center"/>
            </w:pPr>
          </w:p>
        </w:tc>
      </w:tr>
      <w:tr w14:paraId="2300B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C24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C33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BCF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6E05">
            <w:pPr>
              <w:jc w:val="center"/>
            </w:pPr>
            <w:r>
              <w:rPr>
                <w:rFonts w:ascii="宋体" w:hAnsi="宋体" w:eastAsia="宋体"/>
                <w:sz w:val="16"/>
              </w:rPr>
              <w:t>采购书法绘画用品总费用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82D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DA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AE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E0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7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B9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602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D8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72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A25C">
            <w:pPr>
              <w:jc w:val="center"/>
            </w:pPr>
          </w:p>
        </w:tc>
      </w:tr>
      <w:tr w14:paraId="09546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581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94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24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9821">
            <w:pPr>
              <w:jc w:val="center"/>
            </w:pPr>
            <w:r>
              <w:rPr>
                <w:rFonts w:ascii="宋体" w:hAnsi="宋体" w:eastAsia="宋体"/>
                <w:sz w:val="16"/>
              </w:rPr>
              <w:t>租赁大巴车总费用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237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F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AF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F5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AE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1E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5C1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D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C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A4E2">
            <w:pPr>
              <w:jc w:val="center"/>
            </w:pPr>
          </w:p>
        </w:tc>
      </w:tr>
      <w:tr w14:paraId="4C194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BDC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C8FD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9C5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EDC5">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822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E4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3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6E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C8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2CE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BD6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F5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45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24E1">
            <w:pPr>
              <w:jc w:val="center"/>
            </w:pPr>
          </w:p>
        </w:tc>
      </w:tr>
      <w:tr w14:paraId="666F3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1D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3AA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87C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6312">
            <w:pPr>
              <w:jc w:val="center"/>
            </w:pPr>
            <w:r>
              <w:rPr>
                <w:rFonts w:ascii="宋体" w:hAnsi="宋体" w:eastAsia="宋体"/>
                <w:sz w:val="16"/>
              </w:rPr>
              <w:t>提升阳霞镇文化服务能力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A7A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9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EF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67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19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CA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D04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0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3D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19B3">
            <w:pPr>
              <w:jc w:val="center"/>
            </w:pPr>
          </w:p>
        </w:tc>
      </w:tr>
      <w:tr w14:paraId="14007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C3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48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08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D7E0">
            <w:pPr>
              <w:jc w:val="center"/>
            </w:pPr>
            <w:r>
              <w:rPr>
                <w:rFonts w:ascii="宋体" w:hAnsi="宋体" w:eastAsia="宋体"/>
                <w:sz w:val="16"/>
              </w:rPr>
              <w:t>干部及群众满意度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742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43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55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C2A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3B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4BA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9E2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2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9F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614C">
            <w:pPr>
              <w:jc w:val="center"/>
            </w:pPr>
          </w:p>
        </w:tc>
      </w:tr>
      <w:tr w14:paraId="780DED0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77C3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59D9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5E60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1C5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7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C011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5F6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CB3F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080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ECF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A32DAD"/>
        </w:tc>
      </w:tr>
    </w:tbl>
    <w:p w14:paraId="62F45B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D345015">
        <w:tblPrEx>
          <w:tblCellMar>
            <w:top w:w="0" w:type="dxa"/>
            <w:left w:w="108" w:type="dxa"/>
            <w:bottom w:w="0" w:type="dxa"/>
            <w:right w:w="108" w:type="dxa"/>
          </w:tblCellMar>
        </w:tblPrEx>
        <w:tc>
          <w:tcPr>
            <w:tcW w:w="8848" w:type="dxa"/>
            <w:gridSpan w:val="14"/>
            <w:vAlign w:val="center"/>
          </w:tcPr>
          <w:p w14:paraId="7B33649B">
            <w:pPr>
              <w:jc w:val="center"/>
            </w:pPr>
            <w:r>
              <w:rPr>
                <w:rFonts w:ascii="宋体" w:hAnsi="宋体" w:eastAsia="宋体"/>
                <w:sz w:val="24"/>
              </w:rPr>
              <w:t>项目支出绩效自评表</w:t>
            </w:r>
          </w:p>
        </w:tc>
      </w:tr>
      <w:tr w14:paraId="562A585F">
        <w:tblPrEx>
          <w:tblCellMar>
            <w:top w:w="0" w:type="dxa"/>
            <w:left w:w="108" w:type="dxa"/>
            <w:bottom w:w="0" w:type="dxa"/>
            <w:right w:w="108" w:type="dxa"/>
          </w:tblCellMar>
        </w:tblPrEx>
        <w:tc>
          <w:tcPr>
            <w:tcW w:w="8848" w:type="dxa"/>
            <w:gridSpan w:val="14"/>
            <w:vAlign w:val="center"/>
          </w:tcPr>
          <w:p w14:paraId="07736609">
            <w:pPr>
              <w:jc w:val="center"/>
            </w:pPr>
            <w:r>
              <w:rPr>
                <w:rFonts w:ascii="宋体" w:hAnsi="宋体" w:eastAsia="宋体"/>
                <w:sz w:val="24"/>
              </w:rPr>
              <w:t>(2024年度)</w:t>
            </w:r>
          </w:p>
        </w:tc>
      </w:tr>
      <w:tr w14:paraId="736FE7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C4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BAF4FF">
            <w:pPr>
              <w:jc w:val="center"/>
            </w:pPr>
            <w:r>
              <w:rPr>
                <w:rFonts w:ascii="宋体" w:hAnsi="宋体" w:eastAsia="宋体"/>
                <w:sz w:val="16"/>
              </w:rPr>
              <w:t>阳霞镇巴财综</w:t>
            </w:r>
            <w:r>
              <w:rPr>
                <w:rFonts w:hint="eastAsia" w:ascii="宋体" w:hAnsi="宋体"/>
                <w:sz w:val="16"/>
                <w:lang w:eastAsia="zh-CN"/>
              </w:rPr>
              <w:t>〔2024〕4号</w:t>
            </w:r>
            <w:r>
              <w:rPr>
                <w:rFonts w:ascii="宋体" w:hAnsi="宋体" w:eastAsia="宋体"/>
                <w:sz w:val="16"/>
              </w:rPr>
              <w:t>关于下达2024年自治州体育彩票公益金支持体育事业项目的通知（2024年杏花系列文化活动（体育活动）经费）</w:t>
            </w:r>
          </w:p>
        </w:tc>
      </w:tr>
      <w:tr w14:paraId="2F6BFE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A0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9AF02">
            <w:pPr>
              <w:jc w:val="center"/>
            </w:pPr>
            <w:r>
              <w:rPr>
                <w:rFonts w:ascii="宋体" w:hAnsi="宋体" w:eastAsia="宋体"/>
                <w:sz w:val="16"/>
              </w:rPr>
              <w:t>新疆轮台县阳霞镇人民政府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47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40D12">
            <w:pPr>
              <w:jc w:val="center"/>
            </w:pPr>
            <w:r>
              <w:rPr>
                <w:rFonts w:ascii="宋体" w:hAnsi="宋体" w:eastAsia="宋体"/>
                <w:sz w:val="16"/>
              </w:rPr>
              <w:t>轮台县阳霞镇人民政府</w:t>
            </w:r>
          </w:p>
        </w:tc>
      </w:tr>
      <w:tr w14:paraId="1489A1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41BB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37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EF9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052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4CD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F75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5E1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2391">
            <w:pPr>
              <w:jc w:val="center"/>
            </w:pPr>
            <w:r>
              <w:rPr>
                <w:rFonts w:ascii="宋体" w:hAnsi="宋体" w:eastAsia="宋体"/>
                <w:sz w:val="16"/>
              </w:rPr>
              <w:t>得分</w:t>
            </w:r>
          </w:p>
        </w:tc>
      </w:tr>
      <w:tr w14:paraId="2CA1CA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3F2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88E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AFD26">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46400">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9A211">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093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D1E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7E4E">
            <w:pPr>
              <w:jc w:val="center"/>
            </w:pPr>
            <w:r>
              <w:rPr>
                <w:rFonts w:ascii="宋体" w:hAnsi="宋体" w:eastAsia="宋体"/>
                <w:sz w:val="16"/>
              </w:rPr>
              <w:t>10.00</w:t>
            </w:r>
          </w:p>
        </w:tc>
      </w:tr>
      <w:tr w14:paraId="2ECDC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F11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17A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9B747">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68026">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087C2">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438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316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74F0">
            <w:pPr>
              <w:jc w:val="center"/>
            </w:pPr>
            <w:r>
              <w:rPr>
                <w:rFonts w:ascii="宋体" w:hAnsi="宋体" w:eastAsia="宋体"/>
                <w:sz w:val="16"/>
              </w:rPr>
              <w:t>-</w:t>
            </w:r>
          </w:p>
        </w:tc>
      </w:tr>
      <w:tr w14:paraId="7051A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F6E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4483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19D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802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10E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1CE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07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AA32">
            <w:pPr>
              <w:jc w:val="center"/>
            </w:pPr>
            <w:r>
              <w:rPr>
                <w:rFonts w:ascii="宋体" w:hAnsi="宋体" w:eastAsia="宋体"/>
                <w:sz w:val="16"/>
              </w:rPr>
              <w:t>-</w:t>
            </w:r>
          </w:p>
        </w:tc>
      </w:tr>
      <w:tr w14:paraId="226AF7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22F8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5C587">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B315C">
            <w:pPr>
              <w:jc w:val="center"/>
            </w:pPr>
            <w:r>
              <w:rPr>
                <w:rFonts w:ascii="宋体" w:hAnsi="宋体" w:eastAsia="宋体"/>
                <w:sz w:val="16"/>
              </w:rPr>
              <w:t>总体目标完成情况</w:t>
            </w:r>
          </w:p>
        </w:tc>
      </w:tr>
      <w:tr w14:paraId="32974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9E1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293FFA">
            <w:pPr>
              <w:jc w:val="both"/>
            </w:pPr>
            <w:r>
              <w:rPr>
                <w:rFonts w:ascii="宋体" w:hAnsi="宋体" w:eastAsia="宋体"/>
                <w:sz w:val="16"/>
              </w:rPr>
              <w:t>落实上级部门关于加强基层文化建设的指示精神，以及阳霞镇人民政府关于丰富群众文化生活的相关要求，通过举办杏花节活动，提升阳霞白杏知名度，促进阳霞经济发展，推动乡村振兴。</w:t>
            </w:r>
            <w:r>
              <w:rPr>
                <w:rFonts w:ascii="宋体" w:hAnsi="宋体" w:eastAsia="宋体"/>
                <w:sz w:val="16"/>
              </w:rPr>
              <w:br w:type="textWrapping"/>
            </w:r>
            <w:r>
              <w:rPr>
                <w:rFonts w:ascii="宋体" w:hAnsi="宋体" w:eastAsia="宋体"/>
                <w:sz w:val="16"/>
              </w:rPr>
              <w:t>目标1：开展1场次杏花节主体活动，活动天数不少于1天，参与人数不少于500人，进一步丰富群众的文化生活需求。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082792">
            <w:pPr>
              <w:jc w:val="both"/>
            </w:pPr>
            <w:r>
              <w:rPr>
                <w:rFonts w:hint="eastAsia" w:ascii="宋体" w:hAnsi="宋体"/>
                <w:sz w:val="16"/>
                <w:lang w:eastAsia="zh-CN"/>
              </w:rPr>
              <w:t>本单位</w:t>
            </w:r>
            <w:r>
              <w:rPr>
                <w:rFonts w:ascii="宋体" w:hAnsi="宋体" w:eastAsia="宋体"/>
                <w:sz w:val="16"/>
              </w:rPr>
              <w:t>落实上级部门关于加强基层文化建设的指示精神，以及阳霞镇人民政府关于丰富群众文化生活的相关要求，通过举办杏花节活动，提升了阳霞白杏知名度，促进了阳霞经济发展，推动了乡村振兴。</w:t>
            </w:r>
            <w:r>
              <w:rPr>
                <w:rFonts w:ascii="宋体" w:hAnsi="宋体" w:eastAsia="宋体"/>
                <w:sz w:val="16"/>
              </w:rPr>
              <w:br w:type="textWrapping"/>
            </w:r>
            <w:r>
              <w:rPr>
                <w:rFonts w:ascii="宋体" w:hAnsi="宋体" w:eastAsia="宋体"/>
                <w:sz w:val="16"/>
              </w:rPr>
              <w:t>目标1：已开展1场次杏花节主体活动，活动天数1天，参与人数500人，进一步丰富了群众的文化生活需求。</w:t>
            </w:r>
          </w:p>
        </w:tc>
      </w:tr>
      <w:tr w14:paraId="00193C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1FE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76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E0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B1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467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66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B4A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33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EB9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CF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2C7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196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393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9D94">
            <w:pPr>
              <w:jc w:val="center"/>
            </w:pPr>
            <w:r>
              <w:rPr>
                <w:rFonts w:ascii="宋体" w:hAnsi="宋体" w:eastAsia="宋体"/>
                <w:sz w:val="16"/>
              </w:rPr>
              <w:t>偏差原因分析及改进措施</w:t>
            </w:r>
          </w:p>
        </w:tc>
      </w:tr>
      <w:tr w14:paraId="1378C9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DDD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BB2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53D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BB78">
            <w:pPr>
              <w:jc w:val="center"/>
            </w:pPr>
            <w:r>
              <w:rPr>
                <w:rFonts w:ascii="宋体" w:hAnsi="宋体" w:eastAsia="宋体"/>
                <w:sz w:val="16"/>
              </w:rPr>
              <w:t>开展杏花节主体活动场次数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D480">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88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46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B8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8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2C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CD75">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9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12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4728">
            <w:pPr>
              <w:jc w:val="center"/>
            </w:pPr>
          </w:p>
        </w:tc>
      </w:tr>
      <w:tr w14:paraId="32D41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4A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1DD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A0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96AB">
            <w:pPr>
              <w:jc w:val="center"/>
            </w:pPr>
            <w:r>
              <w:rPr>
                <w:rFonts w:ascii="宋体" w:hAnsi="宋体" w:eastAsia="宋体"/>
                <w:sz w:val="16"/>
              </w:rPr>
              <w:t>开展杏花节主体活动天数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D61F">
            <w:pPr>
              <w:jc w:val="center"/>
            </w:pPr>
            <w:r>
              <w:rPr>
                <w:rFonts w:ascii="宋体" w:hAnsi="宋体" w:eastAsia="宋体"/>
                <w:sz w:val="16"/>
              </w:rPr>
              <w:t>&gt;=1天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31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5D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26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C7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09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697F">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2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12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CE90">
            <w:pPr>
              <w:jc w:val="center"/>
            </w:pPr>
          </w:p>
        </w:tc>
      </w:tr>
      <w:tr w14:paraId="61ADA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8A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47F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71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237B">
            <w:pPr>
              <w:jc w:val="center"/>
            </w:pPr>
            <w:r>
              <w:rPr>
                <w:rFonts w:ascii="宋体" w:hAnsi="宋体" w:eastAsia="宋体"/>
                <w:sz w:val="16"/>
              </w:rPr>
              <w:t>杏花节活动参与人数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7EFC">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6B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85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8E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B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D7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CC73">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D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F1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5B32">
            <w:pPr>
              <w:jc w:val="center"/>
            </w:pPr>
          </w:p>
        </w:tc>
      </w:tr>
      <w:tr w14:paraId="0A703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4F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F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DE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6EED">
            <w:pPr>
              <w:jc w:val="center"/>
            </w:pPr>
            <w:r>
              <w:rPr>
                <w:rFonts w:ascii="宋体" w:hAnsi="宋体" w:eastAsia="宋体"/>
                <w:sz w:val="16"/>
              </w:rPr>
              <w:t>杏花节活动安全事故发生率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A8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8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27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40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7F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FE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7D9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D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96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EB37">
            <w:pPr>
              <w:jc w:val="center"/>
            </w:pPr>
          </w:p>
        </w:tc>
      </w:tr>
      <w:tr w14:paraId="52C68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B1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01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EF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A12B">
            <w:pPr>
              <w:jc w:val="center"/>
            </w:pPr>
            <w:r>
              <w:rPr>
                <w:rFonts w:ascii="宋体" w:hAnsi="宋体" w:eastAsia="宋体"/>
                <w:sz w:val="16"/>
              </w:rPr>
              <w:t>杏花节活动按期开展率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27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4F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39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31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0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0B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2E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A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6B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C5EE">
            <w:pPr>
              <w:jc w:val="center"/>
            </w:pPr>
          </w:p>
        </w:tc>
      </w:tr>
      <w:tr w14:paraId="4A2F7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34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FA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E9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C931">
            <w:pPr>
              <w:jc w:val="center"/>
            </w:pPr>
            <w:r>
              <w:rPr>
                <w:rFonts w:ascii="宋体" w:hAnsi="宋体" w:eastAsia="宋体"/>
                <w:sz w:val="16"/>
              </w:rPr>
              <w:t>杏花节活动总支出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EF1D">
            <w:pPr>
              <w:jc w:val="center"/>
            </w:pPr>
            <w:r>
              <w:rPr>
                <w:rFonts w:ascii="宋体" w:hAnsi="宋体" w:eastAsia="宋体"/>
                <w:sz w:val="16"/>
              </w:rPr>
              <w:t>&lt;=9900元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76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9D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D7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5A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8D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B08F">
            <w:pPr>
              <w:jc w:val="center"/>
            </w:pPr>
            <w:r>
              <w:rPr>
                <w:rFonts w:ascii="宋体" w:hAnsi="宋体" w:eastAsia="宋体"/>
                <w:sz w:val="16"/>
              </w:rPr>
              <w:t>=9900元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E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9F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8F20">
            <w:pPr>
              <w:jc w:val="center"/>
            </w:pPr>
          </w:p>
        </w:tc>
      </w:tr>
      <w:tr w14:paraId="32FC1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9E9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277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903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AA04">
            <w:pPr>
              <w:jc w:val="center"/>
            </w:pPr>
            <w:r>
              <w:rPr>
                <w:rFonts w:ascii="宋体" w:hAnsi="宋体" w:eastAsia="宋体"/>
                <w:sz w:val="16"/>
              </w:rPr>
              <w:t>促进阳霞镇经济发展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9D2B">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82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BE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DA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06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AF9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41D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1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E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FE66">
            <w:pPr>
              <w:jc w:val="center"/>
            </w:pPr>
          </w:p>
        </w:tc>
      </w:tr>
      <w:tr w14:paraId="7FCC6A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A61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E64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8F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776B">
            <w:pPr>
              <w:jc w:val="center"/>
            </w:pPr>
            <w:r>
              <w:rPr>
                <w:rFonts w:ascii="宋体" w:hAnsi="宋体" w:eastAsia="宋体"/>
                <w:sz w:val="16"/>
              </w:rPr>
              <w:t>提升阳霞白杏品牌知名度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9CE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8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E5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DE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62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94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387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33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EF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0190">
            <w:pPr>
              <w:jc w:val="center"/>
            </w:pPr>
          </w:p>
        </w:tc>
      </w:tr>
      <w:tr w14:paraId="5090E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64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DA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EA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6007">
            <w:pPr>
              <w:jc w:val="center"/>
            </w:pPr>
            <w:r>
              <w:rPr>
                <w:rFonts w:ascii="宋体" w:hAnsi="宋体" w:eastAsia="宋体"/>
                <w:sz w:val="16"/>
              </w:rPr>
              <w:t>干部及群众满意度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67F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0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DF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52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DA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96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EB9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E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9F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5E00">
            <w:pPr>
              <w:jc w:val="center"/>
            </w:pPr>
          </w:p>
        </w:tc>
      </w:tr>
      <w:tr w14:paraId="4C50CE4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1AEF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FDB4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FB24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89C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1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2CB9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36E6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76CE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541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41A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D7DC8"/>
        </w:tc>
      </w:tr>
    </w:tbl>
    <w:p w14:paraId="1D33FF1D">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97"/>
        <w:gridCol w:w="630"/>
        <w:gridCol w:w="616"/>
      </w:tblGrid>
      <w:tr w14:paraId="5B38E5B4">
        <w:tblPrEx>
          <w:tblCellMar>
            <w:top w:w="0" w:type="dxa"/>
            <w:left w:w="108" w:type="dxa"/>
            <w:bottom w:w="0" w:type="dxa"/>
            <w:right w:w="108" w:type="dxa"/>
          </w:tblCellMar>
        </w:tblPrEx>
        <w:tc>
          <w:tcPr>
            <w:tcW w:w="8848" w:type="dxa"/>
            <w:gridSpan w:val="14"/>
            <w:vAlign w:val="center"/>
          </w:tcPr>
          <w:p w14:paraId="3005DCB4">
            <w:pPr>
              <w:jc w:val="center"/>
            </w:pPr>
            <w:r>
              <w:rPr>
                <w:rFonts w:ascii="宋体" w:hAnsi="宋体" w:eastAsia="宋体"/>
                <w:sz w:val="24"/>
              </w:rPr>
              <w:t>项目支出绩效自评表</w:t>
            </w:r>
          </w:p>
        </w:tc>
      </w:tr>
      <w:tr w14:paraId="1CF9360D">
        <w:tblPrEx>
          <w:tblCellMar>
            <w:top w:w="0" w:type="dxa"/>
            <w:left w:w="108" w:type="dxa"/>
            <w:bottom w:w="0" w:type="dxa"/>
            <w:right w:w="108" w:type="dxa"/>
          </w:tblCellMar>
        </w:tblPrEx>
        <w:tc>
          <w:tcPr>
            <w:tcW w:w="8848" w:type="dxa"/>
            <w:gridSpan w:val="14"/>
            <w:vAlign w:val="center"/>
          </w:tcPr>
          <w:p w14:paraId="3F6A498C">
            <w:pPr>
              <w:jc w:val="center"/>
            </w:pPr>
            <w:r>
              <w:rPr>
                <w:rFonts w:ascii="宋体" w:hAnsi="宋体" w:eastAsia="宋体"/>
                <w:sz w:val="24"/>
              </w:rPr>
              <w:t>(2024年度)</w:t>
            </w:r>
          </w:p>
        </w:tc>
      </w:tr>
      <w:tr w14:paraId="5A4479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C6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BCFC65">
            <w:pPr>
              <w:jc w:val="center"/>
            </w:pPr>
            <w:r>
              <w:rPr>
                <w:rFonts w:ascii="宋体" w:hAnsi="宋体" w:eastAsia="宋体"/>
                <w:sz w:val="16"/>
              </w:rPr>
              <w:t>阳霞镇：2024年乡镇运转经费</w:t>
            </w:r>
            <w:r>
              <w:rPr>
                <w:rFonts w:hint="eastAsia" w:ascii="宋体" w:hAnsi="宋体"/>
                <w:sz w:val="16"/>
                <w:lang w:eastAsia="zh-CN"/>
              </w:rPr>
              <w:t>【</w:t>
            </w:r>
            <w:r>
              <w:rPr>
                <w:rFonts w:ascii="宋体" w:hAnsi="宋体" w:eastAsia="宋体"/>
                <w:sz w:val="16"/>
              </w:rPr>
              <w:t>含人大活动、人大代表联络站、妇联、纪委办案、纪委办公、团经费、组织经费、宣传经费、统战经费、党建经费、退役军人经费、群众工作活动经费</w:t>
            </w:r>
            <w:r>
              <w:rPr>
                <w:rFonts w:hint="eastAsia" w:ascii="宋体" w:hAnsi="宋体"/>
                <w:sz w:val="16"/>
                <w:lang w:eastAsia="zh-CN"/>
              </w:rPr>
              <w:t>】</w:t>
            </w:r>
            <w:r>
              <w:rPr>
                <w:rFonts w:ascii="宋体" w:hAnsi="宋体" w:eastAsia="宋体"/>
                <w:sz w:val="16"/>
              </w:rPr>
              <w:t>项目</w:t>
            </w:r>
          </w:p>
        </w:tc>
      </w:tr>
      <w:tr w14:paraId="07D3D3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3B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0FBC6">
            <w:pPr>
              <w:jc w:val="center"/>
            </w:pPr>
            <w:r>
              <w:rPr>
                <w:rFonts w:ascii="宋体" w:hAnsi="宋体" w:eastAsia="宋体"/>
                <w:sz w:val="16"/>
              </w:rPr>
              <w:t>新疆轮台县阳霞镇人民政府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78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501524">
            <w:pPr>
              <w:jc w:val="center"/>
            </w:pPr>
            <w:r>
              <w:rPr>
                <w:rFonts w:ascii="宋体" w:hAnsi="宋体" w:eastAsia="宋体"/>
                <w:sz w:val="16"/>
              </w:rPr>
              <w:t>轮台县阳霞镇人民政府</w:t>
            </w:r>
          </w:p>
        </w:tc>
      </w:tr>
      <w:tr w14:paraId="4F1E21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EBE6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6E5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0BB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F0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E09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A2C7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5EF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567B">
            <w:pPr>
              <w:jc w:val="center"/>
            </w:pPr>
            <w:r>
              <w:rPr>
                <w:rFonts w:ascii="宋体" w:hAnsi="宋体" w:eastAsia="宋体"/>
                <w:sz w:val="16"/>
              </w:rPr>
              <w:t>得分</w:t>
            </w:r>
          </w:p>
        </w:tc>
      </w:tr>
      <w:tr w14:paraId="685341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415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D25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89E7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474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7DADD">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68D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7684C">
            <w:pPr>
              <w:jc w:val="center"/>
            </w:pPr>
            <w:r>
              <w:rPr>
                <w:rFonts w:ascii="宋体" w:hAnsi="宋体" w:eastAsia="宋体"/>
                <w:sz w:val="16"/>
              </w:rPr>
              <w:t>92.00%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C2F0">
            <w:pPr>
              <w:jc w:val="center"/>
            </w:pPr>
            <w:r>
              <w:rPr>
                <w:rFonts w:ascii="宋体" w:hAnsi="宋体" w:eastAsia="宋体"/>
                <w:sz w:val="16"/>
              </w:rPr>
              <w:t>8.00</w:t>
            </w:r>
          </w:p>
        </w:tc>
      </w:tr>
      <w:tr w14:paraId="5E7A4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BD8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D53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7A75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A095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C1FFC">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CE0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5BA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FE62">
            <w:pPr>
              <w:jc w:val="center"/>
            </w:pPr>
            <w:r>
              <w:rPr>
                <w:rFonts w:ascii="宋体" w:hAnsi="宋体" w:eastAsia="宋体"/>
                <w:sz w:val="16"/>
              </w:rPr>
              <w:t>-</w:t>
            </w:r>
          </w:p>
        </w:tc>
      </w:tr>
      <w:tr w14:paraId="648BD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1C4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8F4E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DC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D0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2E8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4F2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A6D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010F">
            <w:pPr>
              <w:jc w:val="center"/>
            </w:pPr>
            <w:r>
              <w:rPr>
                <w:rFonts w:ascii="宋体" w:hAnsi="宋体" w:eastAsia="宋体"/>
                <w:sz w:val="16"/>
              </w:rPr>
              <w:t>-</w:t>
            </w:r>
          </w:p>
        </w:tc>
      </w:tr>
      <w:tr w14:paraId="186949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76A5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EDB5D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EC983E">
            <w:pPr>
              <w:jc w:val="center"/>
            </w:pPr>
            <w:r>
              <w:rPr>
                <w:rFonts w:ascii="宋体" w:hAnsi="宋体" w:eastAsia="宋体"/>
                <w:sz w:val="16"/>
              </w:rPr>
              <w:t>总体目标完成情况</w:t>
            </w:r>
          </w:p>
        </w:tc>
      </w:tr>
      <w:tr w14:paraId="72C5F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67C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5D4B2">
            <w:pPr>
              <w:jc w:val="both"/>
            </w:pPr>
            <w:r>
              <w:rPr>
                <w:rFonts w:ascii="宋体" w:hAnsi="宋体" w:eastAsia="宋体"/>
                <w:sz w:val="16"/>
              </w:rPr>
              <w:t>目标1：保障办公人员数量105人，保障纪委办公人员数量4人，主要用于阳霞镇各项工作和维持政府机关和各事业单位正常运转经费，促进单位各项事业持续健康发展，人民群众安居乐业。按规定及时支付，保障政府结构正常运转。不断提高政府服务质量，为人民群众提供更加安全，有效的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00297">
            <w:pPr>
              <w:jc w:val="both"/>
            </w:pPr>
            <w:r>
              <w:rPr>
                <w:rFonts w:hint="eastAsia" w:ascii="宋体" w:hAnsi="宋体"/>
                <w:sz w:val="16"/>
                <w:lang w:eastAsia="zh-CN"/>
              </w:rPr>
              <w:t>本单位</w:t>
            </w:r>
            <w:r>
              <w:rPr>
                <w:rFonts w:ascii="宋体" w:hAnsi="宋体" w:eastAsia="宋体"/>
                <w:sz w:val="16"/>
              </w:rPr>
              <w:t>本年度落实了各项工作,维持了政府机关和各站所正常运转，促进了单位各项事业的持续健康发展，为人民群众提供了更加安全、有效的公共服务。已完成保障105名工作人员（包含4名纪委工作人员）的各类办公需求。</w:t>
            </w:r>
          </w:p>
        </w:tc>
      </w:tr>
      <w:tr w14:paraId="72A333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5D6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88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7F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D9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EBD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63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318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392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D97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00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2FE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4EB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165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133C">
            <w:pPr>
              <w:jc w:val="center"/>
            </w:pPr>
            <w:r>
              <w:rPr>
                <w:rFonts w:ascii="宋体" w:hAnsi="宋体" w:eastAsia="宋体"/>
                <w:sz w:val="16"/>
              </w:rPr>
              <w:t>偏差原因分析及改进措施</w:t>
            </w:r>
          </w:p>
        </w:tc>
      </w:tr>
      <w:tr w14:paraId="4FB214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96AC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F73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A9D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08BF">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633B">
            <w:pPr>
              <w:jc w:val="center"/>
            </w:pPr>
            <w:r>
              <w:rPr>
                <w:rFonts w:ascii="宋体" w:hAnsi="宋体" w:eastAsia="宋体"/>
                <w:sz w:val="16"/>
              </w:rPr>
              <w:t>=105人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3B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DB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13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38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4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322C">
            <w:pPr>
              <w:jc w:val="center"/>
            </w:pPr>
            <w:r>
              <w:rPr>
                <w:rFonts w:ascii="宋体" w:hAnsi="宋体" w:eastAsia="宋体"/>
                <w:sz w:val="16"/>
              </w:rPr>
              <w:t>=105人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6F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C0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DCBE">
            <w:pPr>
              <w:jc w:val="center"/>
            </w:pPr>
          </w:p>
        </w:tc>
      </w:tr>
      <w:tr w14:paraId="176DA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1CA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0E5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001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9ACC">
            <w:pPr>
              <w:jc w:val="center"/>
            </w:pPr>
            <w:r>
              <w:rPr>
                <w:rFonts w:ascii="宋体" w:hAnsi="宋体" w:eastAsia="宋体"/>
                <w:sz w:val="16"/>
              </w:rPr>
              <w:t>保障纪委办公人员数量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2FC6">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4F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56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4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9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A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97BA">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F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8E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1B9A">
            <w:pPr>
              <w:jc w:val="center"/>
            </w:pPr>
          </w:p>
        </w:tc>
      </w:tr>
      <w:tr w14:paraId="303AF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BE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0A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1C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BBA9">
            <w:pPr>
              <w:jc w:val="center"/>
            </w:pPr>
            <w:r>
              <w:rPr>
                <w:rFonts w:ascii="宋体" w:hAnsi="宋体" w:eastAsia="宋体"/>
                <w:sz w:val="16"/>
              </w:rPr>
              <w:t>公用经费保障率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4C9C">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CC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F4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4D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9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C5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1930">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45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6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2A34">
            <w:pPr>
              <w:jc w:val="center"/>
            </w:pPr>
          </w:p>
        </w:tc>
      </w:tr>
      <w:tr w14:paraId="0427F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43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75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0E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304F">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ACF6">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A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63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63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C8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B1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3A05">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8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33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CBDD4">
            <w:pPr>
              <w:jc w:val="center"/>
            </w:pPr>
          </w:p>
        </w:tc>
      </w:tr>
      <w:tr w14:paraId="2E2D2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2D9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79C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D13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6137">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CCBF">
            <w:pPr>
              <w:jc w:val="center"/>
            </w:pPr>
            <w:r>
              <w:rPr>
                <w:rFonts w:ascii="宋体" w:hAnsi="宋体" w:eastAsia="宋体"/>
                <w:sz w:val="16"/>
              </w:rPr>
              <w:t>&lt;=4476.19元/人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0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5B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817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2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FD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A124">
            <w:pPr>
              <w:jc w:val="center"/>
            </w:pPr>
            <w:r>
              <w:rPr>
                <w:rFonts w:ascii="宋体" w:hAnsi="宋体" w:eastAsia="宋体"/>
                <w:sz w:val="16"/>
              </w:rPr>
              <w:t>=4095.24元/人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5AC7">
            <w:pPr>
              <w:jc w:val="center"/>
            </w:pPr>
            <w:r>
              <w:rPr>
                <w:rFonts w:ascii="宋体" w:hAnsi="宋体" w:eastAsia="宋体"/>
                <w:sz w:val="16"/>
              </w:rPr>
              <w:t>91.49%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FBE4">
            <w:pPr>
              <w:jc w:val="center"/>
            </w:pPr>
            <w:r>
              <w:rPr>
                <w:rFonts w:ascii="宋体" w:hAnsi="宋体" w:eastAsia="宋体"/>
                <w:sz w:val="16"/>
              </w:rPr>
              <w:t>7.87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528C">
            <w:pPr>
              <w:jc w:val="center"/>
            </w:pPr>
            <w:r>
              <w:rPr>
                <w:rFonts w:ascii="宋体" w:hAnsi="宋体" w:eastAsia="宋体"/>
                <w:sz w:val="16"/>
              </w:rPr>
              <w:t>资金根据实际需求进行支付，截止</w:t>
            </w:r>
            <w:r>
              <w:rPr>
                <w:rFonts w:hint="eastAsia" w:ascii="宋体" w:hAnsi="宋体"/>
                <w:sz w:val="16"/>
                <w:lang w:val="en-US" w:eastAsia="zh-CN"/>
              </w:rPr>
              <w:t>自评</w:t>
            </w:r>
            <w:bookmarkStart w:id="0" w:name="_GoBack"/>
            <w:bookmarkEnd w:id="0"/>
            <w:r>
              <w:rPr>
                <w:rFonts w:ascii="宋体" w:hAnsi="宋体" w:eastAsia="宋体"/>
                <w:sz w:val="16"/>
              </w:rPr>
              <w:t>日，未使用完毕。</w:t>
            </w:r>
          </w:p>
        </w:tc>
      </w:tr>
      <w:tr w14:paraId="440D0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5CB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F4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42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54DC">
            <w:pPr>
              <w:jc w:val="center"/>
            </w:pPr>
            <w:r>
              <w:rPr>
                <w:rFonts w:ascii="宋体" w:hAnsi="宋体" w:eastAsia="宋体"/>
                <w:sz w:val="16"/>
              </w:rPr>
              <w:t>保障纪委办公经费数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58ED">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90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80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5A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10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CB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F54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0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CC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9A52">
            <w:pPr>
              <w:jc w:val="center"/>
            </w:pPr>
          </w:p>
        </w:tc>
      </w:tr>
      <w:tr w14:paraId="60409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6E0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B2C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DCC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00B0">
            <w:pPr>
              <w:jc w:val="center"/>
            </w:pPr>
            <w:r>
              <w:rPr>
                <w:rFonts w:ascii="宋体" w:hAnsi="宋体" w:eastAsia="宋体"/>
                <w:sz w:val="16"/>
              </w:rPr>
              <w:t>保障单位人员履职能力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780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F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84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760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0D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64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655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6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920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98A6">
            <w:pPr>
              <w:jc w:val="center"/>
            </w:pPr>
          </w:p>
        </w:tc>
      </w:tr>
      <w:tr w14:paraId="0C2D7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CB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E3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93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BCA8">
            <w:pPr>
              <w:jc w:val="center"/>
            </w:pPr>
            <w:r>
              <w:rPr>
                <w:rFonts w:ascii="宋体" w:hAnsi="宋体" w:eastAsia="宋体"/>
                <w:sz w:val="16"/>
              </w:rPr>
              <w:t>促进单位各项事业持续健康发展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0C3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D2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0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88A0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03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B2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7E1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A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FF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248A">
            <w:pPr>
              <w:jc w:val="center"/>
            </w:pPr>
          </w:p>
        </w:tc>
      </w:tr>
      <w:tr w14:paraId="2054106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1260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60F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A4C1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B27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88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2522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061A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EA8C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57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288C">
            <w:pPr>
              <w:jc w:val="center"/>
            </w:pPr>
            <w:r>
              <w:rPr>
                <w:rFonts w:ascii="宋体" w:hAnsi="宋体" w:eastAsia="宋体"/>
                <w:sz w:val="16"/>
              </w:rPr>
              <w:t>95.87分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B6A4BB"/>
        </w:tc>
      </w:tr>
    </w:tbl>
    <w:p w14:paraId="2728E6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F26C91F">
        <w:tblPrEx>
          <w:tblCellMar>
            <w:top w:w="0" w:type="dxa"/>
            <w:left w:w="108" w:type="dxa"/>
            <w:bottom w:w="0" w:type="dxa"/>
            <w:right w:w="108" w:type="dxa"/>
          </w:tblCellMar>
        </w:tblPrEx>
        <w:tc>
          <w:tcPr>
            <w:tcW w:w="8848" w:type="dxa"/>
            <w:gridSpan w:val="14"/>
            <w:vAlign w:val="center"/>
          </w:tcPr>
          <w:p w14:paraId="7058282B">
            <w:pPr>
              <w:jc w:val="center"/>
            </w:pPr>
            <w:r>
              <w:rPr>
                <w:rFonts w:ascii="宋体" w:hAnsi="宋体" w:eastAsia="宋体"/>
                <w:sz w:val="24"/>
              </w:rPr>
              <w:t>项目支出绩效自评表</w:t>
            </w:r>
          </w:p>
        </w:tc>
      </w:tr>
      <w:tr w14:paraId="73E9758B">
        <w:tblPrEx>
          <w:tblCellMar>
            <w:top w:w="0" w:type="dxa"/>
            <w:left w:w="108" w:type="dxa"/>
            <w:bottom w:w="0" w:type="dxa"/>
            <w:right w:w="108" w:type="dxa"/>
          </w:tblCellMar>
        </w:tblPrEx>
        <w:tc>
          <w:tcPr>
            <w:tcW w:w="8848" w:type="dxa"/>
            <w:gridSpan w:val="14"/>
            <w:vAlign w:val="center"/>
          </w:tcPr>
          <w:p w14:paraId="050A518E">
            <w:pPr>
              <w:jc w:val="center"/>
            </w:pPr>
            <w:r>
              <w:rPr>
                <w:rFonts w:ascii="宋体" w:hAnsi="宋体" w:eastAsia="宋体"/>
                <w:sz w:val="24"/>
              </w:rPr>
              <w:t>(2024年度)</w:t>
            </w:r>
          </w:p>
        </w:tc>
      </w:tr>
      <w:tr w14:paraId="642CC5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51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D6FA48">
            <w:pPr>
              <w:jc w:val="center"/>
            </w:pPr>
            <w:r>
              <w:rPr>
                <w:rFonts w:ascii="宋体" w:hAnsi="宋体" w:eastAsia="宋体"/>
                <w:sz w:val="16"/>
              </w:rPr>
              <w:t>阳霞镇：2024年隐性债务化解（阳霞镇热力外网安装工程）</w:t>
            </w:r>
          </w:p>
        </w:tc>
      </w:tr>
      <w:tr w14:paraId="31973C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D2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70203">
            <w:pPr>
              <w:jc w:val="center"/>
            </w:pPr>
            <w:r>
              <w:rPr>
                <w:rFonts w:ascii="宋体" w:hAnsi="宋体" w:eastAsia="宋体"/>
                <w:sz w:val="16"/>
              </w:rPr>
              <w:t>新疆轮台县阳霞镇人民政府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D3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184970">
            <w:pPr>
              <w:jc w:val="center"/>
            </w:pPr>
            <w:r>
              <w:rPr>
                <w:rFonts w:ascii="宋体" w:hAnsi="宋体" w:eastAsia="宋体"/>
                <w:sz w:val="16"/>
              </w:rPr>
              <w:t>轮台县阳霞镇人民政府</w:t>
            </w:r>
          </w:p>
        </w:tc>
      </w:tr>
      <w:tr w14:paraId="7EEF08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B943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B47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A51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E0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434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D6C3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647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28E8">
            <w:pPr>
              <w:jc w:val="center"/>
            </w:pPr>
            <w:r>
              <w:rPr>
                <w:rFonts w:ascii="宋体" w:hAnsi="宋体" w:eastAsia="宋体"/>
                <w:sz w:val="16"/>
              </w:rPr>
              <w:t>得分</w:t>
            </w:r>
          </w:p>
        </w:tc>
      </w:tr>
      <w:tr w14:paraId="2EDB44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CAA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B6B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925C1">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131AF">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5410">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E25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91E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6E29">
            <w:pPr>
              <w:jc w:val="center"/>
            </w:pPr>
            <w:r>
              <w:rPr>
                <w:rFonts w:ascii="宋体" w:hAnsi="宋体" w:eastAsia="宋体"/>
                <w:sz w:val="16"/>
              </w:rPr>
              <w:t>10.00</w:t>
            </w:r>
          </w:p>
        </w:tc>
      </w:tr>
      <w:tr w14:paraId="0034A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E6F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801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1855A">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507F">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A4815">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71F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96F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36A3">
            <w:pPr>
              <w:jc w:val="center"/>
            </w:pPr>
            <w:r>
              <w:rPr>
                <w:rFonts w:ascii="宋体" w:hAnsi="宋体" w:eastAsia="宋体"/>
                <w:sz w:val="16"/>
              </w:rPr>
              <w:t>-</w:t>
            </w:r>
          </w:p>
        </w:tc>
      </w:tr>
      <w:tr w14:paraId="39F5A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3B8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221A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952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628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053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B83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C12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80CC">
            <w:pPr>
              <w:jc w:val="center"/>
            </w:pPr>
            <w:r>
              <w:rPr>
                <w:rFonts w:ascii="宋体" w:hAnsi="宋体" w:eastAsia="宋体"/>
                <w:sz w:val="16"/>
              </w:rPr>
              <w:t>-</w:t>
            </w:r>
          </w:p>
        </w:tc>
      </w:tr>
      <w:tr w14:paraId="283D8C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B91D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BE6A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AA7604">
            <w:pPr>
              <w:jc w:val="center"/>
            </w:pPr>
            <w:r>
              <w:rPr>
                <w:rFonts w:ascii="宋体" w:hAnsi="宋体" w:eastAsia="宋体"/>
                <w:sz w:val="16"/>
              </w:rPr>
              <w:t>总体目标完成情况</w:t>
            </w:r>
          </w:p>
        </w:tc>
      </w:tr>
      <w:tr w14:paraId="5B847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848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C46669">
            <w:pPr>
              <w:jc w:val="both"/>
            </w:pPr>
            <w:r>
              <w:rPr>
                <w:rFonts w:ascii="宋体" w:hAnsi="宋体" w:eastAsia="宋体"/>
                <w:sz w:val="16"/>
              </w:rPr>
              <w:t>目标1：化解隐性债务1个，支付阳霞镇热力外网安装工程项目，防范和化解债务风险，确保债权人的利益得到有效保障，确保公司财务状况持续稳定，为民营经济发展营造良好的政策环境。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4DF818">
            <w:pPr>
              <w:jc w:val="both"/>
            </w:pPr>
            <w:r>
              <w:rPr>
                <w:rFonts w:ascii="宋体" w:hAnsi="宋体" w:eastAsia="宋体"/>
                <w:sz w:val="16"/>
              </w:rPr>
              <w:t>已化解隐性债务1个，支付了阳霞镇热力外网安装工程项目款，防范和化解债务风险，债权人的利益得到了有效保障，民营经济发展政策环境更加良好了。</w:t>
            </w:r>
          </w:p>
        </w:tc>
      </w:tr>
      <w:tr w14:paraId="0ACD8A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5DA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EB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01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B6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223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95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449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926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608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E3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382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0CA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E74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E62E">
            <w:pPr>
              <w:jc w:val="center"/>
            </w:pPr>
            <w:r>
              <w:rPr>
                <w:rFonts w:ascii="宋体" w:hAnsi="宋体" w:eastAsia="宋体"/>
                <w:sz w:val="16"/>
              </w:rPr>
              <w:t>偏差原因分析及改进措施</w:t>
            </w:r>
          </w:p>
        </w:tc>
      </w:tr>
      <w:tr w14:paraId="4ABD0D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8ED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7A67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EB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8FEF">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94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EE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1C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73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3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9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DE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5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8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6FDF">
            <w:pPr>
              <w:jc w:val="center"/>
            </w:pPr>
          </w:p>
        </w:tc>
      </w:tr>
      <w:tr w14:paraId="43029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235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CFE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0CA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22E8">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2D9B">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4D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6D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43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C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C1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C48F">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2F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6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69AC">
            <w:pPr>
              <w:jc w:val="center"/>
            </w:pPr>
          </w:p>
        </w:tc>
      </w:tr>
      <w:tr w14:paraId="2CEAA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13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F4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FB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D9A0">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F503">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E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D2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33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0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06D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87F5">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E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D9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86CA">
            <w:pPr>
              <w:jc w:val="center"/>
            </w:pPr>
          </w:p>
        </w:tc>
      </w:tr>
      <w:tr w14:paraId="29FA3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939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5D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51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C943">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3C13">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24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04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82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93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F00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E7CC">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A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89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BF27">
            <w:pPr>
              <w:jc w:val="center"/>
            </w:pPr>
          </w:p>
        </w:tc>
      </w:tr>
      <w:tr w14:paraId="17E27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DF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C1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CF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963D">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8522F">
            <w:pPr>
              <w:jc w:val="center"/>
            </w:pPr>
            <w:r>
              <w:rPr>
                <w:rFonts w:ascii="宋体" w:hAnsi="宋体" w:eastAsia="宋体"/>
                <w:sz w:val="16"/>
              </w:rPr>
              <w:t>&lt;=100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D6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ED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FA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DA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FE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51FA">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6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22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44A6">
            <w:pPr>
              <w:jc w:val="center"/>
            </w:pPr>
          </w:p>
        </w:tc>
      </w:tr>
      <w:tr w14:paraId="3808D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B52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47EE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812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11FA">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5F3B">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A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A3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9A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AE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E14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A3E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B7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D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0D57">
            <w:pPr>
              <w:jc w:val="center"/>
            </w:pPr>
          </w:p>
        </w:tc>
      </w:tr>
      <w:tr w14:paraId="1E8C3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F6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13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DB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791B">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CE6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B3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E0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F4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19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A8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786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5B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45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8F8A">
            <w:pPr>
              <w:jc w:val="center"/>
            </w:pPr>
          </w:p>
        </w:tc>
      </w:tr>
      <w:tr w14:paraId="18ED3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BD3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E5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03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F6BA">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7041">
            <w:pPr>
              <w:jc w:val="center"/>
            </w:pPr>
            <w:r>
              <w:rPr>
                <w:rFonts w:ascii="宋体" w:hAnsi="宋体" w:eastAsia="宋体"/>
                <w:sz w:val="16"/>
              </w:rPr>
              <w:t>&gt;=95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F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D2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88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D4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96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34CE">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7B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6B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CD30">
            <w:pPr>
              <w:jc w:val="center"/>
            </w:pPr>
          </w:p>
        </w:tc>
      </w:tr>
      <w:tr w14:paraId="1291A37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3B98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2334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5F68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CD6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2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A1FB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EB8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E075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0D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0B9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28D19"/>
        </w:tc>
      </w:tr>
    </w:tbl>
    <w:p w14:paraId="4AD202F2">
      <w:r>
        <w:br w:type="page"/>
      </w:r>
    </w:p>
    <w:p w14:paraId="73E66303">
      <w:pPr>
        <w:spacing w:line="640" w:lineRule="exact"/>
        <w:ind w:firstLine="640"/>
        <w:jc w:val="both"/>
        <w:outlineLvl w:val="2"/>
      </w:pPr>
      <w:r>
        <w:rPr>
          <w:rFonts w:ascii="黑体" w:hAnsi="黑体" w:eastAsia="黑体"/>
          <w:sz w:val="32"/>
        </w:rPr>
        <w:t>十二、其他需说明的事项</w:t>
      </w:r>
    </w:p>
    <w:p w14:paraId="10D21714">
      <w:pPr>
        <w:spacing w:line="580" w:lineRule="exact"/>
        <w:ind w:firstLine="640"/>
        <w:jc w:val="both"/>
      </w:pPr>
      <w:r>
        <w:rPr>
          <w:rFonts w:ascii="仿宋_GB2312" w:hAnsi="仿宋_GB2312" w:eastAsia="仿宋_GB2312"/>
          <w:b w:val="0"/>
          <w:sz w:val="32"/>
        </w:rPr>
        <w:t>本单位无其他需说明的事项。</w:t>
      </w:r>
    </w:p>
    <w:p w14:paraId="2C2F5D9A">
      <w:r>
        <w:br w:type="page"/>
      </w:r>
    </w:p>
    <w:p w14:paraId="47C7EF40">
      <w:pPr>
        <w:spacing w:line="240" w:lineRule="auto"/>
        <w:jc w:val="center"/>
        <w:outlineLvl w:val="1"/>
      </w:pPr>
      <w:r>
        <w:rPr>
          <w:rFonts w:ascii="黑体" w:hAnsi="黑体" w:eastAsia="黑体"/>
          <w:sz w:val="32"/>
        </w:rPr>
        <w:t>第三部分 专业名词解释</w:t>
      </w:r>
    </w:p>
    <w:p w14:paraId="67EECF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7E555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B85F3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395A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55E92E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A4F62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507E3D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2FC11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72D91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C78E9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2D3C16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62B48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D7149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332C1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CFB5435">
      <w:r>
        <w:br w:type="page"/>
      </w:r>
    </w:p>
    <w:p w14:paraId="546FBC8D">
      <w:pPr>
        <w:spacing w:line="240" w:lineRule="auto"/>
        <w:jc w:val="center"/>
        <w:outlineLvl w:val="1"/>
      </w:pPr>
      <w:r>
        <w:rPr>
          <w:rFonts w:ascii="黑体" w:hAnsi="黑体" w:eastAsia="黑体"/>
          <w:sz w:val="32"/>
        </w:rPr>
        <w:t>第四部分 部门决算报表（见附表）</w:t>
      </w:r>
    </w:p>
    <w:p w14:paraId="28F7B6D6">
      <w:pPr>
        <w:spacing w:line="240" w:lineRule="auto"/>
        <w:ind w:firstLine="640"/>
        <w:jc w:val="both"/>
      </w:pPr>
      <w:r>
        <w:rPr>
          <w:rFonts w:ascii="仿宋_GB2312" w:hAnsi="仿宋_GB2312" w:eastAsia="仿宋_GB2312"/>
          <w:b w:val="0"/>
          <w:sz w:val="32"/>
        </w:rPr>
        <w:t>一、《收入支出决算总表》</w:t>
      </w:r>
    </w:p>
    <w:p w14:paraId="11681403">
      <w:pPr>
        <w:spacing w:line="240" w:lineRule="auto"/>
        <w:ind w:firstLine="640"/>
        <w:jc w:val="both"/>
      </w:pPr>
      <w:r>
        <w:rPr>
          <w:rFonts w:ascii="仿宋_GB2312" w:hAnsi="仿宋_GB2312" w:eastAsia="仿宋_GB2312"/>
          <w:b w:val="0"/>
          <w:sz w:val="32"/>
        </w:rPr>
        <w:t>二、《收入决算表》</w:t>
      </w:r>
    </w:p>
    <w:p w14:paraId="3673870B">
      <w:pPr>
        <w:spacing w:line="240" w:lineRule="auto"/>
        <w:ind w:firstLine="640"/>
        <w:jc w:val="both"/>
      </w:pPr>
      <w:r>
        <w:rPr>
          <w:rFonts w:ascii="仿宋_GB2312" w:hAnsi="仿宋_GB2312" w:eastAsia="仿宋_GB2312"/>
          <w:b w:val="0"/>
          <w:sz w:val="32"/>
        </w:rPr>
        <w:t>三、《支出决算表》</w:t>
      </w:r>
    </w:p>
    <w:p w14:paraId="01C43D84">
      <w:pPr>
        <w:spacing w:line="240" w:lineRule="auto"/>
        <w:ind w:firstLine="640"/>
        <w:jc w:val="both"/>
      </w:pPr>
      <w:r>
        <w:rPr>
          <w:rFonts w:ascii="仿宋_GB2312" w:hAnsi="仿宋_GB2312" w:eastAsia="仿宋_GB2312"/>
          <w:b w:val="0"/>
          <w:sz w:val="32"/>
        </w:rPr>
        <w:t>四、《财政拨款收入支出决算总表》</w:t>
      </w:r>
    </w:p>
    <w:p w14:paraId="6026B619">
      <w:pPr>
        <w:spacing w:line="240" w:lineRule="auto"/>
        <w:ind w:firstLine="640"/>
        <w:jc w:val="both"/>
      </w:pPr>
      <w:r>
        <w:rPr>
          <w:rFonts w:ascii="仿宋_GB2312" w:hAnsi="仿宋_GB2312" w:eastAsia="仿宋_GB2312"/>
          <w:b w:val="0"/>
          <w:sz w:val="32"/>
        </w:rPr>
        <w:t>五、《一般公共预算财政拨款支出决算表》</w:t>
      </w:r>
    </w:p>
    <w:p w14:paraId="3D4DEE24">
      <w:pPr>
        <w:spacing w:line="240" w:lineRule="auto"/>
        <w:ind w:firstLine="640"/>
        <w:jc w:val="both"/>
      </w:pPr>
      <w:r>
        <w:rPr>
          <w:rFonts w:ascii="仿宋_GB2312" w:hAnsi="仿宋_GB2312" w:eastAsia="仿宋_GB2312"/>
          <w:b w:val="0"/>
          <w:sz w:val="32"/>
        </w:rPr>
        <w:t>六、《一般公共预算财政拨款基本支出决算表》</w:t>
      </w:r>
    </w:p>
    <w:p w14:paraId="2FA3DB61">
      <w:pPr>
        <w:spacing w:line="240" w:lineRule="auto"/>
        <w:ind w:firstLine="640"/>
        <w:jc w:val="both"/>
      </w:pPr>
      <w:r>
        <w:rPr>
          <w:rFonts w:ascii="仿宋_GB2312" w:hAnsi="仿宋_GB2312" w:eastAsia="仿宋_GB2312"/>
          <w:b w:val="0"/>
          <w:sz w:val="32"/>
        </w:rPr>
        <w:t>七、《政府性基金预算财政拨款收入支出决算表》</w:t>
      </w:r>
    </w:p>
    <w:p w14:paraId="44BB8D2B">
      <w:pPr>
        <w:spacing w:line="240" w:lineRule="auto"/>
        <w:ind w:firstLine="640"/>
        <w:jc w:val="both"/>
      </w:pPr>
      <w:r>
        <w:rPr>
          <w:rFonts w:ascii="仿宋_GB2312" w:hAnsi="仿宋_GB2312" w:eastAsia="仿宋_GB2312"/>
          <w:b w:val="0"/>
          <w:sz w:val="32"/>
        </w:rPr>
        <w:t>八、《国有资本经营预算财政拨款收入支出决算表》</w:t>
      </w:r>
    </w:p>
    <w:p w14:paraId="3AE48985">
      <w:pPr>
        <w:spacing w:line="240" w:lineRule="auto"/>
        <w:ind w:firstLine="640"/>
        <w:jc w:val="both"/>
      </w:pPr>
      <w:r>
        <w:rPr>
          <w:rFonts w:ascii="仿宋_GB2312" w:hAnsi="仿宋_GB2312" w:eastAsia="仿宋_GB2312"/>
          <w:b w:val="0"/>
          <w:sz w:val="32"/>
        </w:rPr>
        <w:t>九、《财政拨款“三公”经费支出决算表》</w:t>
      </w:r>
    </w:p>
    <w:p w14:paraId="6B525DCC">
      <w:pPr>
        <w:spacing w:line="240" w:lineRule="auto"/>
        <w:ind w:firstLine="640"/>
        <w:jc w:val="both"/>
      </w:pPr>
    </w:p>
    <w:p w14:paraId="2CC32368">
      <w:pPr>
        <w:spacing w:line="240" w:lineRule="auto"/>
        <w:ind w:firstLine="640"/>
        <w:jc w:val="both"/>
      </w:pPr>
    </w:p>
    <w:p w14:paraId="1E464322">
      <w:pPr>
        <w:spacing w:line="240" w:lineRule="auto"/>
        <w:ind w:firstLine="640"/>
        <w:jc w:val="both"/>
      </w:pPr>
    </w:p>
    <w:p w14:paraId="16001328">
      <w:pPr>
        <w:spacing w:line="240" w:lineRule="auto"/>
        <w:ind w:firstLine="640"/>
        <w:jc w:val="both"/>
      </w:pPr>
    </w:p>
    <w:p w14:paraId="64B81F4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4F05EC-F7B2-4A88-8EBA-857952543B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5DDFC885-282A-4C5C-8045-717E46E7A9EE}"/>
  </w:font>
  <w:font w:name="楷体_GB2312">
    <w:panose1 w:val="02010609030101010101"/>
    <w:charset w:val="86"/>
    <w:family w:val="auto"/>
    <w:pitch w:val="default"/>
    <w:sig w:usb0="00000001" w:usb1="080E0000" w:usb2="00000000" w:usb3="00000000" w:csb0="00040000" w:csb1="00000000"/>
    <w:embedRegular r:id="rId3" w:fontKey="{C487F524-1FA7-4CA1-B9AE-21614FD6FAAA}"/>
  </w:font>
  <w:font w:name="方正小标宋_GBK">
    <w:panose1 w:val="02000000000000000000"/>
    <w:charset w:val="86"/>
    <w:family w:val="script"/>
    <w:pitch w:val="default"/>
    <w:sig w:usb0="A00002BF" w:usb1="38CF7CFA" w:usb2="00082016" w:usb3="00000000" w:csb0="00040001" w:csb1="00000000"/>
    <w:embedRegular r:id="rId4" w:fontKey="{5A576565-17BE-438B-9800-F5F9B338F9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6C49FE"/>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333235"/>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9370</Words>
  <Characters>10765</Characters>
  <Lines>0</Lines>
  <Paragraphs>0</Paragraphs>
  <TotalTime>7</TotalTime>
  <ScaleCrop>false</ScaleCrop>
  <LinksUpToDate>false</LinksUpToDate>
  <CharactersWithSpaces>10773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2025-09-16T05:15:45Z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