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EF425A">
      <w:pPr>
        <w:keepNext w:val="0"/>
        <w:keepLines w:val="0"/>
        <w:pageBreakBefore w:val="0"/>
        <w:kinsoku/>
        <w:wordWrap/>
        <w:overflowPunct/>
        <w:topLinePunct w:val="0"/>
        <w:autoSpaceDE/>
        <w:autoSpaceDN/>
        <w:bidi w:val="0"/>
        <w:adjustRightInd/>
        <w:snapToGrid/>
        <w:spacing w:line="700" w:lineRule="exact"/>
        <w:jc w:val="center"/>
        <w:textAlignment w:val="auto"/>
        <w:rPr>
          <w:rFonts w:hint="default"/>
          <w:color w:val="auto"/>
          <w:highlight w:val="none"/>
          <w:u w:val="none"/>
        </w:rPr>
      </w:pPr>
      <w:bookmarkStart w:id="0" w:name="_GoBack"/>
    </w:p>
    <w:p w14:paraId="6D11E59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方正小标宋_GBK" w:hAnsi="方正小标宋_GBK" w:eastAsia="方正小标宋_GBK" w:cs="方正小标宋_GBK"/>
          <w:b w:val="0"/>
          <w:bCs w:val="0"/>
          <w:color w:val="auto"/>
          <w:sz w:val="40"/>
          <w:szCs w:val="40"/>
          <w:highlight w:val="none"/>
          <w:u w:val="none"/>
        </w:rPr>
      </w:pPr>
      <w:r>
        <w:rPr>
          <w:rFonts w:hint="eastAsia" w:ascii="方正小标宋_GBK" w:hAnsi="方正小标宋_GBK" w:eastAsia="方正小标宋_GBK" w:cs="方正小标宋_GBK"/>
          <w:b w:val="0"/>
          <w:bCs w:val="0"/>
          <w:color w:val="auto"/>
          <w:sz w:val="40"/>
          <w:szCs w:val="40"/>
          <w:highlight w:val="none"/>
          <w:u w:val="none"/>
        </w:rPr>
        <w:t>轮台县职业技术学校学生赴巴州红旗技师学院分流培养实施方案（征求意见稿）</w:t>
      </w:r>
    </w:p>
    <w:p w14:paraId="004CD5E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方正黑体_GBK" w:hAnsi="方正黑体_GBK" w:eastAsia="方正黑体_GBK" w:cs="方正黑体_GBK"/>
          <w:b w:val="0"/>
          <w:bCs w:val="0"/>
          <w:color w:val="auto"/>
          <w:sz w:val="31"/>
          <w:szCs w:val="31"/>
          <w:highlight w:val="none"/>
          <w:u w:val="none"/>
          <w:lang w:val="en-US" w:eastAsia="zh-CN"/>
        </w:rPr>
      </w:pPr>
      <w:r>
        <w:rPr>
          <w:rFonts w:hint="eastAsia" w:ascii="方正黑体_GBK" w:hAnsi="方正黑体_GBK" w:eastAsia="方正黑体_GBK" w:cs="方正黑体_GBK"/>
          <w:b w:val="0"/>
          <w:bCs w:val="0"/>
          <w:color w:val="auto"/>
          <w:sz w:val="31"/>
          <w:szCs w:val="31"/>
          <w:highlight w:val="none"/>
          <w:u w:val="none"/>
        </w:rPr>
        <w:t>一、项目概述</w:t>
      </w:r>
    </w:p>
    <w:p w14:paraId="376404E3">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为深入落实新疆维吾尔自治区南疆职业教育改革发展部署要求，破解轮台县职业技术学校办学资源薄弱、实训条件不足、双师型师资短缺、人才培养质量不高等发展难题，依托自治区 “鼓励南疆县域中职学校与巴州、乌鲁木齐等优质技工院校开展托管合作、对口帮扶，共享师资、实训、管理资源” 政策导向，轮台县拟联动巴州红旗技师学院开展中职学生分流培养。</w:t>
      </w:r>
    </w:p>
    <w:p w14:paraId="27D29C02">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结合县域生源实际、办学过渡需求、学籍管理模式差异与长期发展目标，通过统筹区域优质职教资源，系统性提升轮台县中职人才培养质量，补齐县域职业教育发展短板，为巴州及南疆区域产业发展培育本土化高素质技术技能人才。</w:t>
      </w:r>
    </w:p>
    <w:p w14:paraId="06060A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方正黑体_GBK" w:hAnsi="方正黑体_GBK" w:eastAsia="方正黑体_GBK" w:cs="方正黑体_GBK"/>
          <w:b w:val="0"/>
          <w:bCs w:val="0"/>
          <w:color w:val="auto"/>
          <w:sz w:val="31"/>
          <w:szCs w:val="31"/>
          <w:highlight w:val="none"/>
          <w:u w:val="none"/>
        </w:rPr>
      </w:pPr>
      <w:r>
        <w:rPr>
          <w:rFonts w:hint="default" w:ascii="方正黑体_GBK" w:hAnsi="方正黑体_GBK" w:eastAsia="方正黑体_GBK" w:cs="方正黑体_GBK"/>
          <w:b w:val="0"/>
          <w:bCs w:val="0"/>
          <w:color w:val="auto"/>
          <w:sz w:val="31"/>
          <w:szCs w:val="31"/>
          <w:highlight w:val="none"/>
          <w:u w:val="none"/>
        </w:rPr>
        <w:t>二、项目实施政策可行性</w:t>
      </w:r>
    </w:p>
    <w:p w14:paraId="0288D3F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方正楷体_GBK" w:hAnsi="方正楷体_GBK" w:eastAsia="方正楷体_GBK" w:cs="方正楷体_GBK"/>
          <w:b w:val="0"/>
          <w:bCs w:val="0"/>
          <w:color w:val="auto"/>
          <w:sz w:val="31"/>
          <w:szCs w:val="31"/>
          <w:highlight w:val="none"/>
          <w:u w:val="none"/>
          <w:lang w:eastAsia="zh-CN"/>
        </w:rPr>
      </w:pPr>
      <w:r>
        <w:rPr>
          <w:rFonts w:hint="default" w:ascii="方正楷体_GBK" w:hAnsi="方正楷体_GBK" w:eastAsia="方正楷体_GBK" w:cs="方正楷体_GBK"/>
          <w:b w:val="0"/>
          <w:bCs w:val="0"/>
          <w:color w:val="auto"/>
          <w:sz w:val="31"/>
          <w:szCs w:val="31"/>
          <w:highlight w:val="none"/>
          <w:u w:val="none"/>
        </w:rPr>
        <w:t>（一）国家职业教育改革政策支撑</w:t>
      </w:r>
      <w:r>
        <w:rPr>
          <w:rFonts w:hint="default" w:ascii="方正楷体_GBK" w:hAnsi="方正楷体_GBK" w:eastAsia="方正楷体_GBK" w:cs="方正楷体_GBK"/>
          <w:b w:val="0"/>
          <w:bCs w:val="0"/>
          <w:color w:val="auto"/>
          <w:sz w:val="31"/>
          <w:szCs w:val="31"/>
          <w:highlight w:val="none"/>
          <w:u w:val="none"/>
          <w:lang w:eastAsia="zh-CN"/>
        </w:rPr>
        <w:t>。</w:t>
      </w:r>
    </w:p>
    <w:p w14:paraId="580A795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国家职业教育改革实施方案》明确提出，要持续提升中等职业教育办学质量，推进区域职业教育资源统筹整合，鼓励优质职业院校对县域薄弱中职学校开展对口帮扶、托管共建、集团化办学，推动职业教育均衡化、高质量发展，构建适配产业发展的现代职业教育体系，为跨区域职教托管、联合育人模式提供了国家级政策支撑。</w:t>
      </w:r>
    </w:p>
    <w:p w14:paraId="60E6C27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方正楷体_GBK" w:hAnsi="方正楷体_GBK" w:eastAsia="方正楷体_GBK" w:cs="方正楷体_GBK"/>
          <w:b w:val="0"/>
          <w:bCs w:val="0"/>
          <w:color w:val="auto"/>
          <w:sz w:val="31"/>
          <w:szCs w:val="31"/>
          <w:highlight w:val="none"/>
          <w:u w:val="none"/>
          <w:lang w:eastAsia="zh-CN"/>
        </w:rPr>
      </w:pPr>
      <w:r>
        <w:rPr>
          <w:rFonts w:hint="default" w:ascii="方正楷体_GBK" w:hAnsi="方正楷体_GBK" w:eastAsia="方正楷体_GBK" w:cs="方正楷体_GBK"/>
          <w:b w:val="0"/>
          <w:bCs w:val="0"/>
          <w:color w:val="auto"/>
          <w:sz w:val="31"/>
          <w:szCs w:val="31"/>
          <w:highlight w:val="none"/>
          <w:u w:val="none"/>
        </w:rPr>
        <w:t>（二）自治区南疆职教专项政策加持</w:t>
      </w:r>
      <w:r>
        <w:rPr>
          <w:rFonts w:hint="default" w:ascii="方正楷体_GBK" w:hAnsi="方正楷体_GBK" w:eastAsia="方正楷体_GBK" w:cs="方正楷体_GBK"/>
          <w:b w:val="0"/>
          <w:bCs w:val="0"/>
          <w:color w:val="auto"/>
          <w:sz w:val="31"/>
          <w:szCs w:val="31"/>
          <w:highlight w:val="none"/>
          <w:u w:val="none"/>
          <w:lang w:eastAsia="zh-CN"/>
        </w:rPr>
        <w:t>。</w:t>
      </w:r>
    </w:p>
    <w:p w14:paraId="5BBB3AAA">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新疆维吾尔自治区针对南疆职业教育发展出台专项实施意见，明确鼓励南疆县域中职学校联动优质技工院校、职业院校开展托管合作与对口帮扶，通过师资共享、实训共建、管理共通、人才共育的模式，系统性提升南疆县域职业院校办学水平和育人能力。本项目完全贴合自治区南疆职教资源整合、强弱结对、提质培优的工作部署，是落实南疆职教帮扶政策的具体实践，政策适配度高、实施依据充分。</w:t>
      </w:r>
    </w:p>
    <w:p w14:paraId="785FB68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方正楷体_GBK" w:hAnsi="方正楷体_GBK" w:eastAsia="方正楷体_GBK" w:cs="方正楷体_GBK"/>
          <w:b w:val="0"/>
          <w:bCs w:val="0"/>
          <w:color w:val="auto"/>
          <w:sz w:val="31"/>
          <w:szCs w:val="31"/>
          <w:highlight w:val="none"/>
          <w:u w:val="none"/>
          <w:lang w:eastAsia="zh-CN"/>
        </w:rPr>
      </w:pPr>
      <w:r>
        <w:rPr>
          <w:rFonts w:hint="default" w:ascii="方正楷体_GBK" w:hAnsi="方正楷体_GBK" w:eastAsia="方正楷体_GBK" w:cs="方正楷体_GBK"/>
          <w:b w:val="0"/>
          <w:bCs w:val="0"/>
          <w:color w:val="auto"/>
          <w:sz w:val="31"/>
          <w:szCs w:val="31"/>
          <w:highlight w:val="none"/>
          <w:u w:val="none"/>
        </w:rPr>
        <w:t>（三）地方职教发展规划高度契合</w:t>
      </w:r>
      <w:r>
        <w:rPr>
          <w:rFonts w:hint="default" w:ascii="方正楷体_GBK" w:hAnsi="方正楷体_GBK" w:eastAsia="方正楷体_GBK" w:cs="方正楷体_GBK"/>
          <w:b w:val="0"/>
          <w:bCs w:val="0"/>
          <w:color w:val="auto"/>
          <w:sz w:val="31"/>
          <w:szCs w:val="31"/>
          <w:highlight w:val="none"/>
          <w:u w:val="none"/>
          <w:lang w:eastAsia="zh-CN"/>
        </w:rPr>
        <w:t>。</w:t>
      </w:r>
    </w:p>
    <w:p w14:paraId="3CEE911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轮台县始终将职业教育作为县域人才培育、产业赋能、就业增收的重要抓手，持续推进职业教育办学模式创新，积极深化跨区域教育托管帮扶工程，借力优质教育资源补齐本地办学短板。巴州作为南疆职业教育高质量发展核心区域，聚焦石油石化、现代农业、装备制造等重点产业布局，依托优质技师院校培育属地产业人才。两地职教发展规划高度契合，为本次托管培养项目落地提供了坚实的地方政策保障。</w:t>
      </w:r>
    </w:p>
    <w:p w14:paraId="3937D1C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方正黑体_GBK" w:hAnsi="方正黑体_GBK" w:eastAsia="方正黑体_GBK" w:cs="方正黑体_GBK"/>
          <w:b w:val="0"/>
          <w:bCs w:val="0"/>
          <w:color w:val="auto"/>
          <w:sz w:val="31"/>
          <w:szCs w:val="31"/>
          <w:highlight w:val="none"/>
          <w:u w:val="none"/>
        </w:rPr>
      </w:pPr>
      <w:r>
        <w:rPr>
          <w:rFonts w:hint="default" w:ascii="方正黑体_GBK" w:hAnsi="方正黑体_GBK" w:eastAsia="方正黑体_GBK" w:cs="方正黑体_GBK"/>
          <w:b w:val="0"/>
          <w:bCs w:val="0"/>
          <w:color w:val="auto"/>
          <w:sz w:val="31"/>
          <w:szCs w:val="31"/>
          <w:highlight w:val="none"/>
          <w:u w:val="none"/>
        </w:rPr>
        <w:t>三、合作双方办学基础可行性</w:t>
      </w:r>
    </w:p>
    <w:p w14:paraId="7883D09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方正楷体_GBK" w:hAnsi="方正楷体_GBK" w:eastAsia="方正楷体_GBK" w:cs="方正楷体_GBK"/>
          <w:b w:val="0"/>
          <w:bCs w:val="0"/>
          <w:color w:val="auto"/>
          <w:sz w:val="31"/>
          <w:szCs w:val="31"/>
          <w:highlight w:val="none"/>
          <w:u w:val="none"/>
          <w:lang w:eastAsia="zh-CN"/>
        </w:rPr>
      </w:pPr>
      <w:r>
        <w:rPr>
          <w:rFonts w:hint="default" w:ascii="方正楷体_GBK" w:hAnsi="方正楷体_GBK" w:eastAsia="方正楷体_GBK" w:cs="方正楷体_GBK"/>
          <w:b w:val="0"/>
          <w:bCs w:val="0"/>
          <w:color w:val="auto"/>
          <w:sz w:val="31"/>
          <w:szCs w:val="31"/>
          <w:highlight w:val="none"/>
          <w:u w:val="none"/>
        </w:rPr>
        <w:t>（一）轮台县职业技术学校办学现状及短板</w:t>
      </w:r>
      <w:r>
        <w:rPr>
          <w:rFonts w:hint="default" w:ascii="方正楷体_GBK" w:hAnsi="方正楷体_GBK" w:eastAsia="方正楷体_GBK" w:cs="方正楷体_GBK"/>
          <w:b w:val="0"/>
          <w:bCs w:val="0"/>
          <w:color w:val="auto"/>
          <w:sz w:val="31"/>
          <w:szCs w:val="31"/>
          <w:highlight w:val="none"/>
          <w:u w:val="none"/>
          <w:lang w:eastAsia="zh-CN"/>
        </w:rPr>
        <w:t>。</w:t>
      </w:r>
    </w:p>
    <w:p w14:paraId="1CEE8B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轮台县职业技术学校始建于1989年10月，在原轮台县教师进修学校基础上组建，2012年4月正式更名，占地面积283880平方米，建筑面积49681.49平方米，承担全县中等职业教育。学校现有全日制在籍学生578人，教职工52名，专任教师33人（其中同工同酬教师12人），编制数31个；开设计算机应用、中餐烹饪、电子商务、服装制作与生产管理、老年人服务与管理、设施农业生产技术、油气开采、无人机操控与维护等8个专业。</w:t>
      </w:r>
    </w:p>
    <w:p w14:paraId="087685B5">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受地域、资金、师资、硬件等条件限制，学校现阶段存在明显发展短板</w:t>
      </w:r>
      <w:r>
        <w:rPr>
          <w:rFonts w:hint="eastAsia" w:ascii="Times New Roman" w:hAnsi="Times New Roman" w:eastAsia="方正仿宋_GBK" w:cs="Times New Roman"/>
          <w:b w:val="0"/>
          <w:bCs w:val="0"/>
          <w:color w:val="auto"/>
          <w:kern w:val="0"/>
          <w:sz w:val="31"/>
          <w:szCs w:val="31"/>
          <w:highlight w:val="none"/>
          <w:u w:val="none"/>
          <w:lang w:val="en-US" w:eastAsia="zh-CN" w:bidi="ar"/>
        </w:rPr>
        <w:t>。</w:t>
      </w:r>
      <w:r>
        <w:rPr>
          <w:rFonts w:hint="default" w:ascii="Times New Roman" w:hAnsi="Times New Roman" w:eastAsia="方正仿宋_GBK" w:cs="Times New Roman"/>
          <w:b/>
          <w:bCs/>
          <w:color w:val="auto"/>
          <w:kern w:val="0"/>
          <w:sz w:val="31"/>
          <w:szCs w:val="31"/>
          <w:highlight w:val="none"/>
          <w:u w:val="none"/>
          <w:lang w:val="en-US" w:eastAsia="zh-CN" w:bidi="ar"/>
        </w:rPr>
        <w:t>一是</w:t>
      </w:r>
      <w:r>
        <w:rPr>
          <w:rFonts w:hint="default" w:ascii="Times New Roman" w:hAnsi="Times New Roman" w:eastAsia="方正仿宋_GBK" w:cs="Times New Roman"/>
          <w:b w:val="0"/>
          <w:bCs w:val="0"/>
          <w:color w:val="auto"/>
          <w:kern w:val="0"/>
          <w:sz w:val="31"/>
          <w:szCs w:val="31"/>
          <w:highlight w:val="none"/>
          <w:u w:val="none"/>
          <w:lang w:val="en-US" w:eastAsia="zh-CN" w:bidi="ar"/>
        </w:rPr>
        <w:t>优质专业师资短缺，双师型教师仅1人，高端技能教学能力薄弱；</w:t>
      </w:r>
      <w:r>
        <w:rPr>
          <w:rFonts w:hint="default" w:ascii="Times New Roman" w:hAnsi="Times New Roman" w:eastAsia="方正仿宋_GBK" w:cs="Times New Roman"/>
          <w:b/>
          <w:bCs/>
          <w:color w:val="auto"/>
          <w:kern w:val="0"/>
          <w:sz w:val="31"/>
          <w:szCs w:val="31"/>
          <w:highlight w:val="none"/>
          <w:u w:val="none"/>
          <w:lang w:val="en-US" w:eastAsia="zh-CN" w:bidi="ar"/>
        </w:rPr>
        <w:t>二是</w:t>
      </w:r>
      <w:r>
        <w:rPr>
          <w:rFonts w:hint="default" w:ascii="Times New Roman" w:hAnsi="Times New Roman" w:eastAsia="方正仿宋_GBK" w:cs="Times New Roman"/>
          <w:b w:val="0"/>
          <w:bCs w:val="0"/>
          <w:color w:val="auto"/>
          <w:kern w:val="0"/>
          <w:sz w:val="31"/>
          <w:szCs w:val="31"/>
          <w:highlight w:val="none"/>
          <w:u w:val="none"/>
          <w:lang w:val="en-US" w:eastAsia="zh-CN" w:bidi="ar"/>
        </w:rPr>
        <w:t>实训设备老旧、实训场景单一，缺乏贴合现代化产业的实操实训平台，难以满足高技能人才培养需求；</w:t>
      </w:r>
      <w:r>
        <w:rPr>
          <w:rFonts w:hint="default" w:ascii="Times New Roman" w:hAnsi="Times New Roman" w:eastAsia="方正仿宋_GBK" w:cs="Times New Roman"/>
          <w:b/>
          <w:bCs/>
          <w:color w:val="auto"/>
          <w:kern w:val="0"/>
          <w:sz w:val="31"/>
          <w:szCs w:val="31"/>
          <w:highlight w:val="none"/>
          <w:u w:val="none"/>
          <w:lang w:val="en-US" w:eastAsia="zh-CN" w:bidi="ar"/>
        </w:rPr>
        <w:t>三是</w:t>
      </w:r>
      <w:r>
        <w:rPr>
          <w:rFonts w:hint="default" w:ascii="Times New Roman" w:hAnsi="Times New Roman" w:eastAsia="方正仿宋_GBK" w:cs="Times New Roman"/>
          <w:b w:val="0"/>
          <w:bCs w:val="0"/>
          <w:color w:val="auto"/>
          <w:kern w:val="0"/>
          <w:sz w:val="31"/>
          <w:szCs w:val="31"/>
          <w:highlight w:val="none"/>
          <w:u w:val="none"/>
          <w:lang w:val="en-US" w:eastAsia="zh-CN" w:bidi="ar"/>
        </w:rPr>
        <w:t>专业课程体系更新滞后，与现代化、产业化技能人才培养标准存在差距；</w:t>
      </w:r>
      <w:r>
        <w:rPr>
          <w:rFonts w:hint="default" w:ascii="Times New Roman" w:hAnsi="Times New Roman" w:eastAsia="方正仿宋_GBK" w:cs="Times New Roman"/>
          <w:b/>
          <w:bCs/>
          <w:color w:val="auto"/>
          <w:kern w:val="0"/>
          <w:sz w:val="31"/>
          <w:szCs w:val="31"/>
          <w:highlight w:val="none"/>
          <w:u w:val="none"/>
          <w:lang w:val="en-US" w:eastAsia="zh-CN" w:bidi="ar"/>
        </w:rPr>
        <w:t>四是</w:t>
      </w:r>
      <w:r>
        <w:rPr>
          <w:rFonts w:hint="default" w:ascii="Times New Roman" w:hAnsi="Times New Roman" w:eastAsia="方正仿宋_GBK" w:cs="Times New Roman"/>
          <w:b w:val="0"/>
          <w:bCs w:val="0"/>
          <w:color w:val="auto"/>
          <w:kern w:val="0"/>
          <w:sz w:val="31"/>
          <w:szCs w:val="31"/>
          <w:highlight w:val="none"/>
          <w:u w:val="none"/>
          <w:lang w:val="en-US" w:eastAsia="zh-CN" w:bidi="ar"/>
        </w:rPr>
        <w:t>职教管理模式、育人体系不够成熟，学生职业素养培育、升学就业服务体系不完善，制约了人才培养质量提升。</w:t>
      </w:r>
    </w:p>
    <w:p w14:paraId="1C6F3E28">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方正楷体_GBK" w:hAnsi="方正楷体_GBK" w:eastAsia="方正楷体_GBK" w:cs="方正楷体_GBK"/>
          <w:b w:val="0"/>
          <w:bCs w:val="0"/>
          <w:color w:val="auto"/>
          <w:sz w:val="31"/>
          <w:szCs w:val="31"/>
          <w:highlight w:val="none"/>
          <w:u w:val="none"/>
        </w:rPr>
      </w:pPr>
      <w:r>
        <w:rPr>
          <w:rFonts w:hint="default" w:ascii="方正楷体_GBK" w:hAnsi="方正楷体_GBK" w:eastAsia="方正楷体_GBK" w:cs="方正楷体_GBK"/>
          <w:b w:val="0"/>
          <w:bCs w:val="0"/>
          <w:color w:val="auto"/>
          <w:sz w:val="31"/>
          <w:szCs w:val="31"/>
          <w:highlight w:val="none"/>
          <w:u w:val="none"/>
        </w:rPr>
        <w:t>（二）巴州红旗技师学院办学优势与专业设置</w:t>
      </w:r>
    </w:p>
    <w:p w14:paraId="435642C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巴州红旗技师学院是经自治区人民政府批复设立的公办高级别技师学院，由原巴州红旗高级技工学校升格组建，隶属于巴州人民政府管理，是巴州乃至南疆区域高技能人才培育的核心阵地，综合办学实力雄厚，完全具备</w:t>
      </w:r>
      <w:r>
        <w:rPr>
          <w:rFonts w:hint="eastAsia" w:ascii="Times New Roman" w:hAnsi="Times New Roman" w:eastAsia="方正仿宋_GBK" w:cs="Times New Roman"/>
          <w:b w:val="0"/>
          <w:bCs w:val="0"/>
          <w:color w:val="auto"/>
          <w:kern w:val="0"/>
          <w:sz w:val="31"/>
          <w:szCs w:val="31"/>
          <w:highlight w:val="none"/>
          <w:u w:val="none"/>
          <w:lang w:val="en-US" w:eastAsia="zh-CN" w:bidi="ar"/>
        </w:rPr>
        <w:t>承接</w:t>
      </w:r>
      <w:r>
        <w:rPr>
          <w:rFonts w:hint="default" w:ascii="Times New Roman" w:hAnsi="Times New Roman" w:eastAsia="方正仿宋_GBK" w:cs="Times New Roman"/>
          <w:b w:val="0"/>
          <w:bCs w:val="0"/>
          <w:color w:val="auto"/>
          <w:kern w:val="0"/>
          <w:sz w:val="31"/>
          <w:szCs w:val="31"/>
          <w:highlight w:val="none"/>
          <w:u w:val="none"/>
          <w:lang w:val="en-US" w:eastAsia="zh-CN" w:bidi="ar"/>
        </w:rPr>
        <w:t>培养县域中职学生的资质与能力。</w:t>
      </w:r>
    </w:p>
    <w:p w14:paraId="5A662D3C">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Style w:val="10"/>
          <w:rFonts w:hint="default" w:ascii="Times New Roman" w:hAnsi="Times New Roman" w:eastAsia="方正仿宋_GBK" w:cs="Times New Roman"/>
          <w:b/>
          <w:bCs/>
          <w:color w:val="auto"/>
          <w:kern w:val="0"/>
          <w:sz w:val="31"/>
          <w:szCs w:val="31"/>
          <w:highlight w:val="none"/>
          <w:u w:val="none"/>
          <w:lang w:val="en-US" w:eastAsia="zh-CN" w:bidi="ar"/>
        </w:rPr>
        <w:t>一是办学层级高，育人体系成熟</w:t>
      </w:r>
      <w:r>
        <w:rPr>
          <w:rFonts w:hint="eastAsia" w:ascii="Times New Roman" w:hAnsi="Times New Roman" w:eastAsia="方正仿宋_GBK" w:cs="Times New Roman"/>
          <w:b/>
          <w:bCs/>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学院以培养预备技师、高级工等高技能人才为核心定位，构建了完整的中职、高级工、预备技师阶梯式人才培养体系，拥有数十年技工教育办学经验，教学管理、学生管理、德育培育体系标准化、规范化，可快速实现</w:t>
      </w:r>
      <w:r>
        <w:rPr>
          <w:rFonts w:hint="eastAsia" w:ascii="Times New Roman" w:hAnsi="Times New Roman" w:eastAsia="方正仿宋_GBK" w:cs="Times New Roman"/>
          <w:b w:val="0"/>
          <w:bCs w:val="0"/>
          <w:color w:val="auto"/>
          <w:kern w:val="0"/>
          <w:sz w:val="31"/>
          <w:szCs w:val="31"/>
          <w:highlight w:val="none"/>
          <w:u w:val="none"/>
          <w:lang w:val="en-US" w:eastAsia="zh-CN" w:bidi="ar"/>
        </w:rPr>
        <w:t>县域中职分流</w:t>
      </w:r>
      <w:r>
        <w:rPr>
          <w:rFonts w:hint="default" w:ascii="Times New Roman" w:hAnsi="Times New Roman" w:eastAsia="方正仿宋_GBK" w:cs="Times New Roman"/>
          <w:b w:val="0"/>
          <w:bCs w:val="0"/>
          <w:color w:val="auto"/>
          <w:kern w:val="0"/>
          <w:sz w:val="31"/>
          <w:szCs w:val="31"/>
          <w:highlight w:val="none"/>
          <w:u w:val="none"/>
          <w:lang w:val="en-US" w:eastAsia="zh-CN" w:bidi="ar"/>
        </w:rPr>
        <w:t>学生的系统化培育。</w:t>
      </w:r>
    </w:p>
    <w:p w14:paraId="284DE5A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bCs/>
          <w:color w:val="auto"/>
          <w:kern w:val="0"/>
          <w:sz w:val="31"/>
          <w:szCs w:val="31"/>
          <w:highlight w:val="none"/>
          <w:u w:val="none"/>
          <w:lang w:val="en-US" w:eastAsia="zh-CN" w:bidi="ar"/>
        </w:rPr>
        <w:t>二是</w:t>
      </w:r>
      <w:r>
        <w:rPr>
          <w:rStyle w:val="10"/>
          <w:rFonts w:hint="default" w:ascii="Times New Roman" w:hAnsi="Times New Roman" w:eastAsia="方正仿宋_GBK" w:cs="Times New Roman"/>
          <w:b/>
          <w:bCs/>
          <w:color w:val="auto"/>
          <w:kern w:val="0"/>
          <w:sz w:val="31"/>
          <w:szCs w:val="31"/>
          <w:highlight w:val="none"/>
          <w:u w:val="none"/>
          <w:lang w:val="en-US" w:eastAsia="zh-CN" w:bidi="ar"/>
        </w:rPr>
        <w:t>专业体系完善，产业适配性强</w:t>
      </w:r>
      <w:r>
        <w:rPr>
          <w:rFonts w:hint="eastAsia" w:ascii="Times New Roman" w:hAnsi="Times New Roman" w:eastAsia="方正仿宋_GBK" w:cs="Times New Roman"/>
          <w:b/>
          <w:bCs/>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学院紧密围绕巴州石油石化、矿产开发、现代农业、装备制造等重点支柱产业布局专业，2026年共开设38个专业，覆盖机电、汽车、现代服务、轻工等多个领域，与轮台县产业发展、人才需求高度契合。</w:t>
      </w:r>
    </w:p>
    <w:p w14:paraId="2964C1A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eastAsia" w:ascii="Times New Roman" w:hAnsi="Times New Roman" w:eastAsia="方正仿宋_GBK" w:cs="Times New Roman"/>
          <w:b w:val="0"/>
          <w:bCs w:val="0"/>
          <w:color w:val="auto"/>
          <w:sz w:val="31"/>
          <w:szCs w:val="31"/>
          <w:highlight w:val="none"/>
          <w:u w:val="none"/>
          <w:lang w:eastAsia="zh-CN"/>
        </w:rPr>
      </w:pPr>
      <w:r>
        <w:rPr>
          <w:rStyle w:val="10"/>
          <w:rFonts w:hint="default" w:ascii="Times New Roman" w:hAnsi="Times New Roman" w:eastAsia="方正仿宋_GBK" w:cs="Times New Roman"/>
          <w:b/>
          <w:bCs/>
          <w:color w:val="auto"/>
          <w:sz w:val="31"/>
          <w:szCs w:val="31"/>
          <w:highlight w:val="none"/>
          <w:u w:val="none"/>
        </w:rPr>
        <w:t>自治区重点建设专业</w:t>
      </w:r>
      <w:r>
        <w:rPr>
          <w:rFonts w:hint="default" w:ascii="Times New Roman" w:hAnsi="Times New Roman" w:eastAsia="方正仿宋_GBK" w:cs="Times New Roman"/>
          <w:b/>
          <w:bCs/>
          <w:color w:val="auto"/>
          <w:sz w:val="31"/>
          <w:szCs w:val="31"/>
          <w:highlight w:val="none"/>
          <w:u w:val="none"/>
        </w:rPr>
        <w:t>：</w:t>
      </w:r>
      <w:r>
        <w:rPr>
          <w:rFonts w:hint="default" w:ascii="Times New Roman" w:hAnsi="Times New Roman" w:eastAsia="方正仿宋_GBK" w:cs="Times New Roman"/>
          <w:b w:val="0"/>
          <w:bCs w:val="0"/>
          <w:color w:val="auto"/>
          <w:sz w:val="31"/>
          <w:szCs w:val="31"/>
          <w:highlight w:val="none"/>
          <w:u w:val="none"/>
        </w:rPr>
        <w:t>电工、电气自动化设备安装与维修</w:t>
      </w:r>
      <w:r>
        <w:rPr>
          <w:rFonts w:hint="eastAsia" w:ascii="Times New Roman" w:hAnsi="Times New Roman" w:eastAsia="方正仿宋_GBK" w:cs="Times New Roman"/>
          <w:b w:val="0"/>
          <w:bCs w:val="0"/>
          <w:color w:val="auto"/>
          <w:sz w:val="31"/>
          <w:szCs w:val="31"/>
          <w:highlight w:val="none"/>
          <w:u w:val="none"/>
          <w:lang w:eastAsia="zh-CN"/>
        </w:rPr>
        <w:t>；</w:t>
      </w:r>
    </w:p>
    <w:p w14:paraId="4F40958E">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eastAsia" w:ascii="Times New Roman" w:hAnsi="Times New Roman" w:eastAsia="方正仿宋_GBK" w:cs="Times New Roman"/>
          <w:b w:val="0"/>
          <w:bCs w:val="0"/>
          <w:color w:val="auto"/>
          <w:sz w:val="31"/>
          <w:szCs w:val="31"/>
          <w:highlight w:val="none"/>
          <w:u w:val="none"/>
          <w:lang w:eastAsia="zh-CN"/>
        </w:rPr>
      </w:pPr>
      <w:r>
        <w:rPr>
          <w:rStyle w:val="10"/>
          <w:rFonts w:hint="default" w:ascii="Times New Roman" w:hAnsi="Times New Roman" w:eastAsia="方正仿宋_GBK" w:cs="Times New Roman"/>
          <w:b/>
          <w:bCs/>
          <w:color w:val="auto"/>
          <w:sz w:val="31"/>
          <w:szCs w:val="31"/>
          <w:highlight w:val="none"/>
          <w:u w:val="none"/>
        </w:rPr>
        <w:t>校级骨干专业</w:t>
      </w:r>
      <w:r>
        <w:rPr>
          <w:rFonts w:hint="default" w:ascii="Times New Roman" w:hAnsi="Times New Roman" w:eastAsia="方正仿宋_GBK" w:cs="Times New Roman"/>
          <w:b/>
          <w:bCs/>
          <w:color w:val="auto"/>
          <w:sz w:val="31"/>
          <w:szCs w:val="31"/>
          <w:highlight w:val="none"/>
          <w:u w:val="none"/>
        </w:rPr>
        <w:t>：</w:t>
      </w:r>
      <w:r>
        <w:rPr>
          <w:rFonts w:hint="default" w:ascii="Times New Roman" w:hAnsi="Times New Roman" w:eastAsia="方正仿宋_GBK" w:cs="Times New Roman"/>
          <w:b w:val="0"/>
          <w:bCs w:val="0"/>
          <w:color w:val="auto"/>
          <w:sz w:val="31"/>
          <w:szCs w:val="31"/>
          <w:highlight w:val="none"/>
          <w:u w:val="none"/>
        </w:rPr>
        <w:t>机械加工、汽车维修</w:t>
      </w:r>
      <w:r>
        <w:rPr>
          <w:rFonts w:hint="eastAsia" w:ascii="Times New Roman" w:hAnsi="Times New Roman" w:eastAsia="方正仿宋_GBK" w:cs="Times New Roman"/>
          <w:b w:val="0"/>
          <w:bCs w:val="0"/>
          <w:color w:val="auto"/>
          <w:sz w:val="31"/>
          <w:szCs w:val="31"/>
          <w:highlight w:val="none"/>
          <w:u w:val="none"/>
          <w:lang w:eastAsia="zh-CN"/>
        </w:rPr>
        <w:t>；</w:t>
      </w:r>
    </w:p>
    <w:p w14:paraId="5F39BFC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Times New Roman" w:hAnsi="Times New Roman" w:eastAsia="方正仿宋_GBK" w:cs="Times New Roman"/>
          <w:b w:val="0"/>
          <w:bCs w:val="0"/>
          <w:color w:val="auto"/>
          <w:sz w:val="31"/>
          <w:szCs w:val="31"/>
          <w:highlight w:val="none"/>
          <w:u w:val="none"/>
        </w:rPr>
      </w:pPr>
      <w:r>
        <w:rPr>
          <w:rStyle w:val="10"/>
          <w:rFonts w:hint="default" w:ascii="Times New Roman" w:hAnsi="Times New Roman" w:eastAsia="方正仿宋_GBK" w:cs="Times New Roman"/>
          <w:b/>
          <w:bCs/>
          <w:color w:val="auto"/>
          <w:sz w:val="31"/>
          <w:szCs w:val="31"/>
          <w:highlight w:val="none"/>
          <w:u w:val="none"/>
        </w:rPr>
        <w:t>核心开设专业</w:t>
      </w:r>
      <w:r>
        <w:rPr>
          <w:rFonts w:hint="default" w:ascii="Times New Roman" w:hAnsi="Times New Roman" w:eastAsia="方正仿宋_GBK" w:cs="Times New Roman"/>
          <w:b/>
          <w:bCs/>
          <w:color w:val="auto"/>
          <w:sz w:val="31"/>
          <w:szCs w:val="31"/>
          <w:highlight w:val="none"/>
          <w:u w:val="none"/>
        </w:rPr>
        <w:t>：</w:t>
      </w:r>
      <w:r>
        <w:rPr>
          <w:rFonts w:hint="default" w:ascii="Times New Roman" w:hAnsi="Times New Roman" w:eastAsia="方正仿宋_GBK" w:cs="Times New Roman"/>
          <w:b w:val="0"/>
          <w:bCs w:val="0"/>
          <w:color w:val="auto"/>
          <w:sz w:val="31"/>
          <w:szCs w:val="31"/>
          <w:highlight w:val="none"/>
          <w:u w:val="none"/>
        </w:rPr>
        <w:t>机电设备安装与维修、新能源汽车维修、智能网联汽车技术、工业机器人应用与维护、楼宇自动化控制设备安装与维护、焊接加工、汽车钣金与涂装、中式烹调、美容美发与造型、幼儿教育、计算机应用与维修、机械设备维修、无人机操控与调试、农机维修、电子产品设计与应用等。</w:t>
      </w:r>
    </w:p>
    <w:p w14:paraId="78BB74E1">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Style w:val="10"/>
          <w:rFonts w:hint="eastAsia" w:ascii="Times New Roman" w:hAnsi="Times New Roman" w:eastAsia="方正仿宋_GBK" w:cs="Times New Roman"/>
          <w:b/>
          <w:bCs/>
          <w:color w:val="auto"/>
          <w:kern w:val="0"/>
          <w:sz w:val="31"/>
          <w:szCs w:val="31"/>
          <w:highlight w:val="none"/>
          <w:u w:val="none"/>
          <w:lang w:val="en-US" w:eastAsia="zh-CN" w:bidi="ar"/>
        </w:rPr>
        <w:t>三是</w:t>
      </w:r>
      <w:r>
        <w:rPr>
          <w:rStyle w:val="10"/>
          <w:rFonts w:hint="default" w:ascii="Times New Roman" w:hAnsi="Times New Roman" w:eastAsia="方正仿宋_GBK" w:cs="Times New Roman"/>
          <w:b/>
          <w:bCs/>
          <w:color w:val="auto"/>
          <w:kern w:val="0"/>
          <w:sz w:val="31"/>
          <w:szCs w:val="31"/>
          <w:highlight w:val="none"/>
          <w:u w:val="none"/>
          <w:lang w:val="en-US" w:eastAsia="zh-CN" w:bidi="ar"/>
        </w:rPr>
        <w:t>实训资源优质，实操条件完善</w:t>
      </w:r>
      <w:r>
        <w:rPr>
          <w:rFonts w:hint="eastAsia" w:ascii="Times New Roman" w:hAnsi="Times New Roman" w:eastAsia="方正仿宋_GBK" w:cs="Times New Roman"/>
          <w:b/>
          <w:bCs/>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学院建有中央财政支持的电工电子实训基地、自治区级高技能人才培养实训基地（楼宇自动化控制、焊接方向）、巴州机电工程公共实训基地，下设30余个设备先进的实训中心，配备工业机器人、新能源汽车、AI智能实训平台、无人机操控实训系统等前沿教学设备，实现实训基地与企业生产车间无缝衔接，可提供真实化、场景化的实操教学环境。</w:t>
      </w:r>
    </w:p>
    <w:p w14:paraId="609CFF86">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eastAsia" w:ascii="Times New Roman" w:hAnsi="Times New Roman" w:eastAsia="方正仿宋_GBK" w:cs="Times New Roman"/>
          <w:b/>
          <w:bCs/>
          <w:color w:val="auto"/>
          <w:kern w:val="0"/>
          <w:sz w:val="31"/>
          <w:szCs w:val="31"/>
          <w:highlight w:val="none"/>
          <w:u w:val="none"/>
          <w:lang w:val="en-US" w:eastAsia="zh-CN" w:bidi="ar"/>
        </w:rPr>
        <w:t>四是</w:t>
      </w:r>
      <w:r>
        <w:rPr>
          <w:rStyle w:val="10"/>
          <w:rFonts w:hint="default" w:ascii="Times New Roman" w:hAnsi="Times New Roman" w:eastAsia="方正仿宋_GBK" w:cs="Times New Roman"/>
          <w:b/>
          <w:bCs/>
          <w:color w:val="auto"/>
          <w:kern w:val="0"/>
          <w:sz w:val="31"/>
          <w:szCs w:val="31"/>
          <w:highlight w:val="none"/>
          <w:u w:val="none"/>
          <w:lang w:val="en-US" w:eastAsia="zh-CN" w:bidi="ar"/>
        </w:rPr>
        <w:t>师资力量雄厚，教学质量过硬</w:t>
      </w:r>
      <w:r>
        <w:rPr>
          <w:rFonts w:hint="eastAsia" w:ascii="Times New Roman" w:hAnsi="Times New Roman" w:eastAsia="方正仿宋_GBK" w:cs="Times New Roman"/>
          <w:b/>
          <w:bCs/>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学院汇聚了一支高水平双师型师资团队，兼具理论教学能力和一线产业实操经验</w:t>
      </w:r>
      <w:r>
        <w:rPr>
          <w:rFonts w:hint="eastAsia" w:ascii="Times New Roman" w:hAnsi="Times New Roman" w:eastAsia="方正仿宋_GBK" w:cs="Times New Roman"/>
          <w:b w:val="0"/>
          <w:bCs w:val="0"/>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技能竞赛成果突出，2025年新疆职业院校技能大赛中斩获多项奖项，多个赛项晋级国家级赛事，人才培育质量稳居南疆同类院校前列。</w:t>
      </w:r>
    </w:p>
    <w:p w14:paraId="783EA3F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eastAsia" w:ascii="方正楷体_GBK" w:hAnsi="方正楷体_GBK" w:eastAsia="方正楷体_GBK" w:cs="方正楷体_GBK"/>
          <w:b w:val="0"/>
          <w:bCs w:val="0"/>
          <w:color w:val="auto"/>
          <w:sz w:val="31"/>
          <w:szCs w:val="31"/>
          <w:highlight w:val="none"/>
          <w:u w:val="none"/>
          <w:lang w:eastAsia="zh-CN"/>
        </w:rPr>
      </w:pPr>
      <w:r>
        <w:rPr>
          <w:rFonts w:hint="eastAsia" w:ascii="方正楷体_GBK" w:hAnsi="方正楷体_GBK" w:eastAsia="方正楷体_GBK" w:cs="方正楷体_GBK"/>
          <w:b w:val="0"/>
          <w:bCs w:val="0"/>
          <w:color w:val="auto"/>
          <w:sz w:val="31"/>
          <w:szCs w:val="31"/>
          <w:highlight w:val="none"/>
          <w:u w:val="none"/>
        </w:rPr>
        <w:t>（三）双方合作适配性分析</w:t>
      </w:r>
      <w:r>
        <w:rPr>
          <w:rFonts w:hint="eastAsia" w:ascii="方正楷体_GBK" w:hAnsi="方正楷体_GBK" w:eastAsia="方正楷体_GBK" w:cs="方正楷体_GBK"/>
          <w:b w:val="0"/>
          <w:bCs w:val="0"/>
          <w:color w:val="auto"/>
          <w:sz w:val="31"/>
          <w:szCs w:val="31"/>
          <w:highlight w:val="none"/>
          <w:u w:val="none"/>
          <w:lang w:eastAsia="zh-CN"/>
        </w:rPr>
        <w:t>。</w:t>
      </w:r>
    </w:p>
    <w:p w14:paraId="24BBD1CB">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两所院校地缘相近、产业同源、育人同向，合作基础扎实、适配性极强。</w:t>
      </w:r>
      <w:r>
        <w:rPr>
          <w:rFonts w:hint="default" w:ascii="Times New Roman" w:hAnsi="Times New Roman" w:eastAsia="方正仿宋_GBK" w:cs="Times New Roman"/>
          <w:b/>
          <w:bCs/>
          <w:color w:val="auto"/>
          <w:kern w:val="0"/>
          <w:sz w:val="31"/>
          <w:szCs w:val="31"/>
          <w:highlight w:val="none"/>
          <w:u w:val="none"/>
          <w:lang w:val="en-US" w:eastAsia="zh-CN" w:bidi="ar"/>
        </w:rPr>
        <w:t>从地域层面</w:t>
      </w:r>
      <w:r>
        <w:rPr>
          <w:rFonts w:hint="eastAsia" w:ascii="Times New Roman" w:hAnsi="Times New Roman" w:eastAsia="方正仿宋_GBK" w:cs="Times New Roman"/>
          <w:b/>
          <w:bCs/>
          <w:color w:val="auto"/>
          <w:kern w:val="0"/>
          <w:sz w:val="31"/>
          <w:szCs w:val="31"/>
          <w:highlight w:val="none"/>
          <w:u w:val="none"/>
          <w:lang w:val="en-US" w:eastAsia="zh-CN" w:bidi="ar"/>
        </w:rPr>
        <w:t>来看</w:t>
      </w:r>
      <w:r>
        <w:rPr>
          <w:rFonts w:hint="default" w:ascii="Times New Roman" w:hAnsi="Times New Roman" w:eastAsia="方正仿宋_GBK" w:cs="Times New Roman"/>
          <w:b/>
          <w:bCs/>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轮台县隶属于巴州，交通便捷，便于学生日常管理、家校对接和教学联动；</w:t>
      </w:r>
      <w:r>
        <w:rPr>
          <w:rFonts w:hint="default" w:ascii="Times New Roman" w:hAnsi="Times New Roman" w:eastAsia="方正仿宋_GBK" w:cs="Times New Roman"/>
          <w:b/>
          <w:bCs/>
          <w:color w:val="auto"/>
          <w:kern w:val="0"/>
          <w:sz w:val="31"/>
          <w:szCs w:val="31"/>
          <w:highlight w:val="none"/>
          <w:u w:val="none"/>
          <w:lang w:val="en-US" w:eastAsia="zh-CN" w:bidi="ar"/>
        </w:rPr>
        <w:t>从育人层面</w:t>
      </w:r>
      <w:r>
        <w:rPr>
          <w:rFonts w:hint="eastAsia" w:ascii="Times New Roman" w:hAnsi="Times New Roman" w:eastAsia="方正仿宋_GBK" w:cs="Times New Roman"/>
          <w:b/>
          <w:bCs/>
          <w:color w:val="auto"/>
          <w:kern w:val="0"/>
          <w:sz w:val="31"/>
          <w:szCs w:val="31"/>
          <w:highlight w:val="none"/>
          <w:u w:val="none"/>
          <w:lang w:val="en-US" w:eastAsia="zh-CN" w:bidi="ar"/>
        </w:rPr>
        <w:t>来看</w:t>
      </w:r>
      <w:r>
        <w:rPr>
          <w:rFonts w:hint="default" w:ascii="Times New Roman" w:hAnsi="Times New Roman" w:eastAsia="方正仿宋_GBK" w:cs="Times New Roman"/>
          <w:b/>
          <w:bCs/>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双方均聚焦区域产业技能人才培育，人才培养目标高度统一；</w:t>
      </w:r>
      <w:r>
        <w:rPr>
          <w:rFonts w:hint="default" w:ascii="Times New Roman" w:hAnsi="Times New Roman" w:eastAsia="方正仿宋_GBK" w:cs="Times New Roman"/>
          <w:b/>
          <w:bCs/>
          <w:color w:val="auto"/>
          <w:kern w:val="0"/>
          <w:sz w:val="31"/>
          <w:szCs w:val="31"/>
          <w:highlight w:val="none"/>
          <w:u w:val="none"/>
          <w:lang w:val="en-US" w:eastAsia="zh-CN" w:bidi="ar"/>
        </w:rPr>
        <w:t>从资源层面</w:t>
      </w:r>
      <w:r>
        <w:rPr>
          <w:rFonts w:hint="eastAsia" w:ascii="Times New Roman" w:hAnsi="Times New Roman" w:eastAsia="方正仿宋_GBK" w:cs="Times New Roman"/>
          <w:b/>
          <w:bCs/>
          <w:color w:val="auto"/>
          <w:kern w:val="0"/>
          <w:sz w:val="31"/>
          <w:szCs w:val="31"/>
          <w:highlight w:val="none"/>
          <w:u w:val="none"/>
          <w:lang w:val="en-US" w:eastAsia="zh-CN" w:bidi="ar"/>
        </w:rPr>
        <w:t>来看</w:t>
      </w:r>
      <w:r>
        <w:rPr>
          <w:rFonts w:hint="default" w:ascii="Times New Roman" w:hAnsi="Times New Roman" w:eastAsia="方正仿宋_GBK" w:cs="Times New Roman"/>
          <w:b/>
          <w:bCs/>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轮台县职业技术学校生源稳定</w:t>
      </w:r>
      <w:r>
        <w:rPr>
          <w:rFonts w:hint="eastAsia" w:ascii="Times New Roman" w:hAnsi="Times New Roman" w:eastAsia="方正仿宋_GBK" w:cs="Times New Roman"/>
          <w:b w:val="0"/>
          <w:bCs w:val="0"/>
          <w:color w:val="auto"/>
          <w:kern w:val="0"/>
          <w:sz w:val="31"/>
          <w:szCs w:val="31"/>
          <w:highlight w:val="none"/>
          <w:u w:val="none"/>
          <w:lang w:val="en-US" w:eastAsia="zh-CN" w:bidi="ar"/>
        </w:rPr>
        <w:t>但</w:t>
      </w:r>
      <w:r>
        <w:rPr>
          <w:rFonts w:hint="default" w:ascii="Times New Roman" w:hAnsi="Times New Roman" w:eastAsia="方正仿宋_GBK" w:cs="Times New Roman"/>
          <w:b w:val="0"/>
          <w:bCs w:val="0"/>
          <w:color w:val="auto"/>
          <w:kern w:val="0"/>
          <w:sz w:val="31"/>
          <w:szCs w:val="31"/>
          <w:highlight w:val="none"/>
          <w:u w:val="none"/>
          <w:lang w:val="en-US" w:eastAsia="zh-CN" w:bidi="ar"/>
        </w:rPr>
        <w:t>本地办学基础</w:t>
      </w:r>
      <w:r>
        <w:rPr>
          <w:rFonts w:hint="eastAsia" w:ascii="Times New Roman" w:hAnsi="Times New Roman" w:eastAsia="方正仿宋_GBK" w:cs="Times New Roman"/>
          <w:b w:val="0"/>
          <w:bCs w:val="0"/>
          <w:color w:val="auto"/>
          <w:kern w:val="0"/>
          <w:sz w:val="31"/>
          <w:szCs w:val="31"/>
          <w:highlight w:val="none"/>
          <w:u w:val="none"/>
          <w:lang w:val="en-US" w:eastAsia="zh-CN" w:bidi="ar"/>
        </w:rPr>
        <w:t>薄弱</w:t>
      </w:r>
      <w:r>
        <w:rPr>
          <w:rFonts w:hint="default" w:ascii="Times New Roman" w:hAnsi="Times New Roman" w:eastAsia="方正仿宋_GBK" w:cs="Times New Roman"/>
          <w:b w:val="0"/>
          <w:bCs w:val="0"/>
          <w:color w:val="auto"/>
          <w:kern w:val="0"/>
          <w:sz w:val="31"/>
          <w:szCs w:val="31"/>
          <w:highlight w:val="none"/>
          <w:u w:val="none"/>
          <w:lang w:val="en-US" w:eastAsia="zh-CN" w:bidi="ar"/>
        </w:rPr>
        <w:t>，巴州红旗技师学院拥有优质师资、实训、管理资源，强弱互补、资源互通，</w:t>
      </w:r>
      <w:r>
        <w:rPr>
          <w:rFonts w:hint="eastAsia" w:ascii="Times New Roman" w:hAnsi="Times New Roman" w:eastAsia="方正仿宋_GBK" w:cs="Times New Roman"/>
          <w:b w:val="0"/>
          <w:bCs w:val="0"/>
          <w:color w:val="auto"/>
          <w:kern w:val="0"/>
          <w:sz w:val="31"/>
          <w:szCs w:val="31"/>
          <w:highlight w:val="none"/>
          <w:u w:val="none"/>
          <w:lang w:val="en-US" w:eastAsia="zh-CN" w:bidi="ar"/>
        </w:rPr>
        <w:t>分流</w:t>
      </w:r>
      <w:r>
        <w:rPr>
          <w:rFonts w:hint="default" w:ascii="Times New Roman" w:hAnsi="Times New Roman" w:eastAsia="方正仿宋_GBK" w:cs="Times New Roman"/>
          <w:b w:val="0"/>
          <w:bCs w:val="0"/>
          <w:color w:val="auto"/>
          <w:kern w:val="0"/>
          <w:sz w:val="31"/>
          <w:szCs w:val="31"/>
          <w:highlight w:val="none"/>
          <w:u w:val="none"/>
          <w:lang w:val="en-US" w:eastAsia="zh-CN" w:bidi="ar"/>
        </w:rPr>
        <w:t>培养可快速补齐轮台职教短板，实现互利共赢。</w:t>
      </w:r>
    </w:p>
    <w:p w14:paraId="37B389D7">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方正黑体_GBK" w:hAnsi="方正黑体_GBK" w:eastAsia="方正黑体_GBK" w:cs="方正黑体_GBK"/>
          <w:b w:val="0"/>
          <w:bCs w:val="0"/>
          <w:color w:val="auto"/>
          <w:sz w:val="31"/>
          <w:szCs w:val="31"/>
          <w:highlight w:val="none"/>
          <w:u w:val="none"/>
        </w:rPr>
      </w:pPr>
      <w:r>
        <w:rPr>
          <w:rFonts w:hint="default" w:ascii="方正黑体_GBK" w:hAnsi="方正黑体_GBK" w:eastAsia="方正黑体_GBK" w:cs="方正黑体_GBK"/>
          <w:b w:val="0"/>
          <w:bCs w:val="0"/>
          <w:color w:val="auto"/>
          <w:sz w:val="31"/>
          <w:szCs w:val="31"/>
          <w:highlight w:val="none"/>
          <w:u w:val="none"/>
        </w:rPr>
        <w:t>四、</w:t>
      </w:r>
      <w:r>
        <w:rPr>
          <w:rFonts w:hint="eastAsia" w:ascii="方正黑体_GBK" w:hAnsi="方正黑体_GBK" w:eastAsia="方正黑体_GBK" w:cs="方正黑体_GBK"/>
          <w:b w:val="0"/>
          <w:bCs w:val="0"/>
          <w:color w:val="auto"/>
          <w:sz w:val="31"/>
          <w:szCs w:val="31"/>
          <w:highlight w:val="none"/>
          <w:u w:val="none"/>
          <w:lang w:val="en-US" w:eastAsia="zh-CN"/>
        </w:rPr>
        <w:t>分流</w:t>
      </w:r>
      <w:r>
        <w:rPr>
          <w:rFonts w:hint="default" w:ascii="方正黑体_GBK" w:hAnsi="方正黑体_GBK" w:eastAsia="方正黑体_GBK" w:cs="方正黑体_GBK"/>
          <w:b w:val="0"/>
          <w:bCs w:val="0"/>
          <w:color w:val="auto"/>
          <w:sz w:val="31"/>
          <w:szCs w:val="31"/>
          <w:highlight w:val="none"/>
          <w:u w:val="none"/>
        </w:rPr>
        <w:t>培养实施方案</w:t>
      </w:r>
    </w:p>
    <w:p w14:paraId="65A8D2DF">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eastAsia" w:ascii="方正楷体_GBK" w:hAnsi="方正楷体_GBK" w:eastAsia="方正楷体_GBK" w:cs="方正楷体_GBK"/>
          <w:b w:val="0"/>
          <w:bCs w:val="0"/>
          <w:color w:val="auto"/>
          <w:sz w:val="31"/>
          <w:szCs w:val="31"/>
          <w:highlight w:val="none"/>
          <w:u w:val="none"/>
        </w:rPr>
      </w:pPr>
      <w:r>
        <w:rPr>
          <w:rFonts w:hint="eastAsia" w:ascii="方正楷体_GBK" w:hAnsi="方正楷体_GBK" w:eastAsia="方正楷体_GBK" w:cs="方正楷体_GBK"/>
          <w:b w:val="0"/>
          <w:bCs w:val="0"/>
          <w:color w:val="auto"/>
          <w:sz w:val="31"/>
          <w:szCs w:val="31"/>
          <w:highlight w:val="none"/>
          <w:u w:val="none"/>
          <w:lang w:eastAsia="zh-CN"/>
        </w:rPr>
        <w:t>（</w:t>
      </w:r>
      <w:r>
        <w:rPr>
          <w:rFonts w:hint="eastAsia" w:ascii="方正楷体_GBK" w:hAnsi="方正楷体_GBK" w:eastAsia="方正楷体_GBK" w:cs="方正楷体_GBK"/>
          <w:b w:val="0"/>
          <w:bCs w:val="0"/>
          <w:color w:val="auto"/>
          <w:sz w:val="31"/>
          <w:szCs w:val="31"/>
          <w:highlight w:val="none"/>
          <w:u w:val="none"/>
          <w:lang w:val="en-US" w:eastAsia="zh-CN"/>
        </w:rPr>
        <w:t>一</w:t>
      </w:r>
      <w:r>
        <w:rPr>
          <w:rFonts w:hint="eastAsia" w:ascii="方正楷体_GBK" w:hAnsi="方正楷体_GBK" w:eastAsia="方正楷体_GBK" w:cs="方正楷体_GBK"/>
          <w:b w:val="0"/>
          <w:bCs w:val="0"/>
          <w:color w:val="auto"/>
          <w:sz w:val="31"/>
          <w:szCs w:val="31"/>
          <w:highlight w:val="none"/>
          <w:u w:val="none"/>
          <w:lang w:eastAsia="zh-CN"/>
        </w:rPr>
        <w:t>）</w:t>
      </w:r>
      <w:r>
        <w:rPr>
          <w:rFonts w:hint="eastAsia" w:ascii="方正楷体_GBK" w:hAnsi="方正楷体_GBK" w:eastAsia="方正楷体_GBK" w:cs="方正楷体_GBK"/>
          <w:b w:val="0"/>
          <w:bCs w:val="0"/>
          <w:color w:val="auto"/>
          <w:sz w:val="31"/>
          <w:szCs w:val="31"/>
          <w:highlight w:val="none"/>
          <w:u w:val="none"/>
        </w:rPr>
        <w:t>核心定位</w:t>
      </w:r>
    </w:p>
    <w:p w14:paraId="3833574D">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2026年</w:t>
      </w:r>
      <w:r>
        <w:rPr>
          <w:rFonts w:hint="eastAsia" w:ascii="Times New Roman" w:hAnsi="Times New Roman" w:eastAsia="方正仿宋_GBK" w:cs="Times New Roman"/>
          <w:b w:val="0"/>
          <w:bCs w:val="0"/>
          <w:color w:val="auto"/>
          <w:kern w:val="0"/>
          <w:sz w:val="31"/>
          <w:szCs w:val="31"/>
          <w:highlight w:val="none"/>
          <w:u w:val="none"/>
          <w:lang w:val="en-US" w:eastAsia="zh-CN" w:bidi="ar"/>
        </w:rPr>
        <w:t>9月</w:t>
      </w:r>
      <w:r>
        <w:rPr>
          <w:rFonts w:hint="default" w:ascii="Times New Roman" w:hAnsi="Times New Roman" w:eastAsia="方正仿宋_GBK" w:cs="Times New Roman"/>
          <w:b w:val="0"/>
          <w:bCs w:val="0"/>
          <w:color w:val="auto"/>
          <w:kern w:val="0"/>
          <w:sz w:val="31"/>
          <w:szCs w:val="31"/>
          <w:highlight w:val="none"/>
          <w:u w:val="none"/>
          <w:lang w:val="en-US" w:eastAsia="zh-CN" w:bidi="ar"/>
        </w:rPr>
        <w:t>起，</w:t>
      </w:r>
      <w:r>
        <w:rPr>
          <w:rFonts w:hint="eastAsia" w:ascii="Times New Roman" w:hAnsi="Times New Roman" w:eastAsia="方正仿宋_GBK" w:cs="Times New Roman"/>
          <w:b w:val="0"/>
          <w:bCs w:val="0"/>
          <w:color w:val="auto"/>
          <w:kern w:val="0"/>
          <w:sz w:val="31"/>
          <w:szCs w:val="31"/>
          <w:highlight w:val="none"/>
          <w:u w:val="none"/>
          <w:lang w:val="en-US" w:eastAsia="zh-CN" w:bidi="ar"/>
        </w:rPr>
        <w:t>轮台县职业技术学校根据招生计划，</w:t>
      </w:r>
      <w:r>
        <w:rPr>
          <w:rFonts w:hint="default" w:ascii="Times New Roman" w:hAnsi="Times New Roman" w:eastAsia="方正仿宋_GBK" w:cs="Times New Roman"/>
          <w:b w:val="0"/>
          <w:bCs w:val="0"/>
          <w:strike w:val="0"/>
          <w:dstrike w:val="0"/>
          <w:color w:val="auto"/>
          <w:kern w:val="0"/>
          <w:sz w:val="31"/>
          <w:szCs w:val="31"/>
          <w:highlight w:val="none"/>
          <w:u w:val="none"/>
          <w:lang w:val="en-US" w:eastAsia="zh-CN" w:bidi="ar"/>
        </w:rPr>
        <w:t>将</w:t>
      </w:r>
      <w:r>
        <w:rPr>
          <w:rFonts w:hint="eastAsia" w:ascii="Times New Roman" w:hAnsi="Times New Roman" w:eastAsia="方正仿宋_GBK" w:cs="Times New Roman"/>
          <w:b w:val="0"/>
          <w:bCs w:val="0"/>
          <w:strike w:val="0"/>
          <w:dstrike w:val="0"/>
          <w:color w:val="auto"/>
          <w:kern w:val="0"/>
          <w:sz w:val="31"/>
          <w:szCs w:val="31"/>
          <w:highlight w:val="none"/>
          <w:u w:val="none"/>
          <w:lang w:val="en-US" w:eastAsia="zh-CN" w:bidi="ar"/>
        </w:rPr>
        <w:t>有意愿报考</w:t>
      </w:r>
      <w:r>
        <w:rPr>
          <w:rFonts w:hint="eastAsia" w:ascii="Times New Roman" w:hAnsi="Times New Roman" w:eastAsia="方正仿宋_GBK" w:cs="Times New Roman"/>
          <w:b w:val="0"/>
          <w:bCs w:val="0"/>
          <w:color w:val="auto"/>
          <w:kern w:val="0"/>
          <w:sz w:val="31"/>
          <w:szCs w:val="31"/>
          <w:highlight w:val="none"/>
          <w:u w:val="none"/>
          <w:lang w:val="en-US" w:eastAsia="zh-CN" w:bidi="ar"/>
        </w:rPr>
        <w:t>巴州红旗技师学院</w:t>
      </w:r>
      <w:r>
        <w:rPr>
          <w:rFonts w:hint="eastAsia" w:ascii="Times New Roman" w:hAnsi="Times New Roman" w:eastAsia="方正仿宋_GBK" w:cs="Times New Roman"/>
          <w:b w:val="0"/>
          <w:bCs w:val="0"/>
          <w:strike w:val="0"/>
          <w:dstrike w:val="0"/>
          <w:color w:val="auto"/>
          <w:kern w:val="0"/>
          <w:sz w:val="31"/>
          <w:szCs w:val="31"/>
          <w:highlight w:val="none"/>
          <w:u w:val="none"/>
          <w:lang w:val="en-US" w:eastAsia="zh-CN" w:bidi="ar"/>
        </w:rPr>
        <w:t>的轮台籍</w:t>
      </w:r>
      <w:r>
        <w:rPr>
          <w:rFonts w:hint="default" w:ascii="Times New Roman" w:hAnsi="Times New Roman" w:eastAsia="方正仿宋_GBK" w:cs="Times New Roman"/>
          <w:b w:val="0"/>
          <w:bCs w:val="0"/>
          <w:strike w:val="0"/>
          <w:dstrike w:val="0"/>
          <w:color w:val="auto"/>
          <w:kern w:val="0"/>
          <w:sz w:val="31"/>
          <w:szCs w:val="31"/>
          <w:highlight w:val="none"/>
          <w:u w:val="none"/>
          <w:lang w:val="en-US" w:eastAsia="zh-CN" w:bidi="ar"/>
        </w:rPr>
        <w:t>初中毕业生</w:t>
      </w:r>
      <w:r>
        <w:rPr>
          <w:rFonts w:hint="eastAsia" w:ascii="Times New Roman" w:hAnsi="Times New Roman" w:eastAsia="方正仿宋_GBK" w:cs="Times New Roman"/>
          <w:b w:val="0"/>
          <w:bCs w:val="0"/>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统一分流至巴州红旗技师学院，学籍直接注册至巴州红旗技师学院</w:t>
      </w:r>
      <w:r>
        <w:rPr>
          <w:rFonts w:hint="eastAsia" w:ascii="Times New Roman" w:hAnsi="Times New Roman" w:eastAsia="方正仿宋_GBK" w:cs="Times New Roman"/>
          <w:b w:val="0"/>
          <w:bCs w:val="0"/>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现有在校生逐年</w:t>
      </w:r>
      <w:r>
        <w:rPr>
          <w:rFonts w:hint="eastAsia" w:ascii="Times New Roman" w:hAnsi="Times New Roman" w:eastAsia="方正仿宋_GBK" w:cs="Times New Roman"/>
          <w:b w:val="0"/>
          <w:bCs w:val="0"/>
          <w:color w:val="auto"/>
          <w:kern w:val="0"/>
          <w:sz w:val="31"/>
          <w:szCs w:val="31"/>
          <w:highlight w:val="none"/>
          <w:u w:val="none"/>
          <w:lang w:val="en-US" w:eastAsia="zh-CN" w:bidi="ar"/>
        </w:rPr>
        <w:t>减少</w:t>
      </w:r>
      <w:r>
        <w:rPr>
          <w:rFonts w:hint="default" w:ascii="Times New Roman" w:hAnsi="Times New Roman" w:eastAsia="方正仿宋_GBK" w:cs="Times New Roman"/>
          <w:b w:val="0"/>
          <w:bCs w:val="0"/>
          <w:color w:val="auto"/>
          <w:kern w:val="0"/>
          <w:sz w:val="31"/>
          <w:szCs w:val="31"/>
          <w:highlight w:val="none"/>
          <w:u w:val="none"/>
          <w:lang w:val="en-US" w:eastAsia="zh-CN" w:bidi="ar"/>
        </w:rPr>
        <w:t>，202</w:t>
      </w:r>
      <w:r>
        <w:rPr>
          <w:rFonts w:hint="eastAsia" w:ascii="Times New Roman" w:hAnsi="Times New Roman" w:eastAsia="方正仿宋_GBK" w:cs="Times New Roman"/>
          <w:b w:val="0"/>
          <w:bCs w:val="0"/>
          <w:color w:val="auto"/>
          <w:kern w:val="0"/>
          <w:sz w:val="31"/>
          <w:szCs w:val="31"/>
          <w:highlight w:val="none"/>
          <w:u w:val="none"/>
          <w:lang w:val="en-US" w:eastAsia="zh-CN" w:bidi="ar"/>
        </w:rPr>
        <w:t>8</w:t>
      </w:r>
      <w:r>
        <w:rPr>
          <w:rFonts w:hint="default" w:ascii="Times New Roman" w:hAnsi="Times New Roman" w:eastAsia="方正仿宋_GBK" w:cs="Times New Roman"/>
          <w:b w:val="0"/>
          <w:bCs w:val="0"/>
          <w:color w:val="auto"/>
          <w:kern w:val="0"/>
          <w:sz w:val="31"/>
          <w:szCs w:val="31"/>
          <w:highlight w:val="none"/>
          <w:u w:val="none"/>
          <w:lang w:val="en-US" w:eastAsia="zh-CN" w:bidi="ar"/>
        </w:rPr>
        <w:t>年</w:t>
      </w:r>
      <w:r>
        <w:rPr>
          <w:rFonts w:hint="eastAsia" w:ascii="Times New Roman" w:hAnsi="Times New Roman" w:eastAsia="方正仿宋_GBK" w:cs="Times New Roman"/>
          <w:b w:val="0"/>
          <w:bCs w:val="0"/>
          <w:color w:val="auto"/>
          <w:kern w:val="0"/>
          <w:sz w:val="31"/>
          <w:szCs w:val="31"/>
          <w:highlight w:val="none"/>
          <w:u w:val="none"/>
          <w:lang w:val="en-US" w:eastAsia="zh-CN" w:bidi="ar"/>
        </w:rPr>
        <w:t>9月起，逐步过渡转型开展成人教育。</w:t>
      </w:r>
    </w:p>
    <w:p w14:paraId="7B8CD21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eastAsia" w:ascii="方正楷体_GBK" w:hAnsi="方正楷体_GBK" w:eastAsia="方正楷体_GBK" w:cs="方正楷体_GBK"/>
          <w:b w:val="0"/>
          <w:bCs w:val="0"/>
          <w:color w:val="auto"/>
          <w:sz w:val="31"/>
          <w:szCs w:val="31"/>
          <w:highlight w:val="none"/>
          <w:u w:val="none"/>
        </w:rPr>
      </w:pPr>
      <w:r>
        <w:rPr>
          <w:rFonts w:hint="eastAsia" w:ascii="方正楷体_GBK" w:hAnsi="方正楷体_GBK" w:eastAsia="方正楷体_GBK" w:cs="方正楷体_GBK"/>
          <w:b w:val="0"/>
          <w:bCs w:val="0"/>
          <w:color w:val="auto"/>
          <w:sz w:val="31"/>
          <w:szCs w:val="31"/>
          <w:highlight w:val="none"/>
          <w:u w:val="none"/>
          <w:lang w:eastAsia="zh-CN"/>
        </w:rPr>
        <w:t>（</w:t>
      </w:r>
      <w:r>
        <w:rPr>
          <w:rFonts w:hint="eastAsia" w:ascii="方正楷体_GBK" w:hAnsi="方正楷体_GBK" w:eastAsia="方正楷体_GBK" w:cs="方正楷体_GBK"/>
          <w:b w:val="0"/>
          <w:bCs w:val="0"/>
          <w:color w:val="auto"/>
          <w:sz w:val="31"/>
          <w:szCs w:val="31"/>
          <w:highlight w:val="none"/>
          <w:u w:val="none"/>
          <w:lang w:val="en-US" w:eastAsia="zh-CN"/>
        </w:rPr>
        <w:t>二</w:t>
      </w:r>
      <w:r>
        <w:rPr>
          <w:rFonts w:hint="eastAsia" w:ascii="方正楷体_GBK" w:hAnsi="方正楷体_GBK" w:eastAsia="方正楷体_GBK" w:cs="方正楷体_GBK"/>
          <w:b w:val="0"/>
          <w:bCs w:val="0"/>
          <w:color w:val="auto"/>
          <w:sz w:val="31"/>
          <w:szCs w:val="31"/>
          <w:highlight w:val="none"/>
          <w:u w:val="none"/>
          <w:lang w:eastAsia="zh-CN"/>
        </w:rPr>
        <w:t>）</w:t>
      </w:r>
      <w:r>
        <w:rPr>
          <w:rFonts w:hint="eastAsia" w:ascii="方正楷体_GBK" w:hAnsi="方正楷体_GBK" w:eastAsia="方正楷体_GBK" w:cs="方正楷体_GBK"/>
          <w:b w:val="0"/>
          <w:bCs w:val="0"/>
          <w:color w:val="auto"/>
          <w:sz w:val="31"/>
          <w:szCs w:val="31"/>
          <w:highlight w:val="none"/>
          <w:u w:val="none"/>
        </w:rPr>
        <w:t>实施路径</w:t>
      </w:r>
    </w:p>
    <w:p w14:paraId="0B2090C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Times New Roman" w:hAnsi="Times New Roman" w:eastAsia="方正仿宋_GBK" w:cs="Times New Roman"/>
          <w:b w:val="0"/>
          <w:bCs w:val="0"/>
          <w:color w:val="auto"/>
          <w:sz w:val="31"/>
          <w:szCs w:val="31"/>
          <w:highlight w:val="none"/>
          <w:u w:val="none"/>
        </w:rPr>
      </w:pPr>
      <w:r>
        <w:rPr>
          <w:rFonts w:hint="eastAsia" w:ascii="Times New Roman" w:hAnsi="Times New Roman" w:eastAsia="方正仿宋_GBK" w:cs="Times New Roman"/>
          <w:b/>
          <w:bCs/>
          <w:i w:val="0"/>
          <w:iCs w:val="0"/>
          <w:color w:val="auto"/>
          <w:sz w:val="31"/>
          <w:szCs w:val="31"/>
          <w:highlight w:val="none"/>
          <w:u w:val="none"/>
          <w:lang w:val="en-US" w:eastAsia="zh-CN"/>
        </w:rPr>
        <w:t>一是</w:t>
      </w:r>
      <w:r>
        <w:rPr>
          <w:rStyle w:val="10"/>
          <w:rFonts w:hint="default" w:ascii="Times New Roman" w:hAnsi="Times New Roman" w:eastAsia="方正仿宋_GBK" w:cs="Times New Roman"/>
          <w:b/>
          <w:bCs/>
          <w:i w:val="0"/>
          <w:iCs w:val="0"/>
          <w:color w:val="auto"/>
          <w:sz w:val="31"/>
          <w:szCs w:val="31"/>
          <w:highlight w:val="none"/>
          <w:u w:val="none"/>
        </w:rPr>
        <w:t>生源规模测算</w:t>
      </w:r>
      <w:r>
        <w:rPr>
          <w:rFonts w:hint="eastAsia" w:ascii="Times New Roman" w:hAnsi="Times New Roman" w:eastAsia="方正仿宋_GBK" w:cs="Times New Roman"/>
          <w:b/>
          <w:bCs/>
          <w:i w:val="0"/>
          <w:iCs w:val="0"/>
          <w:color w:val="auto"/>
          <w:sz w:val="31"/>
          <w:szCs w:val="31"/>
          <w:highlight w:val="none"/>
          <w:u w:val="none"/>
          <w:lang w:eastAsia="zh-CN"/>
        </w:rPr>
        <w:t>。</w:t>
      </w:r>
      <w:r>
        <w:rPr>
          <w:rFonts w:hint="default" w:ascii="Times New Roman" w:hAnsi="Times New Roman" w:eastAsia="方正仿宋_GBK" w:cs="Times New Roman"/>
          <w:b w:val="0"/>
          <w:bCs w:val="0"/>
          <w:i w:val="0"/>
          <w:iCs w:val="0"/>
          <w:color w:val="auto"/>
          <w:sz w:val="31"/>
          <w:szCs w:val="31"/>
          <w:highlight w:val="none"/>
          <w:u w:val="none"/>
        </w:rPr>
        <w:t>结合轮台县义务教育阶段学生基数与普职分流比例</w:t>
      </w:r>
      <w:r>
        <w:rPr>
          <w:rFonts w:hint="eastAsia" w:ascii="Times New Roman" w:hAnsi="Times New Roman" w:eastAsia="方正仿宋_GBK" w:cs="Times New Roman"/>
          <w:b w:val="0"/>
          <w:bCs w:val="0"/>
          <w:i w:val="0"/>
          <w:iCs w:val="0"/>
          <w:color w:val="auto"/>
          <w:sz w:val="31"/>
          <w:szCs w:val="31"/>
          <w:highlight w:val="none"/>
          <w:u w:val="none"/>
          <w:lang w:eastAsia="zh-CN"/>
        </w:rPr>
        <w:t>，</w:t>
      </w:r>
      <w:r>
        <w:rPr>
          <w:rFonts w:hint="default" w:ascii="Times New Roman" w:hAnsi="Times New Roman" w:eastAsia="方正仿宋_GBK" w:cs="Times New Roman"/>
          <w:b w:val="0"/>
          <w:bCs w:val="0"/>
          <w:i w:val="0"/>
          <w:iCs w:val="0"/>
          <w:color w:val="auto"/>
          <w:sz w:val="31"/>
          <w:szCs w:val="31"/>
          <w:highlight w:val="none"/>
          <w:u w:val="none"/>
        </w:rPr>
        <w:t>2026—2029年县域中职分流生源分别为903人、618人、570人、556人。</w:t>
      </w:r>
    </w:p>
    <w:p w14:paraId="199D40E1">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eastAsia" w:ascii="Times New Roman" w:hAnsi="Times New Roman" w:eastAsia="方正仿宋_GBK" w:cs="Times New Roman"/>
          <w:b w:val="0"/>
          <w:bCs w:val="0"/>
          <w:color w:val="auto"/>
          <w:kern w:val="0"/>
          <w:sz w:val="31"/>
          <w:szCs w:val="31"/>
          <w:highlight w:val="none"/>
          <w:u w:val="none"/>
          <w:lang w:val="en-US" w:eastAsia="zh-CN" w:bidi="ar"/>
        </w:rPr>
      </w:pPr>
      <w:r>
        <w:rPr>
          <w:rStyle w:val="10"/>
          <w:rFonts w:hint="eastAsia" w:ascii="Times New Roman" w:hAnsi="Times New Roman" w:eastAsia="方正仿宋_GBK" w:cs="Times New Roman"/>
          <w:b/>
          <w:bCs/>
          <w:color w:val="auto"/>
          <w:kern w:val="0"/>
          <w:sz w:val="31"/>
          <w:szCs w:val="31"/>
          <w:highlight w:val="none"/>
          <w:u w:val="none"/>
          <w:lang w:val="en-US" w:eastAsia="zh-CN" w:bidi="ar"/>
        </w:rPr>
        <w:t>二是</w:t>
      </w:r>
      <w:r>
        <w:rPr>
          <w:rStyle w:val="10"/>
          <w:rFonts w:hint="default" w:ascii="Times New Roman" w:hAnsi="Times New Roman" w:eastAsia="方正仿宋_GBK" w:cs="Times New Roman"/>
          <w:b/>
          <w:bCs/>
          <w:color w:val="auto"/>
          <w:kern w:val="0"/>
          <w:sz w:val="31"/>
          <w:szCs w:val="31"/>
          <w:highlight w:val="none"/>
          <w:u w:val="none"/>
          <w:lang w:val="en-US" w:eastAsia="zh-CN" w:bidi="ar"/>
        </w:rPr>
        <w:t>学籍与管理</w:t>
      </w:r>
      <w:r>
        <w:rPr>
          <w:rFonts w:hint="eastAsia" w:ascii="Times New Roman" w:hAnsi="Times New Roman" w:eastAsia="方正仿宋_GBK" w:cs="Times New Roman"/>
          <w:b/>
          <w:bCs/>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分流学生学籍全部注册至巴州红旗技师学院，严格按照自治区技工院校学籍管理制度执行，由学院负责学制管理、学业考核、实训学分认定、毕业资格审核及证书办理等全流程工作。巴州红旗技师学院全面负责学生招录、教学实施、专业实训、校园住宿、安全管理、素质教育、学业评价等办学全流程工作</w:t>
      </w:r>
      <w:r>
        <w:rPr>
          <w:rFonts w:hint="eastAsia" w:ascii="Times New Roman" w:hAnsi="Times New Roman" w:eastAsia="方正仿宋_GBK" w:cs="Times New Roman"/>
          <w:b w:val="0"/>
          <w:bCs w:val="0"/>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轮台县职业技术学校负责县域生源</w:t>
      </w:r>
      <w:r>
        <w:rPr>
          <w:rFonts w:hint="eastAsia" w:ascii="Times New Roman" w:hAnsi="Times New Roman" w:eastAsia="方正仿宋_GBK" w:cs="Times New Roman"/>
          <w:b w:val="0"/>
          <w:bCs w:val="0"/>
          <w:color w:val="auto"/>
          <w:kern w:val="0"/>
          <w:sz w:val="31"/>
          <w:szCs w:val="31"/>
          <w:highlight w:val="none"/>
          <w:u w:val="none"/>
          <w:lang w:val="en-US" w:eastAsia="zh-CN" w:bidi="ar"/>
        </w:rPr>
        <w:t>前期</w:t>
      </w:r>
      <w:r>
        <w:rPr>
          <w:rFonts w:hint="default" w:ascii="Times New Roman" w:hAnsi="Times New Roman" w:eastAsia="方正仿宋_GBK" w:cs="Times New Roman"/>
          <w:b w:val="0"/>
          <w:bCs w:val="0"/>
          <w:color w:val="auto"/>
          <w:kern w:val="0"/>
          <w:sz w:val="31"/>
          <w:szCs w:val="31"/>
          <w:highlight w:val="none"/>
          <w:u w:val="none"/>
          <w:lang w:val="en-US" w:eastAsia="zh-CN" w:bidi="ar"/>
        </w:rPr>
        <w:t>宣传引导、</w:t>
      </w:r>
      <w:r>
        <w:rPr>
          <w:rFonts w:hint="eastAsia" w:ascii="Times New Roman" w:hAnsi="Times New Roman" w:eastAsia="方正仿宋_GBK" w:cs="Times New Roman"/>
          <w:b w:val="0"/>
          <w:bCs w:val="0"/>
          <w:color w:val="auto"/>
          <w:kern w:val="0"/>
          <w:sz w:val="31"/>
          <w:szCs w:val="31"/>
          <w:highlight w:val="none"/>
          <w:u w:val="none"/>
          <w:lang w:val="en-US" w:eastAsia="zh-CN" w:bidi="ar"/>
        </w:rPr>
        <w:t>协助</w:t>
      </w:r>
      <w:r>
        <w:rPr>
          <w:rFonts w:hint="default" w:ascii="Times New Roman" w:hAnsi="Times New Roman" w:eastAsia="方正仿宋_GBK" w:cs="Times New Roman"/>
          <w:b w:val="0"/>
          <w:bCs w:val="0"/>
          <w:color w:val="auto"/>
          <w:kern w:val="0"/>
          <w:sz w:val="31"/>
          <w:szCs w:val="31"/>
          <w:highlight w:val="none"/>
          <w:u w:val="none"/>
          <w:lang w:val="en-US" w:eastAsia="zh-CN" w:bidi="ar"/>
        </w:rPr>
        <w:t>家校沟通</w:t>
      </w:r>
      <w:r>
        <w:rPr>
          <w:rFonts w:hint="eastAsia" w:ascii="Times New Roman" w:hAnsi="Times New Roman" w:eastAsia="方正仿宋_GBK" w:cs="Times New Roman"/>
          <w:b w:val="0"/>
          <w:bCs w:val="0"/>
          <w:color w:val="auto"/>
          <w:kern w:val="0"/>
          <w:sz w:val="31"/>
          <w:szCs w:val="31"/>
          <w:highlight w:val="none"/>
          <w:u w:val="none"/>
          <w:lang w:val="en-US" w:eastAsia="zh-CN" w:bidi="ar"/>
        </w:rPr>
        <w:t>等</w:t>
      </w:r>
      <w:r>
        <w:rPr>
          <w:rFonts w:hint="default" w:ascii="Times New Roman" w:hAnsi="Times New Roman" w:eastAsia="方正仿宋_GBK" w:cs="Times New Roman"/>
          <w:b w:val="0"/>
          <w:bCs w:val="0"/>
          <w:color w:val="auto"/>
          <w:kern w:val="0"/>
          <w:sz w:val="31"/>
          <w:szCs w:val="31"/>
          <w:highlight w:val="none"/>
          <w:u w:val="none"/>
          <w:lang w:val="en-US" w:eastAsia="zh-CN" w:bidi="ar"/>
        </w:rPr>
        <w:t>服务工作</w:t>
      </w:r>
      <w:r>
        <w:rPr>
          <w:rFonts w:hint="eastAsia" w:ascii="Times New Roman" w:hAnsi="Times New Roman" w:eastAsia="方正仿宋_GBK" w:cs="Times New Roman"/>
          <w:b w:val="0"/>
          <w:bCs w:val="0"/>
          <w:color w:val="auto"/>
          <w:kern w:val="0"/>
          <w:sz w:val="31"/>
          <w:szCs w:val="31"/>
          <w:highlight w:val="none"/>
          <w:u w:val="none"/>
          <w:lang w:val="en-US" w:eastAsia="zh-CN" w:bidi="ar"/>
        </w:rPr>
        <w:t>。</w:t>
      </w:r>
    </w:p>
    <w:p w14:paraId="29AC57C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eastAsia" w:ascii="Times New Roman" w:hAnsi="Times New Roman" w:eastAsia="方正仿宋_GBK" w:cs="Times New Roman"/>
          <w:b/>
          <w:bCs/>
          <w:color w:val="auto"/>
          <w:kern w:val="0"/>
          <w:sz w:val="31"/>
          <w:szCs w:val="31"/>
          <w:highlight w:val="none"/>
          <w:u w:val="none"/>
          <w:lang w:val="en-US" w:eastAsia="zh-CN" w:bidi="ar"/>
        </w:rPr>
        <w:t>三是</w:t>
      </w:r>
      <w:r>
        <w:rPr>
          <w:rFonts w:hint="default" w:ascii="Times New Roman" w:hAnsi="Times New Roman" w:eastAsia="方正仿宋_GBK" w:cs="Times New Roman"/>
          <w:b/>
          <w:bCs/>
          <w:color w:val="auto"/>
          <w:kern w:val="0"/>
          <w:sz w:val="31"/>
          <w:szCs w:val="31"/>
          <w:highlight w:val="none"/>
          <w:u w:val="none"/>
          <w:lang w:val="en-US" w:eastAsia="zh-CN" w:bidi="ar"/>
        </w:rPr>
        <w:t>学生补助政策</w:t>
      </w:r>
      <w:r>
        <w:rPr>
          <w:rFonts w:hint="eastAsia" w:ascii="Times New Roman" w:hAnsi="Times New Roman" w:eastAsia="方正仿宋_GBK" w:cs="Times New Roman"/>
          <w:b/>
          <w:bCs/>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根据自治区家庭经济困难学生认定办法，轮台县财政对分流学生中的家庭经济困难学生给予专项补助：生活</w:t>
      </w:r>
      <w:r>
        <w:rPr>
          <w:rFonts w:hint="default" w:ascii="Times New Roman" w:hAnsi="Times New Roman" w:eastAsia="方正仿宋_GBK" w:cs="Times New Roman"/>
          <w:b w:val="0"/>
          <w:bCs w:val="0"/>
          <w:color w:val="auto"/>
          <w:spacing w:val="11"/>
          <w:kern w:val="0"/>
          <w:sz w:val="31"/>
          <w:szCs w:val="31"/>
          <w:highlight w:val="none"/>
          <w:u w:val="none"/>
          <w:lang w:val="en-US" w:eastAsia="zh-CN" w:bidi="ar"/>
        </w:rPr>
        <w:t>补助按1500元/生</w:t>
      </w:r>
      <w:r>
        <w:rPr>
          <w:rFonts w:hint="eastAsia" w:ascii="Times New Roman" w:hAnsi="Times New Roman" w:eastAsia="方正仿宋_GBK" w:cs="Times New Roman"/>
          <w:b w:val="0"/>
          <w:bCs w:val="0"/>
          <w:color w:val="auto"/>
          <w:spacing w:val="11"/>
          <w:kern w:val="0"/>
          <w:sz w:val="31"/>
          <w:szCs w:val="31"/>
          <w:highlight w:val="none"/>
          <w:u w:val="none"/>
          <w:lang w:val="en-US" w:eastAsia="zh-CN" w:bidi="ar"/>
        </w:rPr>
        <w:t>·</w:t>
      </w:r>
      <w:r>
        <w:rPr>
          <w:rFonts w:hint="default" w:ascii="Times New Roman" w:hAnsi="Times New Roman" w:eastAsia="方正仿宋_GBK" w:cs="Times New Roman"/>
          <w:b w:val="0"/>
          <w:bCs w:val="0"/>
          <w:color w:val="auto"/>
          <w:spacing w:val="11"/>
          <w:kern w:val="0"/>
          <w:sz w:val="31"/>
          <w:szCs w:val="31"/>
          <w:highlight w:val="none"/>
          <w:u w:val="none"/>
          <w:lang w:val="en-US" w:eastAsia="zh-CN" w:bidi="ar"/>
        </w:rPr>
        <w:t>年标准按学年拨付；寒暑假往返交通补助按500</w:t>
      </w:r>
      <w:r>
        <w:rPr>
          <w:rFonts w:hint="default" w:ascii="Times New Roman" w:hAnsi="Times New Roman" w:eastAsia="方正仿宋_GBK" w:cs="Times New Roman"/>
          <w:b w:val="0"/>
          <w:bCs w:val="0"/>
          <w:color w:val="auto"/>
          <w:kern w:val="0"/>
          <w:sz w:val="31"/>
          <w:szCs w:val="31"/>
          <w:highlight w:val="none"/>
          <w:u w:val="none"/>
          <w:lang w:val="en-US" w:eastAsia="zh-CN" w:bidi="ar"/>
        </w:rPr>
        <w:t>元/生</w:t>
      </w:r>
      <w:r>
        <w:rPr>
          <w:rFonts w:hint="eastAsia" w:ascii="Times New Roman" w:hAnsi="Times New Roman" w:eastAsia="方正仿宋_GBK" w:cs="Times New Roman"/>
          <w:b w:val="0"/>
          <w:bCs w:val="0"/>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年标准发放，学生退学后剩余补助退回财政。</w:t>
      </w:r>
    </w:p>
    <w:p w14:paraId="0402836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eastAsia" w:ascii="Times New Roman" w:hAnsi="Times New Roman" w:eastAsia="方正仿宋_GBK" w:cs="Times New Roman"/>
          <w:b w:val="0"/>
          <w:bCs w:val="0"/>
          <w:color w:val="auto"/>
          <w:kern w:val="0"/>
          <w:sz w:val="31"/>
          <w:szCs w:val="31"/>
          <w:highlight w:val="none"/>
          <w:u w:val="none"/>
          <w:lang w:val="en-US" w:eastAsia="zh-CN" w:bidi="ar"/>
        </w:rPr>
      </w:pPr>
      <w:r>
        <w:rPr>
          <w:rFonts w:hint="eastAsia" w:ascii="Times New Roman" w:hAnsi="Times New Roman" w:eastAsia="方正仿宋_GBK" w:cs="Times New Roman"/>
          <w:b/>
          <w:bCs/>
          <w:color w:val="auto"/>
          <w:kern w:val="0"/>
          <w:sz w:val="31"/>
          <w:szCs w:val="31"/>
          <w:highlight w:val="none"/>
          <w:u w:val="none"/>
          <w:lang w:val="en-US" w:eastAsia="zh-CN" w:bidi="ar"/>
        </w:rPr>
        <w:t>四是</w:t>
      </w:r>
      <w:r>
        <w:rPr>
          <w:rStyle w:val="10"/>
          <w:rFonts w:hint="default" w:ascii="Times New Roman" w:hAnsi="Times New Roman" w:eastAsia="方正仿宋_GBK" w:cs="Times New Roman"/>
          <w:b/>
          <w:bCs/>
          <w:color w:val="auto"/>
          <w:kern w:val="0"/>
          <w:sz w:val="31"/>
          <w:szCs w:val="31"/>
          <w:highlight w:val="none"/>
          <w:u w:val="none"/>
          <w:lang w:val="en-US" w:eastAsia="zh-CN" w:bidi="ar"/>
        </w:rPr>
        <w:t>职校过渡规划</w:t>
      </w:r>
      <w:r>
        <w:rPr>
          <w:rFonts w:hint="eastAsia" w:ascii="Times New Roman" w:hAnsi="Times New Roman" w:eastAsia="方正仿宋_GBK" w:cs="Times New Roman"/>
          <w:b/>
          <w:bCs/>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2026年在校生规模为370人，2027年在校生缩减至133人，</w:t>
      </w:r>
      <w:r>
        <w:rPr>
          <w:rFonts w:hint="eastAsia" w:ascii="Times New Roman" w:hAnsi="Times New Roman" w:eastAsia="方正仿宋_GBK" w:cs="Times New Roman"/>
          <w:b w:val="0"/>
          <w:bCs w:val="0"/>
          <w:color w:val="auto"/>
          <w:kern w:val="0"/>
          <w:sz w:val="31"/>
          <w:szCs w:val="31"/>
          <w:highlight w:val="none"/>
          <w:u w:val="none"/>
          <w:lang w:val="en-US" w:eastAsia="zh-CN" w:bidi="ar"/>
        </w:rPr>
        <w:t>因在校生逐年减少，</w:t>
      </w:r>
      <w:r>
        <w:rPr>
          <w:rFonts w:hint="default" w:ascii="Times New Roman" w:hAnsi="Times New Roman" w:eastAsia="方正仿宋_GBK" w:cs="Times New Roman"/>
          <w:b w:val="0"/>
          <w:bCs w:val="0"/>
          <w:color w:val="auto"/>
          <w:kern w:val="0"/>
          <w:sz w:val="31"/>
          <w:szCs w:val="31"/>
          <w:highlight w:val="none"/>
          <w:u w:val="none"/>
          <w:lang w:val="en-US" w:eastAsia="zh-CN" w:bidi="ar"/>
        </w:rPr>
        <w:t>202</w:t>
      </w:r>
      <w:r>
        <w:rPr>
          <w:rFonts w:hint="eastAsia" w:ascii="Times New Roman" w:hAnsi="Times New Roman" w:eastAsia="方正仿宋_GBK" w:cs="Times New Roman"/>
          <w:b w:val="0"/>
          <w:bCs w:val="0"/>
          <w:color w:val="auto"/>
          <w:kern w:val="0"/>
          <w:sz w:val="31"/>
          <w:szCs w:val="31"/>
          <w:highlight w:val="none"/>
          <w:u w:val="none"/>
          <w:lang w:val="en-US" w:eastAsia="zh-CN" w:bidi="ar"/>
        </w:rPr>
        <w:t>8</w:t>
      </w:r>
      <w:r>
        <w:rPr>
          <w:rFonts w:hint="default" w:ascii="Times New Roman" w:hAnsi="Times New Roman" w:eastAsia="方正仿宋_GBK" w:cs="Times New Roman"/>
          <w:b w:val="0"/>
          <w:bCs w:val="0"/>
          <w:color w:val="auto"/>
          <w:kern w:val="0"/>
          <w:sz w:val="31"/>
          <w:szCs w:val="31"/>
          <w:highlight w:val="none"/>
          <w:u w:val="none"/>
          <w:lang w:val="en-US" w:eastAsia="zh-CN" w:bidi="ar"/>
        </w:rPr>
        <w:t>年与国家开放大学轮台分校合署办公，开展成人教育，由教科局统一调配</w:t>
      </w:r>
      <w:r>
        <w:rPr>
          <w:rFonts w:hint="eastAsia" w:ascii="Times New Roman" w:hAnsi="Times New Roman" w:eastAsia="方正仿宋_GBK" w:cs="Times New Roman"/>
          <w:b w:val="0"/>
          <w:bCs w:val="0"/>
          <w:color w:val="auto"/>
          <w:kern w:val="0"/>
          <w:sz w:val="31"/>
          <w:szCs w:val="31"/>
          <w:highlight w:val="none"/>
          <w:u w:val="none"/>
          <w:lang w:val="en-US" w:eastAsia="zh-CN" w:bidi="ar"/>
        </w:rPr>
        <w:t>教育资源。</w:t>
      </w:r>
    </w:p>
    <w:p w14:paraId="016151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eastAsia" w:ascii="Times New Roman" w:hAnsi="Times New Roman" w:eastAsia="方正仿宋_GBK" w:cs="Times New Roman"/>
          <w:b/>
          <w:bCs/>
          <w:color w:val="auto"/>
          <w:kern w:val="0"/>
          <w:sz w:val="31"/>
          <w:szCs w:val="31"/>
          <w:highlight w:val="none"/>
          <w:u w:val="none"/>
          <w:lang w:val="en-US" w:eastAsia="zh-CN" w:bidi="ar"/>
        </w:rPr>
        <w:t>五是</w:t>
      </w:r>
      <w:r>
        <w:rPr>
          <w:rFonts w:hint="default" w:ascii="Times New Roman" w:hAnsi="Times New Roman" w:eastAsia="方正仿宋_GBK" w:cs="Times New Roman"/>
          <w:b/>
          <w:bCs/>
          <w:color w:val="auto"/>
          <w:sz w:val="31"/>
          <w:szCs w:val="31"/>
          <w:highlight w:val="none"/>
          <w:u w:val="none"/>
        </w:rPr>
        <w:t>经费与运行测算</w:t>
      </w:r>
      <w:r>
        <w:rPr>
          <w:rFonts w:hint="eastAsia" w:ascii="Times New Roman" w:hAnsi="Times New Roman" w:eastAsia="方正仿宋_GBK" w:cs="Times New Roman"/>
          <w:b/>
          <w:bCs/>
          <w:color w:val="auto"/>
          <w:sz w:val="31"/>
          <w:szCs w:val="31"/>
          <w:highlight w:val="none"/>
          <w:u w:val="none"/>
          <w:lang w:eastAsia="zh-CN"/>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剔除临时性、奖励性、项目性等非刚性支出，</w:t>
      </w:r>
      <w:r>
        <w:rPr>
          <w:rFonts w:hint="eastAsia" w:ascii="Times New Roman" w:hAnsi="Times New Roman" w:eastAsia="方正仿宋_GBK" w:cs="Times New Roman"/>
          <w:b w:val="0"/>
          <w:bCs w:val="0"/>
          <w:color w:val="auto"/>
          <w:kern w:val="0"/>
          <w:sz w:val="31"/>
          <w:szCs w:val="31"/>
          <w:highlight w:val="none"/>
          <w:u w:val="none"/>
          <w:lang w:val="en-US" w:eastAsia="zh-CN" w:bidi="ar"/>
        </w:rPr>
        <w:t>经测算，</w:t>
      </w:r>
      <w:r>
        <w:rPr>
          <w:rFonts w:hint="default" w:ascii="Times New Roman" w:hAnsi="Times New Roman" w:eastAsia="方正仿宋_GBK" w:cs="Times New Roman"/>
          <w:b w:val="0"/>
          <w:bCs w:val="0"/>
          <w:color w:val="auto"/>
          <w:kern w:val="0"/>
          <w:sz w:val="31"/>
          <w:szCs w:val="31"/>
          <w:highlight w:val="none"/>
          <w:u w:val="none"/>
          <w:lang w:val="en-US" w:eastAsia="zh-CN" w:bidi="ar"/>
        </w:rPr>
        <w:t>轮台县职业技术学校需最少留存245至260名在校生</w:t>
      </w:r>
      <w:r>
        <w:rPr>
          <w:rFonts w:hint="eastAsia" w:ascii="Times New Roman" w:hAnsi="Times New Roman" w:eastAsia="方正仿宋_GBK" w:cs="Times New Roman"/>
          <w:b w:val="0"/>
          <w:bCs w:val="0"/>
          <w:color w:val="auto"/>
          <w:kern w:val="0"/>
          <w:sz w:val="31"/>
          <w:szCs w:val="31"/>
          <w:highlight w:val="none"/>
          <w:u w:val="none"/>
          <w:lang w:val="en-US" w:eastAsia="zh-CN" w:bidi="ar"/>
        </w:rPr>
        <w:t>费用，方可保持正常运转。</w:t>
      </w:r>
      <w:r>
        <w:rPr>
          <w:rFonts w:hint="default" w:ascii="Times New Roman" w:hAnsi="Times New Roman" w:eastAsia="方正仿宋_GBK" w:cs="Times New Roman"/>
          <w:b w:val="0"/>
          <w:bCs w:val="0"/>
          <w:color w:val="auto"/>
          <w:kern w:val="0"/>
          <w:sz w:val="31"/>
          <w:szCs w:val="31"/>
          <w:highlight w:val="none"/>
          <w:u w:val="none"/>
          <w:lang w:val="en-US" w:eastAsia="zh-CN" w:bidi="ar"/>
        </w:rPr>
        <w:t>年度最低刚性运行经费（不含伙食费、教材费）为98.25万元；若包含在校生伙食费（0.2万元/生</w:t>
      </w:r>
      <w:r>
        <w:rPr>
          <w:rFonts w:hint="eastAsia" w:ascii="Times New Roman" w:hAnsi="Times New Roman" w:eastAsia="方正仿宋_GBK" w:cs="Times New Roman"/>
          <w:b w:val="0"/>
          <w:bCs w:val="0"/>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年）、教材费（0.03万元/生</w:t>
      </w:r>
      <w:r>
        <w:rPr>
          <w:rFonts w:hint="eastAsia" w:ascii="Times New Roman" w:hAnsi="Times New Roman" w:eastAsia="方正仿宋_GBK" w:cs="Times New Roman"/>
          <w:b w:val="0"/>
          <w:bCs w:val="0"/>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年），年度总刚性支出约154.6万元。</w:t>
      </w:r>
    </w:p>
    <w:p w14:paraId="4691BEB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办学经费来源为县级财政生均公用经费0.2万元/生</w:t>
      </w:r>
      <w:r>
        <w:rPr>
          <w:rFonts w:hint="eastAsia" w:ascii="Times New Roman" w:hAnsi="Times New Roman" w:eastAsia="方正仿宋_GBK" w:cs="Times New Roman"/>
          <w:b w:val="0"/>
          <w:bCs w:val="0"/>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年、国家免学费补助</w:t>
      </w:r>
      <w:r>
        <w:rPr>
          <w:rFonts w:hint="eastAsia" w:ascii="Times New Roman" w:hAnsi="Times New Roman" w:eastAsia="方正仿宋_GBK" w:cs="Times New Roman"/>
          <w:b w:val="0"/>
          <w:bCs w:val="0"/>
          <w:color w:val="auto"/>
          <w:kern w:val="0"/>
          <w:sz w:val="31"/>
          <w:szCs w:val="31"/>
          <w:highlight w:val="none"/>
          <w:u w:val="none"/>
          <w:lang w:val="en-US" w:eastAsia="zh-CN" w:bidi="ar"/>
        </w:rPr>
        <w:t>约</w:t>
      </w:r>
      <w:r>
        <w:rPr>
          <w:rFonts w:hint="default" w:ascii="Times New Roman" w:hAnsi="Times New Roman" w:eastAsia="方正仿宋_GBK" w:cs="Times New Roman"/>
          <w:b w:val="0"/>
          <w:bCs w:val="0"/>
          <w:color w:val="auto"/>
          <w:kern w:val="0"/>
          <w:sz w:val="31"/>
          <w:szCs w:val="31"/>
          <w:highlight w:val="none"/>
          <w:u w:val="none"/>
          <w:lang w:val="en-US" w:eastAsia="zh-CN" w:bidi="ar"/>
        </w:rPr>
        <w:t>0.2万元/生</w:t>
      </w:r>
      <w:r>
        <w:rPr>
          <w:rFonts w:hint="eastAsia" w:ascii="Times New Roman" w:hAnsi="Times New Roman" w:eastAsia="方正仿宋_GBK" w:cs="Times New Roman"/>
          <w:b w:val="0"/>
          <w:bCs w:val="0"/>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年，分年度保障情况：</w:t>
      </w:r>
    </w:p>
    <w:p w14:paraId="7AD5D1F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Times New Roman" w:hAnsi="Times New Roman" w:eastAsia="方正仿宋_GBK" w:cs="Times New Roman"/>
          <w:b w:val="0"/>
          <w:bCs w:val="0"/>
          <w:color w:val="auto"/>
          <w:sz w:val="31"/>
          <w:szCs w:val="31"/>
          <w:highlight w:val="none"/>
          <w:u w:val="none"/>
        </w:rPr>
      </w:pPr>
      <w:r>
        <w:rPr>
          <w:rFonts w:hint="default" w:ascii="Times New Roman" w:hAnsi="Times New Roman" w:eastAsia="方正仿宋_GBK" w:cs="Times New Roman"/>
          <w:b/>
          <w:bCs/>
          <w:color w:val="auto"/>
          <w:sz w:val="31"/>
          <w:szCs w:val="31"/>
          <w:highlight w:val="none"/>
          <w:u w:val="none"/>
        </w:rPr>
        <w:t>2026年：</w:t>
      </w:r>
      <w:r>
        <w:rPr>
          <w:rFonts w:hint="default" w:ascii="Times New Roman" w:hAnsi="Times New Roman" w:eastAsia="方正仿宋_GBK" w:cs="Times New Roman"/>
          <w:b w:val="0"/>
          <w:bCs w:val="0"/>
          <w:color w:val="auto"/>
          <w:sz w:val="31"/>
          <w:szCs w:val="31"/>
          <w:highlight w:val="none"/>
          <w:u w:val="none"/>
        </w:rPr>
        <w:t>在校370人，生均经费可覆盖办学支出，无需额外财政补助。</w:t>
      </w:r>
    </w:p>
    <w:p w14:paraId="5D3EAB3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Times New Roman" w:hAnsi="Times New Roman" w:eastAsia="方正仿宋_GBK" w:cs="Times New Roman"/>
          <w:b w:val="0"/>
          <w:bCs w:val="0"/>
          <w:color w:val="auto"/>
          <w:sz w:val="31"/>
          <w:szCs w:val="31"/>
          <w:highlight w:val="none"/>
          <w:u w:val="none"/>
        </w:rPr>
      </w:pPr>
      <w:r>
        <w:rPr>
          <w:rFonts w:hint="default" w:ascii="Times New Roman" w:hAnsi="Times New Roman" w:eastAsia="方正仿宋_GBK" w:cs="Times New Roman"/>
          <w:b/>
          <w:bCs/>
          <w:color w:val="auto"/>
          <w:sz w:val="31"/>
          <w:szCs w:val="31"/>
          <w:highlight w:val="none"/>
          <w:u w:val="none"/>
        </w:rPr>
        <w:t>2027年：</w:t>
      </w:r>
      <w:r>
        <w:rPr>
          <w:rFonts w:hint="default" w:ascii="Times New Roman" w:hAnsi="Times New Roman" w:eastAsia="方正仿宋_GBK" w:cs="Times New Roman"/>
          <w:b w:val="0"/>
          <w:bCs w:val="0"/>
          <w:color w:val="auto"/>
          <w:sz w:val="31"/>
          <w:szCs w:val="31"/>
          <w:highlight w:val="none"/>
          <w:u w:val="none"/>
        </w:rPr>
        <w:t>在校生133人，可获得生均经费约53.2万元，需县级财政额外拨付约45万元（不含食宿）</w:t>
      </w:r>
      <w:r>
        <w:rPr>
          <w:rFonts w:hint="eastAsia" w:ascii="Times New Roman" w:hAnsi="Times New Roman" w:eastAsia="方正仿宋_GBK" w:cs="Times New Roman"/>
          <w:b w:val="0"/>
          <w:bCs w:val="0"/>
          <w:color w:val="auto"/>
          <w:sz w:val="31"/>
          <w:szCs w:val="31"/>
          <w:highlight w:val="none"/>
          <w:u w:val="none"/>
          <w:lang w:eastAsia="zh-CN"/>
        </w:rPr>
        <w:t>—</w:t>
      </w:r>
      <w:r>
        <w:rPr>
          <w:rFonts w:hint="eastAsia" w:ascii="Times New Roman" w:hAnsi="Times New Roman" w:eastAsia="方正仿宋_GBK" w:cs="Times New Roman"/>
          <w:b w:val="0"/>
          <w:bCs w:val="0"/>
          <w:color w:val="auto"/>
          <w:sz w:val="31"/>
          <w:szCs w:val="31"/>
          <w:highlight w:val="none"/>
          <w:u w:val="none"/>
          <w:lang w:val="en-US" w:eastAsia="zh-CN"/>
        </w:rPr>
        <w:t>约77万元（含食宿）</w:t>
      </w:r>
      <w:r>
        <w:rPr>
          <w:rFonts w:hint="default" w:ascii="Times New Roman" w:hAnsi="Times New Roman" w:eastAsia="方正仿宋_GBK" w:cs="Times New Roman"/>
          <w:b w:val="0"/>
          <w:bCs w:val="0"/>
          <w:color w:val="auto"/>
          <w:sz w:val="31"/>
          <w:szCs w:val="31"/>
          <w:highlight w:val="none"/>
          <w:u w:val="none"/>
        </w:rPr>
        <w:t>，</w:t>
      </w:r>
      <w:r>
        <w:rPr>
          <w:rFonts w:hint="eastAsia" w:ascii="Times New Roman" w:hAnsi="Times New Roman" w:eastAsia="方正仿宋_GBK" w:cs="Times New Roman"/>
          <w:b w:val="0"/>
          <w:bCs w:val="0"/>
          <w:color w:val="auto"/>
          <w:sz w:val="31"/>
          <w:szCs w:val="31"/>
          <w:highlight w:val="none"/>
          <w:u w:val="none"/>
          <w:lang w:val="en-US" w:eastAsia="zh-CN"/>
        </w:rPr>
        <w:t>方可</w:t>
      </w:r>
      <w:r>
        <w:rPr>
          <w:rFonts w:hint="default" w:ascii="Times New Roman" w:hAnsi="Times New Roman" w:eastAsia="方正仿宋_GBK" w:cs="Times New Roman"/>
          <w:b w:val="0"/>
          <w:bCs w:val="0"/>
          <w:color w:val="auto"/>
          <w:sz w:val="31"/>
          <w:szCs w:val="31"/>
          <w:highlight w:val="none"/>
          <w:u w:val="none"/>
        </w:rPr>
        <w:t>保障学校正常运转。</w:t>
      </w:r>
    </w:p>
    <w:p w14:paraId="5927C4E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2" w:firstLineChars="200"/>
        <w:jc w:val="both"/>
        <w:textAlignment w:val="auto"/>
        <w:rPr>
          <w:rFonts w:hint="default" w:ascii="Times New Roman" w:hAnsi="Times New Roman" w:eastAsia="方正仿宋_GBK" w:cs="Times New Roman"/>
          <w:b w:val="0"/>
          <w:bCs w:val="0"/>
          <w:color w:val="auto"/>
          <w:sz w:val="31"/>
          <w:szCs w:val="31"/>
          <w:highlight w:val="none"/>
          <w:u w:val="none"/>
        </w:rPr>
      </w:pPr>
      <w:r>
        <w:rPr>
          <w:rFonts w:hint="default" w:ascii="Times New Roman" w:hAnsi="Times New Roman" w:eastAsia="方正仿宋_GBK" w:cs="Times New Roman"/>
          <w:b/>
          <w:bCs/>
          <w:color w:val="auto"/>
          <w:sz w:val="31"/>
          <w:szCs w:val="31"/>
          <w:highlight w:val="none"/>
          <w:u w:val="none"/>
        </w:rPr>
        <w:t>2028年</w:t>
      </w:r>
      <w:r>
        <w:rPr>
          <w:rFonts w:hint="eastAsia" w:ascii="Times New Roman" w:hAnsi="Times New Roman" w:eastAsia="方正仿宋_GBK" w:cs="Times New Roman"/>
          <w:b/>
          <w:bCs/>
          <w:color w:val="auto"/>
          <w:sz w:val="31"/>
          <w:szCs w:val="31"/>
          <w:highlight w:val="none"/>
          <w:u w:val="none"/>
          <w:lang w:val="en-US" w:eastAsia="zh-CN"/>
        </w:rPr>
        <w:t>9月起</w:t>
      </w:r>
      <w:r>
        <w:rPr>
          <w:rFonts w:hint="default" w:ascii="Times New Roman" w:hAnsi="Times New Roman" w:eastAsia="方正仿宋_GBK" w:cs="Times New Roman"/>
          <w:b/>
          <w:bCs/>
          <w:color w:val="auto"/>
          <w:sz w:val="31"/>
          <w:szCs w:val="31"/>
          <w:highlight w:val="none"/>
          <w:u w:val="none"/>
        </w:rPr>
        <w:t>：</w:t>
      </w:r>
      <w:r>
        <w:rPr>
          <w:rFonts w:hint="default" w:ascii="Times New Roman" w:hAnsi="Times New Roman" w:eastAsia="方正仿宋_GBK" w:cs="Times New Roman"/>
          <w:b w:val="0"/>
          <w:bCs w:val="0"/>
          <w:color w:val="auto"/>
          <w:sz w:val="31"/>
          <w:szCs w:val="31"/>
          <w:highlight w:val="none"/>
          <w:u w:val="none"/>
        </w:rPr>
        <w:t>经费缺口按</w:t>
      </w:r>
      <w:r>
        <w:rPr>
          <w:rFonts w:hint="eastAsia" w:ascii="Times New Roman" w:hAnsi="Times New Roman" w:eastAsia="方正仿宋_GBK" w:cs="Times New Roman"/>
          <w:b w:val="0"/>
          <w:bCs w:val="0"/>
          <w:color w:val="auto"/>
          <w:sz w:val="31"/>
          <w:szCs w:val="31"/>
          <w:highlight w:val="none"/>
          <w:u w:val="none"/>
          <w:lang w:val="en-US" w:eastAsia="zh-CN"/>
        </w:rPr>
        <w:t>需</w:t>
      </w:r>
      <w:r>
        <w:rPr>
          <w:rFonts w:hint="default" w:ascii="Times New Roman" w:hAnsi="Times New Roman" w:eastAsia="方正仿宋_GBK" w:cs="Times New Roman"/>
          <w:b w:val="0"/>
          <w:bCs w:val="0"/>
          <w:color w:val="auto"/>
          <w:sz w:val="31"/>
          <w:szCs w:val="31"/>
          <w:highlight w:val="none"/>
          <w:u w:val="none"/>
        </w:rPr>
        <w:t>由县级财政统筹保障。</w:t>
      </w:r>
    </w:p>
    <w:p w14:paraId="7F34E28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eastAsia" w:ascii="方正楷体_GBK" w:hAnsi="方正楷体_GBK" w:eastAsia="方正楷体_GBK" w:cs="方正楷体_GBK"/>
          <w:b w:val="0"/>
          <w:bCs w:val="0"/>
          <w:color w:val="auto"/>
          <w:sz w:val="31"/>
          <w:szCs w:val="31"/>
          <w:highlight w:val="none"/>
          <w:u w:val="none"/>
        </w:rPr>
      </w:pPr>
      <w:r>
        <w:rPr>
          <w:rFonts w:hint="eastAsia" w:ascii="方正楷体_GBK" w:hAnsi="方正楷体_GBK" w:eastAsia="方正楷体_GBK" w:cs="方正楷体_GBK"/>
          <w:b w:val="0"/>
          <w:bCs w:val="0"/>
          <w:color w:val="auto"/>
          <w:sz w:val="31"/>
          <w:szCs w:val="31"/>
          <w:highlight w:val="none"/>
          <w:u w:val="none"/>
          <w:lang w:eastAsia="zh-CN"/>
        </w:rPr>
        <w:t>（</w:t>
      </w:r>
      <w:r>
        <w:rPr>
          <w:rFonts w:hint="eastAsia" w:ascii="方正楷体_GBK" w:hAnsi="方正楷体_GBK" w:eastAsia="方正楷体_GBK" w:cs="方正楷体_GBK"/>
          <w:b w:val="0"/>
          <w:bCs w:val="0"/>
          <w:color w:val="auto"/>
          <w:sz w:val="31"/>
          <w:szCs w:val="31"/>
          <w:highlight w:val="none"/>
          <w:u w:val="none"/>
          <w:lang w:val="en-US" w:eastAsia="zh-CN"/>
        </w:rPr>
        <w:t>三</w:t>
      </w:r>
      <w:r>
        <w:rPr>
          <w:rFonts w:hint="eastAsia" w:ascii="方正楷体_GBK" w:hAnsi="方正楷体_GBK" w:eastAsia="方正楷体_GBK" w:cs="方正楷体_GBK"/>
          <w:b w:val="0"/>
          <w:bCs w:val="0"/>
          <w:color w:val="auto"/>
          <w:sz w:val="31"/>
          <w:szCs w:val="31"/>
          <w:highlight w:val="none"/>
          <w:u w:val="none"/>
          <w:lang w:eastAsia="zh-CN"/>
        </w:rPr>
        <w:t>）</w:t>
      </w:r>
      <w:r>
        <w:rPr>
          <w:rFonts w:hint="eastAsia" w:ascii="方正楷体_GBK" w:hAnsi="方正楷体_GBK" w:eastAsia="方正楷体_GBK" w:cs="方正楷体_GBK"/>
          <w:b w:val="0"/>
          <w:bCs w:val="0"/>
          <w:color w:val="auto"/>
          <w:sz w:val="31"/>
          <w:szCs w:val="31"/>
          <w:highlight w:val="none"/>
          <w:u w:val="none"/>
        </w:rPr>
        <w:t>方案特点</w:t>
      </w:r>
    </w:p>
    <w:p w14:paraId="0416FC4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sz w:val="31"/>
          <w:szCs w:val="31"/>
          <w:highlight w:val="none"/>
          <w:u w:val="none"/>
        </w:rPr>
      </w:pPr>
      <w:r>
        <w:rPr>
          <w:rFonts w:hint="default" w:ascii="Times New Roman" w:hAnsi="Times New Roman" w:eastAsia="方正仿宋_GBK" w:cs="Times New Roman"/>
          <w:b w:val="0"/>
          <w:bCs w:val="0"/>
          <w:color w:val="auto"/>
          <w:sz w:val="31"/>
          <w:szCs w:val="31"/>
          <w:highlight w:val="none"/>
          <w:u w:val="none"/>
        </w:rPr>
        <w:t>适用于以 “职教资源深度整合、县域职校平稳转型” 为目标的长期规划。</w:t>
      </w:r>
      <w:r>
        <w:rPr>
          <w:rFonts w:hint="default" w:ascii="Times New Roman" w:hAnsi="Times New Roman" w:eastAsia="方正仿宋_GBK" w:cs="Times New Roman"/>
          <w:b/>
          <w:bCs/>
          <w:color w:val="auto"/>
          <w:sz w:val="31"/>
          <w:szCs w:val="31"/>
          <w:highlight w:val="none"/>
          <w:u w:val="none"/>
        </w:rPr>
        <w:t>学籍权属清晰，</w:t>
      </w:r>
      <w:r>
        <w:rPr>
          <w:rFonts w:hint="default" w:ascii="Times New Roman" w:hAnsi="Times New Roman" w:eastAsia="方正仿宋_GBK" w:cs="Times New Roman"/>
          <w:b w:val="0"/>
          <w:bCs w:val="0"/>
          <w:color w:val="auto"/>
          <w:sz w:val="31"/>
          <w:szCs w:val="31"/>
          <w:highlight w:val="none"/>
          <w:u w:val="none"/>
        </w:rPr>
        <w:t>培养管理责任完全归属巴州红旗技师学院，人才培养质量保障度高</w:t>
      </w:r>
      <w:r>
        <w:rPr>
          <w:rFonts w:hint="eastAsia" w:ascii="Times New Roman" w:hAnsi="Times New Roman" w:eastAsia="方正仿宋_GBK" w:cs="Times New Roman"/>
          <w:b w:val="0"/>
          <w:bCs w:val="0"/>
          <w:color w:val="auto"/>
          <w:sz w:val="31"/>
          <w:szCs w:val="31"/>
          <w:highlight w:val="none"/>
          <w:u w:val="none"/>
          <w:lang w:eastAsia="zh-CN"/>
        </w:rPr>
        <w:t>；</w:t>
      </w:r>
      <w:r>
        <w:rPr>
          <w:rFonts w:hint="default" w:ascii="Times New Roman" w:hAnsi="Times New Roman" w:eastAsia="方正仿宋_GBK" w:cs="Times New Roman"/>
          <w:b w:val="0"/>
          <w:bCs w:val="0"/>
          <w:color w:val="auto"/>
          <w:sz w:val="31"/>
          <w:szCs w:val="31"/>
          <w:highlight w:val="none"/>
          <w:u w:val="none"/>
        </w:rPr>
        <w:t>轮台县职业技术学校</w:t>
      </w:r>
      <w:r>
        <w:rPr>
          <w:rFonts w:hint="default" w:ascii="Times New Roman" w:hAnsi="Times New Roman" w:eastAsia="方正仿宋_GBK" w:cs="Times New Roman"/>
          <w:b/>
          <w:bCs/>
          <w:color w:val="auto"/>
          <w:sz w:val="31"/>
          <w:szCs w:val="31"/>
          <w:highlight w:val="none"/>
          <w:u w:val="none"/>
        </w:rPr>
        <w:t>逐步缩减办学规模，平稳过渡转型，</w:t>
      </w:r>
      <w:r>
        <w:rPr>
          <w:rFonts w:hint="default" w:ascii="Times New Roman" w:hAnsi="Times New Roman" w:eastAsia="方正仿宋_GBK" w:cs="Times New Roman"/>
          <w:b w:val="0"/>
          <w:bCs w:val="0"/>
          <w:color w:val="auto"/>
          <w:sz w:val="31"/>
          <w:szCs w:val="31"/>
          <w:highlight w:val="none"/>
          <w:u w:val="none"/>
        </w:rPr>
        <w:t>人员安置压力分年度释放</w:t>
      </w:r>
      <w:r>
        <w:rPr>
          <w:rFonts w:hint="eastAsia" w:ascii="Times New Roman" w:hAnsi="Times New Roman" w:eastAsia="方正仿宋_GBK" w:cs="Times New Roman"/>
          <w:b w:val="0"/>
          <w:bCs w:val="0"/>
          <w:color w:val="auto"/>
          <w:sz w:val="31"/>
          <w:szCs w:val="31"/>
          <w:highlight w:val="none"/>
          <w:u w:val="none"/>
          <w:lang w:eastAsia="zh-CN"/>
        </w:rPr>
        <w:t>，</w:t>
      </w:r>
      <w:r>
        <w:rPr>
          <w:rFonts w:hint="eastAsia" w:ascii="Times New Roman" w:hAnsi="Times New Roman" w:eastAsia="方正仿宋_GBK" w:cs="Times New Roman"/>
          <w:b w:val="0"/>
          <w:bCs w:val="0"/>
          <w:color w:val="auto"/>
          <w:sz w:val="31"/>
          <w:szCs w:val="31"/>
          <w:highlight w:val="none"/>
          <w:u w:val="none"/>
          <w:lang w:val="en-US" w:eastAsia="zh-CN"/>
        </w:rPr>
        <w:t>针对</w:t>
      </w:r>
      <w:r>
        <w:rPr>
          <w:rFonts w:hint="default" w:ascii="Times New Roman" w:hAnsi="Times New Roman" w:eastAsia="方正仿宋_GBK" w:cs="Times New Roman"/>
          <w:b w:val="0"/>
          <w:bCs w:val="0"/>
          <w:color w:val="auto"/>
          <w:sz w:val="31"/>
          <w:szCs w:val="31"/>
          <w:highlight w:val="none"/>
          <w:u w:val="none"/>
        </w:rPr>
        <w:t>分流学生</w:t>
      </w:r>
      <w:r>
        <w:rPr>
          <w:rFonts w:hint="eastAsia" w:ascii="Times New Roman" w:hAnsi="Times New Roman" w:eastAsia="方正仿宋_GBK" w:cs="Times New Roman"/>
          <w:b w:val="0"/>
          <w:bCs w:val="0"/>
          <w:color w:val="auto"/>
          <w:sz w:val="31"/>
          <w:szCs w:val="31"/>
          <w:highlight w:val="none"/>
          <w:u w:val="none"/>
          <w:lang w:val="en-US" w:eastAsia="zh-CN"/>
        </w:rPr>
        <w:t>及家长做好宣传引导</w:t>
      </w:r>
      <w:r>
        <w:rPr>
          <w:rFonts w:hint="eastAsia" w:ascii="Times New Roman" w:hAnsi="Times New Roman" w:eastAsia="方正仿宋_GBK" w:cs="Times New Roman"/>
          <w:b w:val="0"/>
          <w:bCs w:val="0"/>
          <w:color w:val="auto"/>
          <w:sz w:val="31"/>
          <w:szCs w:val="31"/>
          <w:highlight w:val="none"/>
          <w:u w:val="none"/>
          <w:lang w:eastAsia="zh-CN"/>
        </w:rPr>
        <w:t>。</w:t>
      </w:r>
    </w:p>
    <w:p w14:paraId="554F214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eastAsia" w:ascii="方正黑体_GBK" w:hAnsi="方正黑体_GBK" w:eastAsia="方正黑体_GBK" w:cs="方正黑体_GBK"/>
          <w:b w:val="0"/>
          <w:bCs w:val="0"/>
          <w:color w:val="auto"/>
          <w:sz w:val="31"/>
          <w:szCs w:val="31"/>
          <w:highlight w:val="none"/>
          <w:u w:val="none"/>
        </w:rPr>
      </w:pPr>
      <w:r>
        <w:rPr>
          <w:rFonts w:hint="eastAsia" w:ascii="方正黑体_GBK" w:hAnsi="方正黑体_GBK" w:eastAsia="方正黑体_GBK" w:cs="方正黑体_GBK"/>
          <w:b w:val="0"/>
          <w:bCs w:val="0"/>
          <w:color w:val="auto"/>
          <w:sz w:val="31"/>
          <w:szCs w:val="31"/>
          <w:highlight w:val="none"/>
          <w:u w:val="none"/>
        </w:rPr>
        <w:t>五、项目实施运营可行性</w:t>
      </w:r>
    </w:p>
    <w:p w14:paraId="430FCC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轮台县初中生源基数稳定，普职分流后中职生源规模可保障项目开展</w:t>
      </w:r>
      <w:r>
        <w:rPr>
          <w:rFonts w:hint="eastAsia" w:ascii="Times New Roman" w:hAnsi="Times New Roman" w:eastAsia="方正仿宋_GBK" w:cs="Times New Roman"/>
          <w:b w:val="0"/>
          <w:bCs w:val="0"/>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巴州红旗技师学院的优质办学资源对学生及家长吸引力较强，问卷显示近三成学生与家长有明确就读意愿，项目实施具备扎实的生源基础</w:t>
      </w:r>
      <w:r>
        <w:rPr>
          <w:rFonts w:hint="eastAsia" w:ascii="Times New Roman" w:hAnsi="Times New Roman" w:eastAsia="方正仿宋_GBK" w:cs="Times New Roman"/>
          <w:b w:val="0"/>
          <w:bCs w:val="0"/>
          <w:color w:val="auto"/>
          <w:kern w:val="0"/>
          <w:sz w:val="31"/>
          <w:szCs w:val="31"/>
          <w:highlight w:val="none"/>
          <w:u w:val="none"/>
          <w:lang w:val="en-US" w:eastAsia="zh-CN" w:bidi="ar"/>
        </w:rPr>
        <w:t>。且</w:t>
      </w:r>
      <w:r>
        <w:rPr>
          <w:rFonts w:hint="default" w:ascii="Times New Roman" w:hAnsi="Times New Roman" w:eastAsia="方正仿宋_GBK" w:cs="Times New Roman"/>
          <w:b w:val="0"/>
          <w:bCs w:val="0"/>
          <w:color w:val="auto"/>
          <w:kern w:val="0"/>
          <w:sz w:val="31"/>
          <w:szCs w:val="31"/>
          <w:highlight w:val="none"/>
          <w:u w:val="none"/>
          <w:lang w:val="en-US" w:eastAsia="zh-CN" w:bidi="ar"/>
        </w:rPr>
        <w:t>巴州红旗技师学院深耕区域产业人才培育多年，与巴州、南疆各大重点企业建立长期稳定校企合作关系，学生就业渠道通畅</w:t>
      </w:r>
      <w:r>
        <w:rPr>
          <w:rFonts w:hint="eastAsia" w:ascii="Times New Roman" w:hAnsi="Times New Roman" w:eastAsia="方正仿宋_GBK" w:cs="Times New Roman"/>
          <w:b w:val="0"/>
          <w:bCs w:val="0"/>
          <w:color w:val="auto"/>
          <w:kern w:val="0"/>
          <w:sz w:val="31"/>
          <w:szCs w:val="31"/>
          <w:highlight w:val="none"/>
          <w:u w:val="none"/>
          <w:lang w:val="en-US" w:eastAsia="zh-CN" w:bidi="ar"/>
        </w:rPr>
        <w:t>，</w:t>
      </w:r>
      <w:r>
        <w:rPr>
          <w:rFonts w:hint="default" w:ascii="Times New Roman" w:hAnsi="Times New Roman" w:eastAsia="方正仿宋_GBK" w:cs="Times New Roman"/>
          <w:b w:val="0"/>
          <w:bCs w:val="0"/>
          <w:color w:val="auto"/>
          <w:kern w:val="0"/>
          <w:sz w:val="31"/>
          <w:szCs w:val="31"/>
          <w:highlight w:val="none"/>
          <w:u w:val="none"/>
          <w:lang w:val="en-US" w:eastAsia="zh-CN" w:bidi="ar"/>
        </w:rPr>
        <w:t>具备完整的升学就业路径，形成人才成长闭环。</w:t>
      </w:r>
    </w:p>
    <w:p w14:paraId="7B0273F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eastAsia" w:ascii="方正黑体_GBK" w:hAnsi="方正黑体_GBK" w:eastAsia="方正黑体_GBK" w:cs="方正黑体_GBK"/>
          <w:b w:val="0"/>
          <w:bCs w:val="0"/>
          <w:color w:val="auto"/>
          <w:sz w:val="31"/>
          <w:szCs w:val="31"/>
          <w:highlight w:val="none"/>
          <w:u w:val="none"/>
        </w:rPr>
      </w:pPr>
      <w:r>
        <w:rPr>
          <w:rFonts w:hint="eastAsia" w:ascii="方正黑体_GBK" w:hAnsi="方正黑体_GBK" w:eastAsia="方正黑体_GBK" w:cs="方正黑体_GBK"/>
          <w:b w:val="0"/>
          <w:bCs w:val="0"/>
          <w:color w:val="auto"/>
          <w:sz w:val="31"/>
          <w:szCs w:val="31"/>
          <w:highlight w:val="none"/>
          <w:u w:val="none"/>
        </w:rPr>
        <w:t>六、项目实施效益分析</w:t>
      </w:r>
    </w:p>
    <w:p w14:paraId="4F50B35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eastAsia" w:ascii="方正楷体_GBK" w:hAnsi="方正楷体_GBK" w:eastAsia="方正楷体_GBK" w:cs="方正楷体_GBK"/>
          <w:b w:val="0"/>
          <w:bCs w:val="0"/>
          <w:color w:val="auto"/>
          <w:sz w:val="31"/>
          <w:szCs w:val="31"/>
          <w:highlight w:val="none"/>
          <w:u w:val="none"/>
        </w:rPr>
      </w:pPr>
      <w:r>
        <w:rPr>
          <w:rFonts w:hint="eastAsia" w:ascii="方正楷体_GBK" w:hAnsi="方正楷体_GBK" w:eastAsia="方正楷体_GBK" w:cs="方正楷体_GBK"/>
          <w:b w:val="0"/>
          <w:bCs w:val="0"/>
          <w:color w:val="auto"/>
          <w:sz w:val="31"/>
          <w:szCs w:val="31"/>
          <w:highlight w:val="none"/>
          <w:u w:val="none"/>
        </w:rPr>
        <w:t>（一）学生层面</w:t>
      </w:r>
    </w:p>
    <w:p w14:paraId="2EEEA8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eastAsia" w:ascii="Times New Roman" w:hAnsi="Times New Roman" w:eastAsia="方正仿宋_GBK" w:cs="Times New Roman"/>
          <w:b w:val="0"/>
          <w:bCs w:val="0"/>
          <w:color w:val="auto"/>
          <w:kern w:val="0"/>
          <w:sz w:val="31"/>
          <w:szCs w:val="31"/>
          <w:highlight w:val="none"/>
          <w:u w:val="none"/>
          <w:lang w:val="en-US" w:eastAsia="zh-CN" w:bidi="ar"/>
        </w:rPr>
        <w:t>分流</w:t>
      </w:r>
      <w:r>
        <w:rPr>
          <w:rFonts w:hint="default" w:ascii="Times New Roman" w:hAnsi="Times New Roman" w:eastAsia="方正仿宋_GBK" w:cs="Times New Roman"/>
          <w:b w:val="0"/>
          <w:bCs w:val="0"/>
          <w:color w:val="auto"/>
          <w:kern w:val="0"/>
          <w:sz w:val="31"/>
          <w:szCs w:val="31"/>
          <w:highlight w:val="none"/>
          <w:u w:val="none"/>
          <w:lang w:val="en-US" w:eastAsia="zh-CN" w:bidi="ar"/>
        </w:rPr>
        <w:t>学生可享受优质技师学院的师资、实训与管理资源，专业技能水平与就业竞争力显著提升，成长路径更加广阔。</w:t>
      </w:r>
    </w:p>
    <w:p w14:paraId="2D1B9D8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eastAsia" w:ascii="方正楷体_GBK" w:hAnsi="方正楷体_GBK" w:eastAsia="方正楷体_GBK" w:cs="方正楷体_GBK"/>
          <w:b w:val="0"/>
          <w:bCs w:val="0"/>
          <w:color w:val="auto"/>
          <w:sz w:val="31"/>
          <w:szCs w:val="31"/>
          <w:highlight w:val="none"/>
          <w:u w:val="none"/>
        </w:rPr>
      </w:pPr>
      <w:r>
        <w:rPr>
          <w:rFonts w:hint="eastAsia" w:ascii="方正楷体_GBK" w:hAnsi="方正楷体_GBK" w:eastAsia="方正楷体_GBK" w:cs="方正楷体_GBK"/>
          <w:b w:val="0"/>
          <w:bCs w:val="0"/>
          <w:color w:val="auto"/>
          <w:sz w:val="31"/>
          <w:szCs w:val="31"/>
          <w:highlight w:val="none"/>
          <w:u w:val="none"/>
        </w:rPr>
        <w:t>（二）学校层面</w:t>
      </w:r>
    </w:p>
    <w:p w14:paraId="642201A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借助合作快速补齐</w:t>
      </w:r>
      <w:r>
        <w:rPr>
          <w:rFonts w:hint="eastAsia" w:ascii="Times New Roman" w:hAnsi="Times New Roman" w:eastAsia="方正仿宋_GBK" w:cs="Times New Roman"/>
          <w:b w:val="0"/>
          <w:bCs w:val="0"/>
          <w:color w:val="auto"/>
          <w:kern w:val="0"/>
          <w:sz w:val="31"/>
          <w:szCs w:val="31"/>
          <w:highlight w:val="none"/>
          <w:u w:val="none"/>
          <w:lang w:val="en-US" w:eastAsia="zh-CN" w:bidi="ar"/>
        </w:rPr>
        <w:t>轮台县教育资源</w:t>
      </w:r>
      <w:r>
        <w:rPr>
          <w:rFonts w:hint="default" w:ascii="Times New Roman" w:hAnsi="Times New Roman" w:eastAsia="方正仿宋_GBK" w:cs="Times New Roman"/>
          <w:b w:val="0"/>
          <w:bCs w:val="0"/>
          <w:color w:val="auto"/>
          <w:kern w:val="0"/>
          <w:sz w:val="31"/>
          <w:szCs w:val="31"/>
          <w:highlight w:val="none"/>
          <w:u w:val="none"/>
          <w:lang w:val="en-US" w:eastAsia="zh-CN" w:bidi="ar"/>
        </w:rPr>
        <w:t>短板，减少高端实训设备与师资的重复投入，财政资金使用效益最大化。</w:t>
      </w:r>
    </w:p>
    <w:p w14:paraId="1D00328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eastAsia" w:ascii="方正楷体_GBK" w:hAnsi="方正楷体_GBK" w:eastAsia="方正楷体_GBK" w:cs="方正楷体_GBK"/>
          <w:b w:val="0"/>
          <w:bCs w:val="0"/>
          <w:color w:val="auto"/>
          <w:sz w:val="31"/>
          <w:szCs w:val="31"/>
          <w:highlight w:val="none"/>
          <w:u w:val="none"/>
        </w:rPr>
      </w:pPr>
      <w:r>
        <w:rPr>
          <w:rFonts w:hint="eastAsia" w:ascii="方正楷体_GBK" w:hAnsi="方正楷体_GBK" w:eastAsia="方正楷体_GBK" w:cs="方正楷体_GBK"/>
          <w:b w:val="0"/>
          <w:bCs w:val="0"/>
          <w:color w:val="auto"/>
          <w:sz w:val="31"/>
          <w:szCs w:val="31"/>
          <w:highlight w:val="none"/>
          <w:u w:val="none"/>
        </w:rPr>
        <w:t>（三）区域层面</w:t>
      </w:r>
    </w:p>
    <w:p w14:paraId="4776C07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优化区域职教资源配置，形成可复制的强弱帮扶示范模式，持续为巴州、轮台本土产业输送高质量技能人才。</w:t>
      </w:r>
    </w:p>
    <w:p w14:paraId="7F1B072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eastAsia" w:ascii="方正楷体_GBK" w:hAnsi="方正楷体_GBK" w:eastAsia="方正楷体_GBK" w:cs="方正楷体_GBK"/>
          <w:b w:val="0"/>
          <w:bCs w:val="0"/>
          <w:color w:val="auto"/>
          <w:sz w:val="31"/>
          <w:szCs w:val="31"/>
          <w:highlight w:val="none"/>
          <w:u w:val="none"/>
        </w:rPr>
      </w:pPr>
      <w:r>
        <w:rPr>
          <w:rFonts w:hint="eastAsia" w:ascii="方正楷体_GBK" w:hAnsi="方正楷体_GBK" w:eastAsia="方正楷体_GBK" w:cs="方正楷体_GBK"/>
          <w:b w:val="0"/>
          <w:bCs w:val="0"/>
          <w:color w:val="auto"/>
          <w:sz w:val="31"/>
          <w:szCs w:val="31"/>
          <w:highlight w:val="none"/>
          <w:u w:val="none"/>
        </w:rPr>
        <w:t>（四）社会层面</w:t>
      </w:r>
    </w:p>
    <w:p w14:paraId="15DCB8E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稳定保障县域中职学生教育供给，拓宽青年成长成才渠道，提升本地劳动力整体技能素质，缩小区域教育差距，助力铸牢中华民族共同体意识，维护社会稳定与长治久安。</w:t>
      </w:r>
    </w:p>
    <w:p w14:paraId="50221B2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eastAsia" w:ascii="方正黑体_GBK" w:hAnsi="方正黑体_GBK" w:eastAsia="方正黑体_GBK" w:cs="方正黑体_GBK"/>
          <w:b w:val="0"/>
          <w:bCs w:val="0"/>
          <w:color w:val="auto"/>
          <w:sz w:val="31"/>
          <w:szCs w:val="31"/>
          <w:highlight w:val="none"/>
          <w:u w:val="none"/>
        </w:rPr>
      </w:pPr>
      <w:r>
        <w:rPr>
          <w:rFonts w:hint="eastAsia" w:ascii="方正黑体_GBK" w:hAnsi="方正黑体_GBK" w:eastAsia="方正黑体_GBK" w:cs="方正黑体_GBK"/>
          <w:b w:val="0"/>
          <w:bCs w:val="0"/>
          <w:color w:val="auto"/>
          <w:sz w:val="31"/>
          <w:szCs w:val="31"/>
          <w:highlight w:val="none"/>
          <w:u w:val="none"/>
          <w:lang w:val="en-US" w:eastAsia="zh-CN"/>
        </w:rPr>
        <w:t>七</w:t>
      </w:r>
      <w:r>
        <w:rPr>
          <w:rFonts w:hint="eastAsia" w:ascii="方正黑体_GBK" w:hAnsi="方正黑体_GBK" w:eastAsia="方正黑体_GBK" w:cs="方正黑体_GBK"/>
          <w:b w:val="0"/>
          <w:bCs w:val="0"/>
          <w:color w:val="auto"/>
          <w:sz w:val="31"/>
          <w:szCs w:val="31"/>
          <w:highlight w:val="none"/>
          <w:u w:val="none"/>
        </w:rPr>
        <w:t>、结论与实施建议</w:t>
      </w:r>
    </w:p>
    <w:p w14:paraId="33B7BFC7">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本次论证的</w:t>
      </w:r>
      <w:r>
        <w:rPr>
          <w:rFonts w:hint="eastAsia" w:ascii="Times New Roman" w:hAnsi="Times New Roman" w:eastAsia="方正仿宋_GBK" w:cs="Times New Roman"/>
          <w:b w:val="0"/>
          <w:bCs w:val="0"/>
          <w:color w:val="auto"/>
          <w:kern w:val="0"/>
          <w:sz w:val="31"/>
          <w:szCs w:val="31"/>
          <w:highlight w:val="none"/>
          <w:u w:val="none"/>
          <w:lang w:val="en-US" w:eastAsia="zh-CN" w:bidi="ar"/>
        </w:rPr>
        <w:t>分流</w:t>
      </w:r>
      <w:r>
        <w:rPr>
          <w:rFonts w:hint="default" w:ascii="Times New Roman" w:hAnsi="Times New Roman" w:eastAsia="方正仿宋_GBK" w:cs="Times New Roman"/>
          <w:b w:val="0"/>
          <w:bCs w:val="0"/>
          <w:color w:val="auto"/>
          <w:kern w:val="0"/>
          <w:sz w:val="31"/>
          <w:szCs w:val="31"/>
          <w:highlight w:val="none"/>
          <w:u w:val="none"/>
          <w:lang w:val="en-US" w:eastAsia="zh-CN" w:bidi="ar"/>
        </w:rPr>
        <w:t>培养方案，符合国家及自治区职业教育改革政策导向，生源基础扎实，运营模式成熟，经费风险可控，综合效益显著，具备落地实施的可行性。</w:t>
      </w:r>
    </w:p>
    <w:p w14:paraId="4699FE05">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20" w:firstLineChars="200"/>
        <w:jc w:val="both"/>
        <w:textAlignment w:val="auto"/>
        <w:rPr>
          <w:rFonts w:hint="default" w:ascii="Times New Roman" w:hAnsi="Times New Roman" w:eastAsia="方正仿宋_GBK" w:cs="Times New Roman"/>
          <w:b w:val="0"/>
          <w:bCs w:val="0"/>
          <w:color w:val="auto"/>
          <w:kern w:val="0"/>
          <w:sz w:val="31"/>
          <w:szCs w:val="31"/>
          <w:highlight w:val="none"/>
          <w:u w:val="none"/>
          <w:lang w:val="en-US" w:eastAsia="zh-CN" w:bidi="ar"/>
        </w:rPr>
      </w:pPr>
      <w:r>
        <w:rPr>
          <w:rFonts w:hint="default" w:ascii="Times New Roman" w:hAnsi="Times New Roman" w:eastAsia="方正仿宋_GBK" w:cs="Times New Roman"/>
          <w:b w:val="0"/>
          <w:bCs w:val="0"/>
          <w:color w:val="auto"/>
          <w:kern w:val="0"/>
          <w:sz w:val="31"/>
          <w:szCs w:val="31"/>
          <w:highlight w:val="none"/>
          <w:u w:val="none"/>
          <w:lang w:val="en-US" w:eastAsia="zh-CN" w:bidi="ar"/>
        </w:rPr>
        <w:t>欢迎社会各界、各单位、广大群众结合实际提出宝贵意见建议。</w:t>
      </w:r>
    </w:p>
    <w:bookmarkEnd w:id="0"/>
    <w:sectPr>
      <w:footerReference r:id="rId3" w:type="default"/>
      <w:pgSz w:w="11906" w:h="16838"/>
      <w:pgMar w:top="1984" w:right="1531" w:bottom="2098" w:left="1531"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0F3C52"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0260AD">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B4B11F">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BB4B11F">
                    <w:pPr>
                      <w:pStyle w:val="6"/>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C3744D"/>
    <w:rsid w:val="03B82165"/>
    <w:rsid w:val="0B3D0A0A"/>
    <w:rsid w:val="0C7C5AF5"/>
    <w:rsid w:val="0D3E05B3"/>
    <w:rsid w:val="0DBA4283"/>
    <w:rsid w:val="1046708E"/>
    <w:rsid w:val="109D27CC"/>
    <w:rsid w:val="12AA6654"/>
    <w:rsid w:val="190F79F5"/>
    <w:rsid w:val="210649B8"/>
    <w:rsid w:val="22782AFF"/>
    <w:rsid w:val="281F7322"/>
    <w:rsid w:val="383D1E95"/>
    <w:rsid w:val="38B14758"/>
    <w:rsid w:val="39900EEB"/>
    <w:rsid w:val="39CF18DA"/>
    <w:rsid w:val="3D1D76D7"/>
    <w:rsid w:val="4A0373A5"/>
    <w:rsid w:val="4AB27395"/>
    <w:rsid w:val="56D4441E"/>
    <w:rsid w:val="59EE4A5D"/>
    <w:rsid w:val="5A9967F3"/>
    <w:rsid w:val="5BDC273B"/>
    <w:rsid w:val="5CC52954"/>
    <w:rsid w:val="5F84371D"/>
    <w:rsid w:val="5FF7BC7E"/>
    <w:rsid w:val="6607518F"/>
    <w:rsid w:val="68313167"/>
    <w:rsid w:val="687B24D9"/>
    <w:rsid w:val="699E2C93"/>
    <w:rsid w:val="6D8C0B85"/>
    <w:rsid w:val="707704E4"/>
    <w:rsid w:val="75BA5038"/>
    <w:rsid w:val="78F747B6"/>
    <w:rsid w:val="B7FBFE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3071</Words>
  <Characters>3171</Characters>
  <Lines>0</Lines>
  <Paragraphs>0</Paragraphs>
  <TotalTime>3</TotalTime>
  <ScaleCrop>false</ScaleCrop>
  <LinksUpToDate>false</LinksUpToDate>
  <CharactersWithSpaces>3173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2026-06-28T00:41:00Z</dcterms:created>
  <dc:creator>Administrator</dc:creator>
  <cp:lastModifiedBy>gchtd</cp:lastModifiedBy>
  <cp:lastPrinted>2026-08-06T16:40:21Z</cp:lastPrinted>
  <dcterms:modified xsi:type="dcterms:W3CDTF">2026-08-06T16:40:53Z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TemplateDocerSaveRecord">
    <vt:lpwstr>eyJoZGlkIjoiMWIwYWU0MWVmYTdiODcxYjU3NWE5MDM0NjIyOWZhYWUiLCJ1c2VySWQiOiIzOTM2MDMxNTYifQ==</vt:lpwstr>
  </property>
  <property fmtid="{D5CDD505-2E9C-101B-9397-08002B2CF9AE}" pid="4" name="ICV">
    <vt:lpwstr>D426D9F002D342B08CFB05D7F10C8752_12</vt:lpwstr>
  </property>
</Properties>
</file>