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1300" w:firstLineChars="250"/>
        <w:rPr>
          <w:rFonts w:hint="default" w:ascii="Times New Roman" w:hAnsi="Times New Roman" w:eastAsia="黑体" w:cs="Times New Roman"/>
          <w:sz w:val="52"/>
          <w:szCs w:val="52"/>
        </w:rPr>
      </w:pPr>
      <w:r>
        <w:rPr>
          <w:rFonts w:hint="default" w:ascii="Times New Roman" w:hAnsi="Times New Roman" w:eastAsia="黑体" w:cs="Times New Roman"/>
          <w:sz w:val="52"/>
          <w:szCs w:val="52"/>
        </w:rPr>
        <w:t>产品质量监督抽查实施细则</w:t>
      </w:r>
    </w:p>
    <w:p>
      <w:pPr>
        <w:spacing w:line="440" w:lineRule="exact"/>
        <w:jc w:val="center"/>
        <w:rPr>
          <w:rFonts w:hint="default" w:ascii="Times New Roman" w:hAnsi="Times New Roman" w:eastAsia="黑体" w:cs="Times New Roman"/>
          <w:sz w:val="32"/>
        </w:rPr>
      </w:pPr>
      <w:r>
        <w:rPr>
          <w:rFonts w:hint="default" w:ascii="Times New Roman" w:hAnsi="Times New Roman" w:eastAsia="黑体" w:cs="Times New Roman"/>
          <w:sz w:val="32"/>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99060</wp:posOffset>
                </wp:positionV>
                <wp:extent cx="5200650" cy="1905"/>
                <wp:effectExtent l="0" t="7620" r="2540" b="12065"/>
                <wp:wrapNone/>
                <wp:docPr id="1" name="直线 18"/>
                <wp:cNvGraphicFramePr/>
                <a:graphic xmlns:a="http://schemas.openxmlformats.org/drawingml/2006/main">
                  <a:graphicData uri="http://schemas.microsoft.com/office/word/2010/wordprocessingShape">
                    <wps:wsp>
                      <wps:cNvCnPr/>
                      <wps:spPr>
                        <a:xfrm flipV="1">
                          <a:off x="0" y="0"/>
                          <a:ext cx="5200650" cy="1905"/>
                        </a:xfrm>
                        <a:prstGeom prst="line">
                          <a:avLst/>
                        </a:prstGeom>
                        <a:ln w="15875" cap="flat" cmpd="sng">
                          <a:solidFill>
                            <a:srgbClr val="000000"/>
                          </a:solidFill>
                          <a:prstDash val="solid"/>
                          <a:headEnd type="none" w="med" len="med"/>
                          <a:tailEnd type="none" w="med" len="med"/>
                        </a:ln>
                        <a:effectLst/>
                      </wps:spPr>
                      <wps:bodyPr/>
                    </wps:wsp>
                  </a:graphicData>
                </a:graphic>
              </wp:anchor>
            </w:drawing>
          </mc:Choice>
          <mc:Fallback>
            <w:pict>
              <v:line id="直线 18" o:spid="_x0000_s1026" o:spt="20" style="position:absolute;left:0pt;flip:y;margin-left:5.25pt;margin-top:7.8pt;height:0.15pt;width:409.5pt;z-index:251659264;mso-width-relative:page;mso-height-relative:page;" filled="f" stroked="t" coordsize="21600,21600" o:gfxdata="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PdBaa7TAAAA&#10;CAEAAA8AAAAAAAAAAQAgAAAAIgAAAGRycy9kb3ducmV2LnhtbFBLAQIUABQAAAAIAIdO4kC6sEuU&#10;6QEAAOwDAAAOAAAAAAAAAAEAIAAAACIBAABkcnMvZTJvRG9jLnhtbFBLBQYAAAAABgAGAFkBAAB9&#10;BQAAAAA=&#10;">
                <v:fill on="f" focussize="0,0"/>
                <v:stroke weight="1.25pt" color="#000000" joinstyle="round"/>
                <v:imagedata o:title=""/>
                <o:lock v:ext="edit" aspectratio="f"/>
              </v:line>
            </w:pict>
          </mc:Fallback>
        </mc:AlternateContent>
      </w: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80" w:lineRule="exact"/>
        <w:jc w:val="center"/>
        <w:rPr>
          <w:rFonts w:hint="default" w:ascii="Times New Roman" w:hAnsi="Times New Roman" w:eastAsia="黑体" w:cs="Times New Roman"/>
          <w:sz w:val="32"/>
        </w:rPr>
      </w:pPr>
    </w:p>
    <w:p>
      <w:pPr>
        <w:spacing w:line="360" w:lineRule="auto"/>
        <w:jc w:val="center"/>
        <w:rPr>
          <w:rFonts w:hint="default" w:ascii="Times New Roman" w:hAnsi="Times New Roman" w:eastAsia="黑体" w:cs="Times New Roman"/>
          <w:b/>
          <w:bCs/>
          <w:sz w:val="44"/>
          <w:szCs w:val="44"/>
        </w:rPr>
      </w:pPr>
      <w:r>
        <w:rPr>
          <w:rFonts w:hint="default" w:ascii="Times New Roman" w:hAnsi="Times New Roman" w:eastAsia="黑体" w:cs="Times New Roman"/>
          <w:b/>
          <w:bCs/>
          <w:sz w:val="44"/>
          <w:szCs w:val="44"/>
        </w:rPr>
        <w:t>2026年</w:t>
      </w:r>
      <w:r>
        <w:rPr>
          <w:rFonts w:hint="eastAsia" w:ascii="Times New Roman" w:hAnsi="Times New Roman" w:eastAsia="黑体" w:cs="Times New Roman"/>
          <w:b/>
          <w:bCs/>
          <w:sz w:val="44"/>
          <w:szCs w:val="44"/>
          <w:lang w:eastAsia="zh-CN"/>
        </w:rPr>
        <w:t>轮台县</w:t>
      </w:r>
      <w:r>
        <w:rPr>
          <w:rFonts w:hint="default" w:ascii="Times New Roman" w:hAnsi="Times New Roman" w:eastAsia="黑体" w:cs="Times New Roman"/>
          <w:b/>
          <w:bCs/>
          <w:sz w:val="44"/>
          <w:szCs w:val="44"/>
        </w:rPr>
        <w:t>商品煤产品质量</w:t>
      </w:r>
    </w:p>
    <w:p>
      <w:pPr>
        <w:spacing w:line="360" w:lineRule="auto"/>
        <w:jc w:val="center"/>
        <w:rPr>
          <w:rFonts w:hint="default" w:ascii="Times New Roman" w:hAnsi="Times New Roman" w:eastAsia="黑体" w:cs="Times New Roman"/>
          <w:b/>
          <w:bCs/>
          <w:sz w:val="44"/>
          <w:szCs w:val="44"/>
        </w:rPr>
      </w:pPr>
      <w:r>
        <w:rPr>
          <w:rFonts w:hint="default" w:ascii="Times New Roman" w:hAnsi="Times New Roman" w:eastAsia="黑体" w:cs="Times New Roman"/>
          <w:b/>
          <w:bCs/>
          <w:sz w:val="44"/>
          <w:szCs w:val="44"/>
        </w:rPr>
        <w:t>监督抽查实施细则</w:t>
      </w: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32"/>
        </w:rPr>
      </w:pPr>
    </w:p>
    <w:p>
      <w:pPr>
        <w:spacing w:line="440" w:lineRule="exact"/>
        <w:jc w:val="both"/>
        <w:rPr>
          <w:rFonts w:hint="default" w:ascii="Times New Roman" w:hAnsi="Times New Roman" w:eastAsia="黑体" w:cs="Times New Roman"/>
          <w:sz w:val="32"/>
        </w:rPr>
      </w:pPr>
    </w:p>
    <w:p>
      <w:pPr>
        <w:spacing w:line="440" w:lineRule="exact"/>
        <w:rPr>
          <w:rFonts w:hint="default" w:ascii="Times New Roman" w:hAnsi="Times New Roman" w:eastAsia="黑体" w:cs="Times New Roman"/>
          <w:sz w:val="32"/>
        </w:rPr>
      </w:pPr>
    </w:p>
    <w:p>
      <w:pPr>
        <w:spacing w:line="440" w:lineRule="exact"/>
        <w:jc w:val="center"/>
        <w:rPr>
          <w:rFonts w:hint="default" w:ascii="Times New Roman" w:hAnsi="Times New Roman" w:eastAsia="黑体" w:cs="Times New Roman"/>
          <w:sz w:val="28"/>
          <w:szCs w:val="28"/>
        </w:rPr>
      </w:pPr>
      <w:r>
        <w:rPr>
          <w:rFonts w:hint="default" w:ascii="Times New Roman" w:hAnsi="Times New Roman" w:eastAsia="黑体" w:cs="Times New Roman"/>
          <w:sz w:val="28"/>
          <w:szCs w:val="28"/>
        </w:rPr>
        <w:t>2026</w:t>
      </w:r>
      <w:r>
        <w:rPr>
          <w:rFonts w:hint="default" w:ascii="Times New Roman" w:hAnsi="Times New Roman" w:eastAsia="黑体" w:cs="Times New Roman"/>
          <w:sz w:val="28"/>
          <w:szCs w:val="28"/>
          <w:lang w:val="en-US"/>
        </w:rPr>
        <mc:AlternateContent>
          <mc:Choice Requires="wps">
            <w:drawing>
              <wp:anchor distT="0" distB="0" distL="114300" distR="114300" simplePos="0" relativeHeight="251660288" behindDoc="0" locked="0" layoutInCell="1" allowOverlap="1">
                <wp:simplePos x="0" y="0"/>
                <wp:positionH relativeFrom="column">
                  <wp:posOffset>150495</wp:posOffset>
                </wp:positionH>
                <wp:positionV relativeFrom="paragraph">
                  <wp:posOffset>264160</wp:posOffset>
                </wp:positionV>
                <wp:extent cx="5430520" cy="0"/>
                <wp:effectExtent l="0" t="7620" r="10160" b="8255"/>
                <wp:wrapNone/>
                <wp:docPr id="2" name="直线 19"/>
                <wp:cNvGraphicFramePr/>
                <a:graphic xmlns:a="http://schemas.openxmlformats.org/drawingml/2006/main">
                  <a:graphicData uri="http://schemas.microsoft.com/office/word/2010/wordprocessingShape">
                    <wps:wsp>
                      <wps:cNvCnPr/>
                      <wps:spPr>
                        <a:xfrm>
                          <a:off x="0" y="0"/>
                          <a:ext cx="5430520" cy="0"/>
                        </a:xfrm>
                        <a:prstGeom prst="line">
                          <a:avLst/>
                        </a:prstGeom>
                        <a:ln w="15875" cap="flat" cmpd="sng">
                          <a:solidFill>
                            <a:srgbClr val="000000"/>
                          </a:solidFill>
                          <a:prstDash val="solid"/>
                          <a:headEnd type="none" w="med" len="med"/>
                          <a:tailEnd type="none" w="med" len="med"/>
                        </a:ln>
                        <a:effectLst/>
                      </wps:spPr>
                      <wps:bodyPr/>
                    </wps:wsp>
                  </a:graphicData>
                </a:graphic>
              </wp:anchor>
            </w:drawing>
          </mc:Choice>
          <mc:Fallback>
            <w:pict>
              <v:line id="直线 19" o:spid="_x0000_s1026" o:spt="20" style="position:absolute;left:0pt;margin-left:11.85pt;margin-top:20.8pt;height:0pt;width:427.6pt;z-index:251660288;mso-width-relative:page;mso-height-relative:page;" filled="f" stroked="t" coordsize="21600,21600" o:gfxdata="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w9xaJ1wAA&#10;AAgBAAAPAAAAAAAAAAEAIAAAACIAAABkcnMvZG93bnJldi54bWxQSwECFAAUAAAACACHTuJAHiwn&#10;zOYBAADfAwAADgAAAAAAAAABACAAAAAmAQAAZHJzL2Uyb0RvYy54bWxQSwUGAAAAAAYABgBZAQAA&#10;fgUAAAAA&#10;">
                <v:fill on="f" focussize="0,0"/>
                <v:stroke weight="1.25pt" color="#000000" joinstyle="round"/>
                <v:imagedata o:title=""/>
                <o:lock v:ext="edit" aspectratio="f"/>
              </v:line>
            </w:pict>
          </mc:Fallback>
        </mc:AlternateContent>
      </w:r>
      <w:r>
        <w:rPr>
          <w:rFonts w:hint="eastAsia" w:ascii="Times New Roman" w:hAnsi="Times New Roman" w:eastAsia="黑体" w:cs="Times New Roman"/>
          <w:sz w:val="28"/>
          <w:szCs w:val="28"/>
          <w:lang w:val="en-US" w:eastAsia="zh-CN"/>
        </w:rPr>
        <w:t>-</w:t>
      </w:r>
      <w:r>
        <w:rPr>
          <w:rFonts w:hint="eastAsia" w:eastAsia="黑体" w:cs="Times New Roman"/>
          <w:sz w:val="28"/>
          <w:szCs w:val="28"/>
          <w:lang w:val="en-US" w:eastAsia="zh-CN"/>
        </w:rPr>
        <w:t>09</w:t>
      </w:r>
      <w:r>
        <w:rPr>
          <w:rFonts w:hint="eastAsia" w:ascii="Times New Roman" w:hAnsi="Times New Roman" w:eastAsia="黑体" w:cs="Times New Roman"/>
          <w:sz w:val="28"/>
          <w:szCs w:val="28"/>
          <w:lang w:val="en-US" w:eastAsia="zh-CN"/>
        </w:rPr>
        <w:t>-</w:t>
      </w:r>
      <w:r>
        <w:rPr>
          <w:rFonts w:hint="eastAsia" w:eastAsia="黑体" w:cs="Times New Roman"/>
          <w:sz w:val="28"/>
          <w:szCs w:val="28"/>
          <w:lang w:val="en-US" w:eastAsia="zh-CN"/>
        </w:rPr>
        <w:t>01</w:t>
      </w:r>
      <w:r>
        <w:rPr>
          <w:rFonts w:hint="default" w:ascii="Times New Roman" w:hAnsi="Times New Roman" w:eastAsia="黑体" w:cs="Times New Roman"/>
          <w:sz w:val="28"/>
          <w:szCs w:val="28"/>
        </w:rPr>
        <w:t>发布                                 2026</w:t>
      </w:r>
      <w:r>
        <w:rPr>
          <w:rFonts w:hint="eastAsia" w:ascii="Times New Roman" w:hAnsi="Times New Roman" w:eastAsia="黑体" w:cs="Times New Roman"/>
          <w:sz w:val="28"/>
          <w:szCs w:val="28"/>
          <w:lang w:val="en-US" w:eastAsia="zh-CN"/>
        </w:rPr>
        <w:t>-</w:t>
      </w:r>
      <w:r>
        <w:rPr>
          <w:rFonts w:hint="eastAsia" w:eastAsia="黑体" w:cs="Times New Roman"/>
          <w:sz w:val="28"/>
          <w:szCs w:val="28"/>
          <w:lang w:val="en-US" w:eastAsia="zh-CN"/>
        </w:rPr>
        <w:t>09</w:t>
      </w:r>
      <w:r>
        <w:rPr>
          <w:rFonts w:hint="eastAsia" w:ascii="Times New Roman" w:hAnsi="Times New Roman" w:eastAsia="黑体" w:cs="Times New Roman"/>
          <w:sz w:val="28"/>
          <w:szCs w:val="28"/>
          <w:lang w:val="en-US" w:eastAsia="zh-CN"/>
        </w:rPr>
        <w:t>-</w:t>
      </w:r>
      <w:r>
        <w:rPr>
          <w:rFonts w:hint="eastAsia" w:eastAsia="黑体" w:cs="Times New Roman"/>
          <w:sz w:val="28"/>
          <w:szCs w:val="28"/>
          <w:lang w:val="en-US" w:eastAsia="zh-CN"/>
        </w:rPr>
        <w:t>08</w:t>
      </w:r>
      <w:r>
        <w:rPr>
          <w:rFonts w:hint="default" w:ascii="Times New Roman" w:hAnsi="Times New Roman" w:eastAsia="黑体" w:cs="Times New Roman"/>
          <w:sz w:val="28"/>
          <w:szCs w:val="28"/>
        </w:rPr>
        <w:t>实施</w:t>
      </w:r>
    </w:p>
    <w:p>
      <w:pPr>
        <w:jc w:val="center"/>
        <w:rPr>
          <w:rFonts w:hint="default" w:ascii="Times New Roman" w:hAnsi="Times New Roman" w:eastAsia="方正小标宋简体" w:cs="Times New Roman"/>
          <w:bCs/>
          <w:sz w:val="32"/>
          <w:szCs w:val="32"/>
        </w:rPr>
      </w:pPr>
      <w:r>
        <w:rPr>
          <w:rFonts w:hint="eastAsia" w:ascii="Times New Roman" w:hAnsi="Times New Roman" w:eastAsia="黑体" w:cs="Times New Roman"/>
          <w:sz w:val="32"/>
          <w:lang w:eastAsia="zh-CN"/>
        </w:rPr>
        <w:t>轮台县</w:t>
      </w:r>
      <w:r>
        <w:rPr>
          <w:rFonts w:hint="default" w:ascii="Times New Roman" w:hAnsi="Times New Roman" w:eastAsia="黑体" w:cs="Times New Roman"/>
          <w:sz w:val="32"/>
        </w:rPr>
        <w:t>市场监督管理局</w:t>
      </w:r>
      <w:r>
        <w:rPr>
          <w:rFonts w:hint="default" w:ascii="Times New Roman" w:hAnsi="Times New Roman" w:eastAsia="方正小标宋简体" w:cs="Times New Roman"/>
          <w:bCs/>
          <w:sz w:val="32"/>
          <w:szCs w:val="32"/>
        </w:rPr>
        <w:br w:type="page"/>
      </w:r>
      <w:r>
        <w:rPr>
          <w:rFonts w:hint="eastAsia" w:ascii="宋体" w:hAnsi="宋体" w:eastAsia="宋体" w:cs="宋体"/>
          <w:b/>
          <w:bCs w:val="0"/>
          <w:sz w:val="32"/>
          <w:szCs w:val="32"/>
        </w:rPr>
        <w:t>2026年</w:t>
      </w:r>
      <w:r>
        <w:rPr>
          <w:rFonts w:hint="eastAsia" w:ascii="宋体" w:hAnsi="宋体" w:eastAsia="宋体" w:cs="宋体"/>
          <w:b/>
          <w:bCs w:val="0"/>
          <w:sz w:val="32"/>
          <w:szCs w:val="32"/>
          <w:lang w:eastAsia="zh-CN"/>
        </w:rPr>
        <w:t>轮台县</w:t>
      </w:r>
      <w:r>
        <w:rPr>
          <w:rFonts w:hint="eastAsia" w:ascii="宋体" w:hAnsi="宋体" w:eastAsia="宋体" w:cs="宋体"/>
          <w:b/>
          <w:bCs w:val="0"/>
          <w:sz w:val="32"/>
          <w:szCs w:val="32"/>
        </w:rPr>
        <w:t>商品煤产品质量监督抽查实施细则</w:t>
      </w:r>
    </w:p>
    <w:p>
      <w:pPr>
        <w:snapToGrid w:val="0"/>
        <w:spacing w:line="360" w:lineRule="auto"/>
        <w:jc w:val="center"/>
        <w:rPr>
          <w:rFonts w:hint="default" w:ascii="Times New Roman" w:hAnsi="Times New Roman" w:eastAsia="方正小标宋简体" w:cs="Times New Roman"/>
          <w:color w:val="000000"/>
          <w:sz w:val="32"/>
          <w:szCs w:val="32"/>
        </w:rPr>
      </w:pPr>
    </w:p>
    <w:p>
      <w:pPr>
        <w:adjustRightInd w:val="0"/>
        <w:snapToGrid w:val="0"/>
        <w:spacing w:line="360" w:lineRule="auto"/>
        <w:rPr>
          <w:rFonts w:hint="default" w:ascii="Times New Roman" w:hAnsi="Times New Roman" w:eastAsia="黑体" w:cs="Times New Roman"/>
          <w:b/>
          <w:bCs/>
          <w:szCs w:val="21"/>
          <w:highlight w:val="yellow"/>
        </w:rPr>
      </w:pPr>
      <w:r>
        <w:rPr>
          <w:rFonts w:hint="default" w:ascii="Times New Roman" w:hAnsi="Times New Roman" w:eastAsia="黑体" w:cs="Times New Roman"/>
          <w:b/>
          <w:bCs/>
          <w:szCs w:val="21"/>
        </w:rPr>
        <w:t>1、抽样方法</w:t>
      </w:r>
    </w:p>
    <w:p>
      <w:pPr>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color w:val="000000"/>
          <w:szCs w:val="21"/>
        </w:rPr>
        <w:t>以随机抽样的方式在销售者的待销产品中抽取。</w:t>
      </w:r>
    </w:p>
    <w:p>
      <w:pPr>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所抽煤样应为同一型号规格、同一批次的产品。</w:t>
      </w:r>
    </w:p>
    <w:p>
      <w:pPr>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煤样按GB/T 475或GB/T 19494.1的规定，根据实际情况按移动煤流采样方法或静止煤采样方法抽取。抽取煤样时抽样基数的确定以及抽样数量按GB/T 475或GB/T 19494.1中的规定进行（表1）。一般为1000t或一个发运批量，当采样基数小于1000t时，至少应为一个作业班的生产、堆存或运输量。</w:t>
      </w:r>
    </w:p>
    <w:p>
      <w:pPr>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移动煤流抽样按时间基或质量基以系统采样方式或分层随机采样方式抽取。</w:t>
      </w:r>
    </w:p>
    <w:p>
      <w:pPr>
        <w:spacing w:line="360" w:lineRule="auto"/>
        <w:jc w:val="center"/>
        <w:rPr>
          <w:rFonts w:hint="default" w:ascii="Times New Roman" w:hAnsi="Times New Roman" w:cs="Times New Roman"/>
          <w:color w:val="000000"/>
          <w:sz w:val="18"/>
          <w:szCs w:val="18"/>
          <w:highlight w:val="yellow"/>
        </w:rPr>
      </w:pPr>
      <w:r>
        <w:rPr>
          <w:rFonts w:hint="default" w:ascii="Times New Roman" w:hAnsi="Times New Roman" w:cs="Times New Roman"/>
          <w:color w:val="000000"/>
          <w:sz w:val="18"/>
          <w:szCs w:val="18"/>
        </w:rPr>
        <w:t xml:space="preserve">表1  </w:t>
      </w:r>
      <w:r>
        <w:rPr>
          <w:rFonts w:hint="default" w:ascii="Times New Roman" w:hAnsi="Times New Roman" w:cs="Times New Roman"/>
          <w:bCs/>
          <w:color w:val="000000"/>
          <w:sz w:val="18"/>
          <w:szCs w:val="18"/>
        </w:rPr>
        <w:t>总样的最小质量</w:t>
      </w:r>
    </w:p>
    <w:tbl>
      <w:tblPr>
        <w:tblStyle w:val="7"/>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78"/>
        <w:gridCol w:w="4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478" w:type="dxa"/>
            <w:noWrap w:val="0"/>
            <w:tcMar>
              <w:top w:w="72" w:type="dxa"/>
              <w:left w:w="144" w:type="dxa"/>
              <w:bottom w:w="72" w:type="dxa"/>
              <w:right w:w="144" w:type="dxa"/>
            </w:tcMar>
            <w:vAlign w:val="center"/>
          </w:tcPr>
          <w:p>
            <w:pPr>
              <w:widowControl/>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标称最大粒度/mm</w:t>
            </w:r>
          </w:p>
        </w:tc>
        <w:tc>
          <w:tcPr>
            <w:tcW w:w="4026" w:type="dxa"/>
            <w:noWrap w:val="0"/>
            <w:tcMar>
              <w:top w:w="72" w:type="dxa"/>
              <w:left w:w="144" w:type="dxa"/>
              <w:bottom w:w="72" w:type="dxa"/>
              <w:right w:w="144" w:type="dxa"/>
            </w:tcMar>
            <w:vAlign w:val="center"/>
          </w:tcPr>
          <w:p>
            <w:pPr>
              <w:widowControl/>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一般分析和共用试样/kg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478" w:type="dxa"/>
            <w:noWrap w:val="0"/>
            <w:tcMar>
              <w:top w:w="72" w:type="dxa"/>
              <w:left w:w="144" w:type="dxa"/>
              <w:bottom w:w="72" w:type="dxa"/>
              <w:right w:w="144" w:type="dxa"/>
            </w:tcMar>
            <w:vAlign w:val="center"/>
          </w:tcPr>
          <w:p>
            <w:pPr>
              <w:widowControl/>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150</w:t>
            </w:r>
          </w:p>
        </w:tc>
        <w:tc>
          <w:tcPr>
            <w:tcW w:w="4026" w:type="dxa"/>
            <w:noWrap w:val="0"/>
            <w:tcMar>
              <w:top w:w="72" w:type="dxa"/>
              <w:left w:w="144" w:type="dxa"/>
              <w:bottom w:w="72" w:type="dxa"/>
              <w:right w:w="144" w:type="dxa"/>
            </w:tcMar>
            <w:vAlign w:val="center"/>
          </w:tcPr>
          <w:p>
            <w:pPr>
              <w:widowControl/>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2600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478"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100</w:t>
            </w:r>
          </w:p>
        </w:tc>
        <w:tc>
          <w:tcPr>
            <w:tcW w:w="4026"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1025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478"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80</w:t>
            </w:r>
          </w:p>
        </w:tc>
        <w:tc>
          <w:tcPr>
            <w:tcW w:w="4026"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565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478"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50</w:t>
            </w:r>
          </w:p>
        </w:tc>
        <w:tc>
          <w:tcPr>
            <w:tcW w:w="4026"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170</w:t>
            </w:r>
            <w:r>
              <w:rPr>
                <w:rFonts w:hint="default" w:ascii="Times New Roman" w:hAnsi="Times New Roman" w:cs="Times New Roman"/>
                <w:bCs/>
                <w:color w:val="000000"/>
                <w:kern w:val="24"/>
                <w:sz w:val="18"/>
                <w:szCs w:val="18"/>
                <w:vertAlign w:val="superscript"/>
              </w:rPr>
              <w:t>a</w:t>
            </w:r>
            <w:r>
              <w:rPr>
                <w:rFonts w:hint="default" w:ascii="Times New Roman" w:hAnsi="Times New Roman" w:cs="Times New Roman"/>
                <w:bCs/>
                <w:color w:val="000000"/>
                <w:kern w:val="24"/>
                <w:sz w:val="18"/>
                <w:szCs w:val="1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478"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25</w:t>
            </w:r>
          </w:p>
        </w:tc>
        <w:tc>
          <w:tcPr>
            <w:tcW w:w="4026"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478"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13</w:t>
            </w:r>
          </w:p>
        </w:tc>
        <w:tc>
          <w:tcPr>
            <w:tcW w:w="4026"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478"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6</w:t>
            </w:r>
          </w:p>
        </w:tc>
        <w:tc>
          <w:tcPr>
            <w:tcW w:w="4026"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3.75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4478"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3</w:t>
            </w:r>
          </w:p>
        </w:tc>
        <w:tc>
          <w:tcPr>
            <w:tcW w:w="4026" w:type="dxa"/>
            <w:noWrap w:val="0"/>
            <w:tcMar>
              <w:top w:w="72" w:type="dxa"/>
              <w:left w:w="144" w:type="dxa"/>
              <w:bottom w:w="72" w:type="dxa"/>
              <w:right w:w="144" w:type="dxa"/>
            </w:tcMar>
            <w:vAlign w:val="center"/>
          </w:tcPr>
          <w:p>
            <w:pPr>
              <w:widowControl/>
              <w:kinsoku w:val="0"/>
              <w:overflowPunct w:val="0"/>
              <w:adjustRightInd w:val="0"/>
              <w:snapToGrid w:val="0"/>
              <w:jc w:val="center"/>
              <w:textAlignment w:val="baseline"/>
              <w:rPr>
                <w:rFonts w:hint="default" w:ascii="Times New Roman" w:hAnsi="Times New Roman" w:cs="Times New Roman"/>
                <w:kern w:val="0"/>
                <w:sz w:val="18"/>
                <w:szCs w:val="18"/>
              </w:rPr>
            </w:pPr>
            <w:r>
              <w:rPr>
                <w:rFonts w:hint="default" w:ascii="Times New Roman" w:hAnsi="Times New Roman" w:cs="Times New Roman"/>
                <w:bCs/>
                <w:color w:val="000000"/>
                <w:kern w:val="24"/>
                <w:sz w:val="18"/>
                <w:szCs w:val="18"/>
              </w:rPr>
              <w:t>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exact"/>
          <w:jc w:val="center"/>
        </w:trPr>
        <w:tc>
          <w:tcPr>
            <w:tcW w:w="8504" w:type="dxa"/>
            <w:gridSpan w:val="2"/>
            <w:noWrap w:val="0"/>
            <w:tcMar>
              <w:top w:w="72" w:type="dxa"/>
              <w:left w:w="144" w:type="dxa"/>
              <w:bottom w:w="72" w:type="dxa"/>
              <w:right w:w="144" w:type="dxa"/>
            </w:tcMar>
            <w:vAlign w:val="center"/>
          </w:tcPr>
          <w:p>
            <w:pPr>
              <w:widowControl/>
              <w:kinsoku w:val="0"/>
              <w:overflowPunct w:val="0"/>
              <w:adjustRightInd w:val="0"/>
              <w:snapToGrid w:val="0"/>
              <w:jc w:val="left"/>
              <w:textAlignment w:val="baseline"/>
              <w:rPr>
                <w:rFonts w:hint="default" w:ascii="Times New Roman" w:hAnsi="Times New Roman" w:cs="Times New Roman"/>
                <w:bCs/>
                <w:color w:val="000000"/>
                <w:kern w:val="24"/>
                <w:sz w:val="18"/>
                <w:szCs w:val="18"/>
              </w:rPr>
            </w:pPr>
            <w:r>
              <w:rPr>
                <w:rFonts w:hint="default" w:ascii="Times New Roman" w:hAnsi="Times New Roman" w:cs="Times New Roman"/>
                <w:bCs/>
                <w:kern w:val="24"/>
                <w:sz w:val="18"/>
                <w:szCs w:val="18"/>
                <w:vertAlign w:val="superscript"/>
              </w:rPr>
              <w:t>a</w:t>
            </w:r>
            <w:r>
              <w:rPr>
                <w:rFonts w:hint="default" w:ascii="Times New Roman" w:hAnsi="Times New Roman" w:cs="Times New Roman"/>
                <w:sz w:val="18"/>
                <w:szCs w:val="18"/>
              </w:rPr>
              <w:t>备注：标称最大粒度50mm的精煤，一般分析和共用试样总样最小质量可为60kg。</w:t>
            </w:r>
          </w:p>
        </w:tc>
      </w:tr>
    </w:tbl>
    <w:p>
      <w:pPr>
        <w:adjustRightInd w:val="0"/>
        <w:snapToGrid w:val="0"/>
        <w:spacing w:line="360" w:lineRule="auto"/>
        <w:ind w:firstLine="420"/>
        <w:rPr>
          <w:rFonts w:hint="default" w:ascii="Times New Roman" w:hAnsi="Times New Roman" w:cs="Times New Roman"/>
          <w:szCs w:val="21"/>
        </w:rPr>
      </w:pPr>
    </w:p>
    <w:p>
      <w:pPr>
        <w:adjustRightInd w:val="0"/>
        <w:snapToGrid w:val="0"/>
        <w:spacing w:line="360" w:lineRule="auto"/>
        <w:rPr>
          <w:rFonts w:hint="default" w:ascii="Times New Roman" w:hAnsi="Times New Roman" w:eastAsia="黑体" w:cs="Times New Roman"/>
          <w:b/>
          <w:bCs/>
          <w:szCs w:val="21"/>
        </w:rPr>
      </w:pPr>
      <w:r>
        <w:rPr>
          <w:rFonts w:hint="default" w:ascii="Times New Roman" w:hAnsi="Times New Roman" w:eastAsia="黑体" w:cs="Times New Roman"/>
          <w:b/>
          <w:bCs/>
          <w:szCs w:val="21"/>
        </w:rPr>
        <w:t>2、检验依据</w:t>
      </w:r>
    </w:p>
    <w:p>
      <w:pPr>
        <w:adjustRightInd w:val="0"/>
        <w:snapToGrid w:val="0"/>
        <w:spacing w:line="360" w:lineRule="auto"/>
        <w:ind w:firstLine="420" w:firstLineChars="200"/>
        <w:rPr>
          <w:rFonts w:hint="default" w:ascii="Times New Roman" w:hAnsi="Times New Roman" w:cs="Times New Roman"/>
          <w:szCs w:val="21"/>
        </w:rPr>
      </w:pPr>
      <w:bookmarkStart w:id="0" w:name="OLE_LINK3"/>
      <w:r>
        <w:rPr>
          <w:rFonts w:hint="default" w:ascii="Times New Roman" w:hAnsi="Times New Roman" w:cs="Times New Roman"/>
          <w:szCs w:val="21"/>
        </w:rPr>
        <w:t>本次抽查煤样种类分为</w:t>
      </w:r>
      <w:r>
        <w:rPr>
          <w:rFonts w:hint="eastAsia" w:ascii="Times New Roman" w:hAnsi="Times New Roman" w:cs="Times New Roman"/>
          <w:szCs w:val="21"/>
          <w:lang w:val="en-US" w:eastAsia="zh-CN"/>
        </w:rPr>
        <w:t>民用散煤中的</w:t>
      </w:r>
      <w:r>
        <w:rPr>
          <w:rFonts w:hint="eastAsia" w:ascii="Times New Roman" w:hAnsi="Times New Roman" w:cs="Times New Roman"/>
          <w:szCs w:val="21"/>
          <w:lang w:eastAsia="zh-CN"/>
        </w:rPr>
        <w:t>烟煤</w:t>
      </w:r>
      <w:r>
        <w:rPr>
          <w:rFonts w:hint="eastAsia" w:ascii="Times New Roman" w:hAnsi="Times New Roman" w:cs="Times New Roman"/>
          <w:szCs w:val="21"/>
          <w:lang w:val="en-US" w:eastAsia="zh-CN"/>
        </w:rPr>
        <w:t>1号</w:t>
      </w:r>
      <w:r>
        <w:rPr>
          <w:rFonts w:hint="eastAsia" w:ascii="Times New Roman" w:hAnsi="Times New Roman" w:cs="Times New Roman"/>
          <w:szCs w:val="21"/>
          <w:lang w:eastAsia="zh-CN"/>
        </w:rPr>
        <w:t>、烟煤</w:t>
      </w:r>
      <w:r>
        <w:rPr>
          <w:rFonts w:hint="eastAsia" w:ascii="Times New Roman" w:hAnsi="Times New Roman" w:cs="Times New Roman"/>
          <w:szCs w:val="21"/>
          <w:lang w:val="en-US" w:eastAsia="zh-CN"/>
        </w:rPr>
        <w:t>2号、</w:t>
      </w:r>
      <w:r>
        <w:rPr>
          <w:rFonts w:hint="eastAsia" w:ascii="Times New Roman" w:hAnsi="Times New Roman" w:cs="Times New Roman"/>
          <w:szCs w:val="21"/>
          <w:lang w:eastAsia="zh-CN"/>
        </w:rPr>
        <w:t>无烟</w:t>
      </w:r>
      <w:r>
        <w:rPr>
          <w:rFonts w:hint="eastAsia" w:ascii="Times New Roman" w:hAnsi="Times New Roman" w:cs="Times New Roman"/>
          <w:szCs w:val="21"/>
          <w:lang w:val="en-US" w:eastAsia="zh-CN"/>
        </w:rPr>
        <w:t>1号、无烟2号</w:t>
      </w:r>
      <w:r>
        <w:rPr>
          <w:rFonts w:hint="default" w:ascii="Times New Roman" w:hAnsi="Times New Roman" w:cs="Times New Roman"/>
          <w:szCs w:val="21"/>
        </w:rPr>
        <w:t>。检验项目及检验依据见表2。</w:t>
      </w:r>
    </w:p>
    <w:bookmarkEnd w:id="0"/>
    <w:p>
      <w:pPr>
        <w:snapToGrid w:val="0"/>
        <w:spacing w:line="440" w:lineRule="exact"/>
        <w:jc w:val="center"/>
        <w:rPr>
          <w:rFonts w:hint="eastAsia" w:ascii="Times New Roman" w:hAnsi="Times New Roman" w:eastAsia="宋体" w:cs="Times New Roman"/>
          <w:bCs/>
          <w:szCs w:val="21"/>
          <w:lang w:eastAsia="zh-CN"/>
        </w:rPr>
      </w:pPr>
      <w:r>
        <w:rPr>
          <w:rFonts w:hint="default" w:ascii="Times New Roman" w:hAnsi="Times New Roman" w:cs="Times New Roman"/>
          <w:bCs/>
          <w:szCs w:val="21"/>
        </w:rPr>
        <w:t>表2 商品煤</w:t>
      </w:r>
      <w:r>
        <w:rPr>
          <w:rFonts w:hint="eastAsia" w:ascii="Times New Roman" w:hAnsi="Times New Roman" w:cs="Times New Roman"/>
          <w:bCs/>
          <w:szCs w:val="21"/>
          <w:lang w:eastAsia="zh-CN"/>
        </w:rPr>
        <w:t>（民用散煤</w:t>
      </w:r>
      <w:r>
        <w:rPr>
          <w:rFonts w:hint="eastAsia" w:ascii="Times New Roman" w:hAnsi="Times New Roman" w:cs="Times New Roman"/>
          <w:bCs/>
          <w:szCs w:val="21"/>
          <w:lang w:val="en-US" w:eastAsia="zh-CN"/>
        </w:rPr>
        <w:t>GB 34169-2017</w:t>
      </w:r>
      <w:r>
        <w:rPr>
          <w:rFonts w:hint="eastAsia" w:ascii="Times New Roman" w:hAnsi="Times New Roman" w:cs="Times New Roman"/>
          <w:bCs/>
          <w:szCs w:val="21"/>
          <w:lang w:eastAsia="zh-CN"/>
        </w:rPr>
        <w:t>）</w:t>
      </w:r>
    </w:p>
    <w:tbl>
      <w:tblPr>
        <w:tblStyle w:val="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4"/>
        <w:gridCol w:w="3771"/>
        <w:gridCol w:w="34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264" w:type="dxa"/>
            <w:noWrap w:val="0"/>
            <w:vAlign w:val="center"/>
          </w:tcPr>
          <w:p>
            <w:pPr>
              <w:adjustRightInd w:val="0"/>
              <w:snapToGrid w:val="0"/>
              <w:jc w:val="center"/>
              <w:rPr>
                <w:rFonts w:hint="default" w:ascii="Times New Roman" w:hAnsi="Times New Roman" w:cs="Times New Roman"/>
                <w:bCs/>
                <w:sz w:val="18"/>
                <w:szCs w:val="18"/>
              </w:rPr>
            </w:pPr>
            <w:r>
              <w:rPr>
                <w:rFonts w:hint="default" w:ascii="Times New Roman" w:hAnsi="Times New Roman" w:cs="Times New Roman"/>
                <w:bCs/>
                <w:sz w:val="18"/>
                <w:szCs w:val="18"/>
              </w:rPr>
              <w:t>序号</w:t>
            </w:r>
          </w:p>
        </w:tc>
        <w:tc>
          <w:tcPr>
            <w:tcW w:w="3771" w:type="dxa"/>
            <w:noWrap w:val="0"/>
            <w:vAlign w:val="center"/>
          </w:tcPr>
          <w:p>
            <w:pPr>
              <w:adjustRightInd w:val="0"/>
              <w:snapToGrid w:val="0"/>
              <w:jc w:val="center"/>
              <w:rPr>
                <w:rFonts w:hint="default" w:ascii="Times New Roman" w:hAnsi="Times New Roman" w:cs="Times New Roman"/>
                <w:bCs/>
                <w:sz w:val="18"/>
                <w:szCs w:val="18"/>
              </w:rPr>
            </w:pPr>
            <w:r>
              <w:rPr>
                <w:rFonts w:hint="default" w:ascii="Times New Roman" w:hAnsi="Times New Roman" w:cs="Times New Roman"/>
                <w:bCs/>
                <w:sz w:val="18"/>
                <w:szCs w:val="18"/>
              </w:rPr>
              <w:t>检验项目</w:t>
            </w:r>
          </w:p>
        </w:tc>
        <w:tc>
          <w:tcPr>
            <w:tcW w:w="3469" w:type="dxa"/>
            <w:noWrap w:val="0"/>
            <w:vAlign w:val="center"/>
          </w:tcPr>
          <w:p>
            <w:pPr>
              <w:snapToGrid w:val="0"/>
              <w:spacing w:line="440" w:lineRule="exact"/>
              <w:jc w:val="center"/>
              <w:rPr>
                <w:rFonts w:hint="default" w:ascii="Times New Roman" w:hAnsi="Times New Roman" w:cs="Times New Roman"/>
                <w:bCs/>
                <w:sz w:val="18"/>
                <w:szCs w:val="18"/>
              </w:rPr>
            </w:pPr>
            <w:r>
              <w:rPr>
                <w:rFonts w:hint="default" w:ascii="Times New Roman" w:hAnsi="Times New Roman" w:cs="Times New Roman"/>
                <w:bCs/>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264" w:type="dxa"/>
            <w:noWrap w:val="0"/>
            <w:vAlign w:val="center"/>
          </w:tcPr>
          <w:p>
            <w:pPr>
              <w:snapToGrid w:val="0"/>
              <w:spacing w:line="440" w:lineRule="exact"/>
              <w:jc w:val="center"/>
              <w:rPr>
                <w:rFonts w:hint="eastAsia" w:ascii="Times New Roman" w:hAnsi="Times New Roman" w:eastAsia="宋体" w:cs="Times New Roman"/>
                <w:bCs/>
                <w:sz w:val="18"/>
                <w:szCs w:val="18"/>
                <w:lang w:eastAsia="zh-CN"/>
              </w:rPr>
            </w:pPr>
            <w:r>
              <w:rPr>
                <w:rFonts w:hint="eastAsia" w:ascii="Times New Roman" w:hAnsi="Times New Roman" w:cs="Times New Roman"/>
                <w:bCs/>
                <w:sz w:val="18"/>
                <w:szCs w:val="18"/>
                <w:lang w:val="en-US" w:eastAsia="zh-CN"/>
              </w:rPr>
              <w:t xml:space="preserve">1 </w:t>
            </w:r>
          </w:p>
        </w:tc>
        <w:tc>
          <w:tcPr>
            <w:tcW w:w="3771" w:type="dxa"/>
            <w:noWrap w:val="0"/>
            <w:vAlign w:val="center"/>
          </w:tcPr>
          <w:p>
            <w:pPr>
              <w:spacing w:line="440" w:lineRule="exact"/>
              <w:jc w:val="center"/>
              <w:rPr>
                <w:rFonts w:hint="default" w:ascii="Times New Roman" w:hAnsi="Times New Roman" w:eastAsia="宋体" w:cs="Times New Roman"/>
                <w:kern w:val="2"/>
                <w:sz w:val="18"/>
                <w:szCs w:val="18"/>
                <w:lang w:val="en-US" w:eastAsia="zh-CN" w:bidi="ar-SA"/>
              </w:rPr>
            </w:pPr>
            <w:r>
              <w:rPr>
                <w:rFonts w:hint="eastAsia" w:ascii="Times New Roman" w:hAnsi="Times New Roman" w:cs="Times New Roman"/>
                <w:sz w:val="18"/>
                <w:szCs w:val="18"/>
                <w:lang w:val="en-US" w:eastAsia="zh-CN"/>
              </w:rPr>
              <w:t>挥发分（V</w:t>
            </w:r>
            <w:r>
              <w:rPr>
                <w:rFonts w:hint="eastAsia" w:ascii="Times New Roman" w:hAnsi="Times New Roman" w:cs="Times New Roman"/>
                <w:sz w:val="18"/>
                <w:szCs w:val="18"/>
                <w:vertAlign w:val="subscript"/>
                <w:lang w:val="en-US" w:eastAsia="zh-CN"/>
              </w:rPr>
              <w:t>daf</w:t>
            </w:r>
            <w:r>
              <w:rPr>
                <w:rFonts w:hint="eastAsia" w:ascii="Times New Roman" w:hAnsi="Times New Roman" w:cs="Times New Roman"/>
                <w:sz w:val="18"/>
                <w:szCs w:val="18"/>
                <w:lang w:val="en-US" w:eastAsia="zh-CN"/>
              </w:rPr>
              <w:t>），</w:t>
            </w:r>
            <w:r>
              <w:rPr>
                <w:rFonts w:hint="default" w:ascii="Times New Roman" w:hAnsi="Times New Roman" w:cs="Times New Roman"/>
                <w:sz w:val="18"/>
                <w:szCs w:val="18"/>
              </w:rPr>
              <w:t>%</w:t>
            </w:r>
          </w:p>
        </w:tc>
        <w:tc>
          <w:tcPr>
            <w:tcW w:w="3469" w:type="dxa"/>
            <w:noWrap w:val="0"/>
            <w:vAlign w:val="center"/>
          </w:tcPr>
          <w:p>
            <w:pPr>
              <w:spacing w:line="440" w:lineRule="exact"/>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bCs/>
                <w:color w:val="000000"/>
                <w:sz w:val="18"/>
                <w:szCs w:val="18"/>
              </w:rPr>
              <w:t>GB/T 212-2008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264" w:type="dxa"/>
            <w:noWrap w:val="0"/>
            <w:vAlign w:val="center"/>
          </w:tcPr>
          <w:p>
            <w:pPr>
              <w:snapToGrid w:val="0"/>
              <w:spacing w:line="440" w:lineRule="exact"/>
              <w:jc w:val="center"/>
              <w:rPr>
                <w:rFonts w:hint="eastAsia" w:ascii="Times New Roman" w:hAnsi="Times New Roman" w:eastAsia="宋体" w:cs="Times New Roman"/>
                <w:bCs/>
                <w:sz w:val="18"/>
                <w:szCs w:val="18"/>
                <w:lang w:eastAsia="zh-CN"/>
              </w:rPr>
            </w:pPr>
            <w:r>
              <w:rPr>
                <w:rFonts w:hint="eastAsia" w:ascii="Times New Roman" w:hAnsi="Times New Roman" w:cs="Times New Roman"/>
                <w:bCs/>
                <w:sz w:val="18"/>
                <w:szCs w:val="18"/>
                <w:lang w:val="en-US" w:eastAsia="zh-CN"/>
              </w:rPr>
              <w:t xml:space="preserve">2 </w:t>
            </w:r>
          </w:p>
        </w:tc>
        <w:tc>
          <w:tcPr>
            <w:tcW w:w="3771" w:type="dxa"/>
            <w:noWrap w:val="0"/>
            <w:vAlign w:val="center"/>
          </w:tcPr>
          <w:p>
            <w:pPr>
              <w:jc w:val="center"/>
              <w:rPr>
                <w:rFonts w:hint="default" w:ascii="Times New Roman" w:hAnsi="Times New Roman" w:cs="Times New Roman"/>
                <w:sz w:val="18"/>
                <w:szCs w:val="18"/>
              </w:rPr>
            </w:pPr>
            <w:r>
              <w:rPr>
                <w:rFonts w:hint="default" w:ascii="Times New Roman" w:hAnsi="Times New Roman" w:cs="Times New Roman"/>
                <w:sz w:val="18"/>
                <w:szCs w:val="18"/>
              </w:rPr>
              <w:t>全硫</w:t>
            </w:r>
            <w:r>
              <w:rPr>
                <w:rFonts w:hint="eastAsia" w:ascii="Times New Roman" w:hAnsi="Times New Roman" w:cs="Times New Roman"/>
                <w:sz w:val="18"/>
                <w:szCs w:val="18"/>
                <w:lang w:eastAsia="zh-CN"/>
              </w:rPr>
              <w:t>（</w:t>
            </w:r>
            <w:r>
              <w:rPr>
                <w:rFonts w:hint="default" w:ascii="Times New Roman" w:hAnsi="Times New Roman" w:cs="Times New Roman"/>
                <w:sz w:val="18"/>
                <w:szCs w:val="18"/>
              </w:rPr>
              <w:t>S</w:t>
            </w:r>
            <w:r>
              <w:rPr>
                <w:rFonts w:hint="default" w:ascii="Times New Roman" w:hAnsi="Times New Roman" w:cs="Times New Roman"/>
                <w:sz w:val="18"/>
                <w:szCs w:val="18"/>
                <w:vertAlign w:val="subscript"/>
              </w:rPr>
              <w:t>t,d</w:t>
            </w:r>
            <w:r>
              <w:rPr>
                <w:rFonts w:hint="eastAsia" w:ascii="Times New Roman" w:hAnsi="Times New Roman" w:cs="Times New Roman"/>
                <w:sz w:val="18"/>
                <w:szCs w:val="18"/>
                <w:vertAlign w:val="baseline"/>
                <w:lang w:eastAsia="zh-CN"/>
              </w:rPr>
              <w:t>）</w:t>
            </w:r>
            <w:r>
              <w:rPr>
                <w:rFonts w:hint="default" w:ascii="Times New Roman" w:hAnsi="Times New Roman" w:cs="Times New Roman"/>
                <w:sz w:val="18"/>
                <w:szCs w:val="18"/>
              </w:rPr>
              <w:t>，%</w:t>
            </w:r>
          </w:p>
        </w:tc>
        <w:tc>
          <w:tcPr>
            <w:tcW w:w="3469" w:type="dxa"/>
            <w:noWrap w:val="0"/>
            <w:vAlign w:val="center"/>
          </w:tcPr>
          <w:p>
            <w:pPr>
              <w:snapToGrid w:val="0"/>
              <w:spacing w:line="440" w:lineRule="exact"/>
              <w:ind w:firstLine="1080" w:firstLineChars="600"/>
              <w:jc w:val="both"/>
              <w:rPr>
                <w:rFonts w:hint="default" w:ascii="Times New Roman" w:hAnsi="Times New Roman" w:eastAsia="宋体" w:cs="Times New Roman"/>
                <w:bCs/>
                <w:sz w:val="18"/>
                <w:szCs w:val="18"/>
                <w:lang w:val="en-US" w:eastAsia="zh-CN"/>
              </w:rPr>
            </w:pPr>
            <w:r>
              <w:rPr>
                <w:rFonts w:hint="default" w:ascii="Times New Roman" w:hAnsi="Times New Roman" w:cs="Times New Roman"/>
                <w:bCs/>
                <w:color w:val="000000"/>
                <w:sz w:val="18"/>
                <w:szCs w:val="18"/>
              </w:rPr>
              <w:t>GB/T 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264" w:type="dxa"/>
            <w:noWrap w:val="0"/>
            <w:vAlign w:val="center"/>
          </w:tcPr>
          <w:p>
            <w:pPr>
              <w:snapToGrid w:val="0"/>
              <w:spacing w:line="440" w:lineRule="exact"/>
              <w:jc w:val="center"/>
              <w:rPr>
                <w:rFonts w:hint="default" w:ascii="Times New Roman" w:hAnsi="Times New Roman" w:cs="Times New Roman"/>
                <w:bCs/>
                <w:sz w:val="18"/>
                <w:szCs w:val="18"/>
                <w:lang w:val="en-US" w:eastAsia="zh-CN"/>
              </w:rPr>
            </w:pPr>
            <w:r>
              <w:rPr>
                <w:rFonts w:hint="eastAsia" w:ascii="Times New Roman" w:hAnsi="Times New Roman" w:cs="Times New Roman"/>
                <w:bCs/>
                <w:sz w:val="18"/>
                <w:szCs w:val="18"/>
                <w:lang w:val="en-US" w:eastAsia="zh-CN"/>
              </w:rPr>
              <w:t>3</w:t>
            </w:r>
          </w:p>
        </w:tc>
        <w:tc>
          <w:tcPr>
            <w:tcW w:w="3771" w:type="dxa"/>
            <w:noWrap w:val="0"/>
            <w:vAlign w:val="center"/>
          </w:tcPr>
          <w:p>
            <w:pPr>
              <w:jc w:val="center"/>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eastAsia="zh-CN"/>
              </w:rPr>
              <w:t>灰分</w:t>
            </w:r>
            <w:r>
              <w:rPr>
                <w:rFonts w:hint="eastAsia" w:ascii="Times New Roman" w:hAnsi="Times New Roman" w:cs="Times New Roman"/>
                <w:sz w:val="18"/>
                <w:szCs w:val="18"/>
                <w:lang w:val="en-US" w:eastAsia="zh-CN"/>
              </w:rPr>
              <w:t>（A</w:t>
            </w:r>
            <w:r>
              <w:rPr>
                <w:rFonts w:hint="eastAsia" w:ascii="Times New Roman" w:hAnsi="Times New Roman" w:cs="Times New Roman"/>
                <w:sz w:val="18"/>
                <w:szCs w:val="18"/>
                <w:vertAlign w:val="subscript"/>
                <w:lang w:val="en-US" w:eastAsia="zh-CN"/>
              </w:rPr>
              <w:t>d</w:t>
            </w:r>
            <w:r>
              <w:rPr>
                <w:rFonts w:hint="eastAsia" w:ascii="Times New Roman" w:hAnsi="Times New Roman" w:cs="Times New Roman"/>
                <w:sz w:val="18"/>
                <w:szCs w:val="18"/>
                <w:lang w:val="en-US" w:eastAsia="zh-CN"/>
              </w:rPr>
              <w:t>），%</w:t>
            </w:r>
          </w:p>
        </w:tc>
        <w:tc>
          <w:tcPr>
            <w:tcW w:w="3469" w:type="dxa"/>
            <w:noWrap w:val="0"/>
            <w:vAlign w:val="center"/>
          </w:tcPr>
          <w:p>
            <w:pPr>
              <w:snapToGrid w:val="0"/>
              <w:spacing w:line="440" w:lineRule="exact"/>
              <w:ind w:firstLine="1080" w:firstLineChars="600"/>
              <w:jc w:val="both"/>
              <w:rPr>
                <w:rFonts w:hint="default" w:ascii="Times New Roman" w:hAnsi="Times New Roman" w:eastAsia="宋体" w:cs="Times New Roman"/>
                <w:bCs/>
                <w:color w:val="000000"/>
                <w:sz w:val="18"/>
                <w:szCs w:val="18"/>
                <w:lang w:val="en-US" w:eastAsia="zh-CN"/>
              </w:rPr>
            </w:pPr>
            <w:r>
              <w:rPr>
                <w:rFonts w:hint="eastAsia" w:ascii="Times New Roman" w:hAnsi="Times New Roman" w:cs="Times New Roman"/>
                <w:bCs/>
                <w:color w:val="000000"/>
                <w:sz w:val="18"/>
                <w:szCs w:val="18"/>
                <w:lang w:val="en-US" w:eastAsia="zh-CN"/>
              </w:rPr>
              <w:t>GB/T212-2008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264" w:type="dxa"/>
            <w:noWrap w:val="0"/>
            <w:vAlign w:val="center"/>
          </w:tcPr>
          <w:p>
            <w:pPr>
              <w:snapToGrid w:val="0"/>
              <w:spacing w:line="440" w:lineRule="exact"/>
              <w:jc w:val="center"/>
              <w:rPr>
                <w:rFonts w:hint="default" w:ascii="Times New Roman" w:hAnsi="Times New Roman" w:eastAsia="宋体" w:cs="Times New Roman"/>
                <w:bCs/>
                <w:sz w:val="18"/>
                <w:szCs w:val="18"/>
                <w:lang w:val="en-US" w:eastAsia="zh-CN"/>
              </w:rPr>
            </w:pPr>
            <w:r>
              <w:rPr>
                <w:rFonts w:hint="eastAsia" w:ascii="Times New Roman" w:hAnsi="Times New Roman" w:cs="Times New Roman"/>
                <w:bCs/>
                <w:sz w:val="18"/>
                <w:szCs w:val="18"/>
                <w:lang w:val="en-US" w:eastAsia="zh-CN"/>
              </w:rPr>
              <w:t>4</w:t>
            </w:r>
          </w:p>
        </w:tc>
        <w:tc>
          <w:tcPr>
            <w:tcW w:w="3771" w:type="dxa"/>
            <w:noWrap w:val="0"/>
            <w:vAlign w:val="center"/>
          </w:tcPr>
          <w:p>
            <w:pPr>
              <w:jc w:val="center"/>
              <w:rPr>
                <w:rFonts w:hint="default" w:ascii="Times New Roman" w:hAnsi="Times New Roman" w:cs="Times New Roman"/>
                <w:sz w:val="18"/>
                <w:szCs w:val="18"/>
              </w:rPr>
            </w:pPr>
            <w:r>
              <w:rPr>
                <w:rFonts w:hint="default" w:ascii="Times New Roman" w:hAnsi="Times New Roman" w:cs="Times New Roman"/>
                <w:sz w:val="18"/>
                <w:szCs w:val="18"/>
              </w:rPr>
              <w:t>磷含量（P</w:t>
            </w:r>
            <w:r>
              <w:rPr>
                <w:rFonts w:hint="default" w:ascii="Times New Roman" w:hAnsi="Times New Roman" w:cs="Times New Roman"/>
                <w:sz w:val="18"/>
                <w:szCs w:val="18"/>
                <w:vertAlign w:val="subscript"/>
              </w:rPr>
              <w:t>d</w:t>
            </w:r>
            <w:r>
              <w:rPr>
                <w:rFonts w:hint="default" w:ascii="Times New Roman" w:hAnsi="Times New Roman" w:cs="Times New Roman"/>
                <w:sz w:val="18"/>
                <w:szCs w:val="18"/>
              </w:rPr>
              <w:t>），%</w:t>
            </w:r>
          </w:p>
        </w:tc>
        <w:tc>
          <w:tcPr>
            <w:tcW w:w="3469" w:type="dxa"/>
            <w:noWrap w:val="0"/>
            <w:vAlign w:val="center"/>
          </w:tcPr>
          <w:p>
            <w:pPr>
              <w:snapToGrid w:val="0"/>
              <w:spacing w:line="440" w:lineRule="exact"/>
              <w:jc w:val="center"/>
              <w:rPr>
                <w:rFonts w:hint="default" w:ascii="Times New Roman" w:hAnsi="Times New Roman" w:cs="Times New Roman"/>
                <w:bCs/>
                <w:sz w:val="18"/>
                <w:szCs w:val="18"/>
              </w:rPr>
            </w:pPr>
            <w:r>
              <w:rPr>
                <w:rFonts w:hint="default" w:ascii="Times New Roman" w:hAnsi="Times New Roman" w:cs="Times New Roman"/>
                <w:bCs/>
                <w:color w:val="000000"/>
                <w:sz w:val="18"/>
                <w:szCs w:val="18"/>
              </w:rPr>
              <w:t>GB/T 216</w:t>
            </w:r>
            <w:r>
              <w:rPr>
                <w:rFonts w:hint="eastAsia" w:ascii="Times New Roman" w:hAnsi="Times New Roman" w:cs="Times New Roman"/>
                <w:bCs/>
                <w:color w:val="000000"/>
                <w:sz w:val="18"/>
                <w:szCs w:val="18"/>
                <w:lang w:eastAsia="zh-CN"/>
              </w:rPr>
              <w:t>—</w:t>
            </w:r>
            <w:r>
              <w:rPr>
                <w:rFonts w:hint="default" w:ascii="Times New Roman" w:hAnsi="Times New Roman" w:cs="Times New Roman"/>
                <w:bCs/>
                <w:color w:val="000000"/>
                <w:sz w:val="18"/>
                <w:szCs w:val="18"/>
              </w:rPr>
              <w:t>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264" w:type="dxa"/>
            <w:noWrap w:val="0"/>
            <w:vAlign w:val="center"/>
          </w:tcPr>
          <w:p>
            <w:pPr>
              <w:snapToGrid w:val="0"/>
              <w:spacing w:line="440" w:lineRule="exact"/>
              <w:jc w:val="center"/>
              <w:rPr>
                <w:rFonts w:hint="default" w:ascii="Times New Roman" w:hAnsi="Times New Roman" w:cs="Times New Roman"/>
                <w:bCs/>
                <w:sz w:val="18"/>
                <w:szCs w:val="18"/>
                <w:lang w:val="en-US" w:eastAsia="zh-CN"/>
              </w:rPr>
            </w:pPr>
            <w:r>
              <w:rPr>
                <w:rFonts w:hint="eastAsia" w:ascii="Times New Roman" w:hAnsi="Times New Roman" w:cs="Times New Roman"/>
                <w:bCs/>
                <w:sz w:val="18"/>
                <w:szCs w:val="18"/>
                <w:lang w:val="en-US" w:eastAsia="zh-CN"/>
              </w:rPr>
              <w:t>5</w:t>
            </w:r>
          </w:p>
        </w:tc>
        <w:tc>
          <w:tcPr>
            <w:tcW w:w="3771" w:type="dxa"/>
            <w:noWrap w:val="0"/>
            <w:vAlign w:val="center"/>
          </w:tcPr>
          <w:p>
            <w:pPr>
              <w:jc w:val="center"/>
              <w:rPr>
                <w:rFonts w:hint="default" w:ascii="Times New Roman" w:hAnsi="Times New Roman" w:cs="Times New Roman"/>
                <w:sz w:val="18"/>
                <w:szCs w:val="18"/>
              </w:rPr>
            </w:pPr>
            <w:r>
              <w:rPr>
                <w:rFonts w:hint="default" w:ascii="Times New Roman" w:hAnsi="Times New Roman" w:cs="Times New Roman"/>
                <w:sz w:val="18"/>
                <w:szCs w:val="18"/>
              </w:rPr>
              <w:t>氯含量（Cl</w:t>
            </w:r>
            <w:r>
              <w:rPr>
                <w:rFonts w:hint="default" w:ascii="Times New Roman" w:hAnsi="Times New Roman" w:cs="Times New Roman"/>
                <w:sz w:val="18"/>
                <w:szCs w:val="18"/>
                <w:vertAlign w:val="subscript"/>
              </w:rPr>
              <w:t>d</w:t>
            </w:r>
            <w:r>
              <w:rPr>
                <w:rFonts w:hint="default" w:ascii="Times New Roman" w:hAnsi="Times New Roman" w:cs="Times New Roman"/>
                <w:sz w:val="18"/>
                <w:szCs w:val="18"/>
              </w:rPr>
              <w:t>），%</w:t>
            </w:r>
          </w:p>
        </w:tc>
        <w:tc>
          <w:tcPr>
            <w:tcW w:w="3469" w:type="dxa"/>
            <w:noWrap w:val="0"/>
            <w:vAlign w:val="center"/>
          </w:tcPr>
          <w:p>
            <w:pPr>
              <w:snapToGrid w:val="0"/>
              <w:spacing w:line="440" w:lineRule="exact"/>
              <w:jc w:val="center"/>
              <w:rPr>
                <w:rFonts w:hint="default" w:ascii="Times New Roman" w:hAnsi="Times New Roman" w:cs="Times New Roman"/>
                <w:bCs/>
                <w:color w:val="000000"/>
                <w:sz w:val="18"/>
                <w:szCs w:val="18"/>
              </w:rPr>
            </w:pPr>
            <w:r>
              <w:rPr>
                <w:rFonts w:hint="default" w:ascii="Times New Roman" w:hAnsi="Times New Roman" w:cs="Times New Roman"/>
                <w:bCs/>
                <w:color w:val="000000"/>
                <w:sz w:val="18"/>
                <w:szCs w:val="18"/>
              </w:rPr>
              <w:t>GB/T 3558</w:t>
            </w:r>
            <w:r>
              <w:rPr>
                <w:rFonts w:hint="eastAsia" w:ascii="Times New Roman" w:hAnsi="Times New Roman" w:cs="Times New Roman"/>
                <w:bCs/>
                <w:color w:val="000000"/>
                <w:sz w:val="18"/>
                <w:szCs w:val="18"/>
                <w:lang w:eastAsia="zh-CN"/>
              </w:rPr>
              <w:t>—</w:t>
            </w:r>
            <w:r>
              <w:rPr>
                <w:rFonts w:hint="default" w:ascii="Times New Roman" w:hAnsi="Times New Roman" w:cs="Times New Roman"/>
                <w:bCs/>
                <w:color w:val="000000"/>
                <w:sz w:val="18"/>
                <w:szCs w:val="18"/>
              </w:rPr>
              <w:t>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264" w:type="dxa"/>
            <w:noWrap w:val="0"/>
            <w:vAlign w:val="center"/>
          </w:tcPr>
          <w:p>
            <w:pPr>
              <w:snapToGrid w:val="0"/>
              <w:spacing w:line="440" w:lineRule="exact"/>
              <w:jc w:val="center"/>
              <w:rPr>
                <w:rFonts w:hint="eastAsia" w:ascii="Times New Roman" w:hAnsi="Times New Roman" w:eastAsia="宋体" w:cs="Times New Roman"/>
                <w:bCs/>
                <w:sz w:val="18"/>
                <w:szCs w:val="18"/>
                <w:lang w:eastAsia="zh-CN"/>
              </w:rPr>
            </w:pPr>
            <w:r>
              <w:rPr>
                <w:rFonts w:hint="eastAsia" w:ascii="Times New Roman" w:hAnsi="Times New Roman" w:cs="Times New Roman"/>
                <w:bCs/>
                <w:sz w:val="18"/>
                <w:szCs w:val="18"/>
                <w:lang w:val="en-US" w:eastAsia="zh-CN"/>
              </w:rPr>
              <w:t>6</w:t>
            </w:r>
          </w:p>
        </w:tc>
        <w:tc>
          <w:tcPr>
            <w:tcW w:w="3771" w:type="dxa"/>
            <w:noWrap w:val="0"/>
            <w:vAlign w:val="center"/>
          </w:tcPr>
          <w:p>
            <w:pPr>
              <w:jc w:val="center"/>
              <w:rPr>
                <w:rFonts w:hint="default" w:ascii="Times New Roman" w:hAnsi="Times New Roman" w:cs="Times New Roman"/>
                <w:sz w:val="18"/>
                <w:szCs w:val="18"/>
              </w:rPr>
            </w:pPr>
            <w:r>
              <w:rPr>
                <w:rFonts w:hint="default" w:ascii="Times New Roman" w:hAnsi="Times New Roman" w:cs="Times New Roman"/>
                <w:sz w:val="18"/>
                <w:szCs w:val="18"/>
              </w:rPr>
              <w:t>氟含量（F</w:t>
            </w:r>
            <w:r>
              <w:rPr>
                <w:rFonts w:hint="default" w:ascii="Times New Roman" w:hAnsi="Times New Roman" w:cs="Times New Roman"/>
                <w:sz w:val="18"/>
                <w:szCs w:val="18"/>
                <w:vertAlign w:val="subscript"/>
              </w:rPr>
              <w:t>d</w:t>
            </w:r>
            <w:r>
              <w:rPr>
                <w:rFonts w:hint="default" w:ascii="Times New Roman" w:hAnsi="Times New Roman" w:cs="Times New Roman"/>
                <w:sz w:val="18"/>
                <w:szCs w:val="18"/>
              </w:rPr>
              <w:t>），μg/g</w:t>
            </w:r>
          </w:p>
        </w:tc>
        <w:tc>
          <w:tcPr>
            <w:tcW w:w="3469" w:type="dxa"/>
            <w:noWrap w:val="0"/>
            <w:vAlign w:val="center"/>
          </w:tcPr>
          <w:tbl>
            <w:tblPr>
              <w:tblStyle w:val="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469" w:type="dxa"/>
                  <w:noWrap w:val="0"/>
                  <w:vAlign w:val="center"/>
                </w:tcPr>
                <w:p>
                  <w:pPr>
                    <w:snapToGrid w:val="0"/>
                    <w:spacing w:line="440" w:lineRule="exact"/>
                    <w:jc w:val="center"/>
                    <w:rPr>
                      <w:rFonts w:hint="default" w:ascii="Times New Roman" w:hAnsi="Times New Roman" w:cs="Times New Roman"/>
                      <w:bCs/>
                      <w:sz w:val="18"/>
                      <w:szCs w:val="18"/>
                    </w:rPr>
                  </w:pPr>
                  <w:r>
                    <w:rPr>
                      <w:rFonts w:hint="default" w:ascii="Times New Roman" w:hAnsi="Times New Roman" w:cs="Times New Roman"/>
                      <w:bCs/>
                      <w:color w:val="000000"/>
                      <w:sz w:val="18"/>
                      <w:szCs w:val="18"/>
                    </w:rPr>
                    <w:t>GB/T 4633</w:t>
                  </w:r>
                  <w:r>
                    <w:rPr>
                      <w:rFonts w:hint="eastAsia" w:ascii="Times New Roman" w:hAnsi="Times New Roman" w:cs="Times New Roman"/>
                      <w:bCs/>
                      <w:color w:val="000000"/>
                      <w:sz w:val="18"/>
                      <w:szCs w:val="18"/>
                      <w:lang w:eastAsia="zh-CN"/>
                    </w:rPr>
                    <w:t>—</w:t>
                  </w:r>
                  <w:r>
                    <w:rPr>
                      <w:rFonts w:hint="default" w:ascii="Times New Roman" w:hAnsi="Times New Roman" w:cs="Times New Roman"/>
                      <w:bCs/>
                      <w:color w:val="000000"/>
                      <w:sz w:val="18"/>
                      <w:szCs w:val="18"/>
                    </w:rPr>
                    <w:t>2014</w:t>
                  </w:r>
                </w:p>
              </w:tc>
            </w:tr>
          </w:tbl>
          <w:p>
            <w:pPr>
              <w:snapToGrid w:val="0"/>
              <w:spacing w:line="440" w:lineRule="exact"/>
              <w:jc w:val="center"/>
              <w:rPr>
                <w:rFonts w:hint="default" w:ascii="Times New Roman" w:hAnsi="Times New Roman" w:cs="Times New Roman"/>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264" w:type="dxa"/>
            <w:noWrap w:val="0"/>
            <w:vAlign w:val="center"/>
          </w:tcPr>
          <w:p>
            <w:pPr>
              <w:snapToGrid w:val="0"/>
              <w:spacing w:line="440" w:lineRule="exact"/>
              <w:jc w:val="center"/>
              <w:rPr>
                <w:rFonts w:hint="eastAsia" w:ascii="Times New Roman" w:hAnsi="Times New Roman" w:eastAsia="宋体" w:cs="Times New Roman"/>
                <w:bCs/>
                <w:sz w:val="18"/>
                <w:szCs w:val="18"/>
                <w:lang w:eastAsia="zh-CN"/>
              </w:rPr>
            </w:pPr>
            <w:r>
              <w:rPr>
                <w:rFonts w:hint="eastAsia" w:ascii="Times New Roman" w:hAnsi="Times New Roman" w:cs="Times New Roman"/>
                <w:bCs/>
                <w:sz w:val="18"/>
                <w:szCs w:val="18"/>
                <w:lang w:val="en-US" w:eastAsia="zh-CN"/>
              </w:rPr>
              <w:t>7</w:t>
            </w:r>
          </w:p>
        </w:tc>
        <w:tc>
          <w:tcPr>
            <w:tcW w:w="3771" w:type="dxa"/>
            <w:noWrap w:val="0"/>
            <w:vAlign w:val="center"/>
          </w:tcPr>
          <w:p>
            <w:pPr>
              <w:jc w:val="center"/>
              <w:rPr>
                <w:rFonts w:hint="default" w:ascii="Times New Roman" w:hAnsi="Times New Roman" w:cs="Times New Roman"/>
                <w:sz w:val="18"/>
                <w:szCs w:val="18"/>
              </w:rPr>
            </w:pPr>
            <w:r>
              <w:rPr>
                <w:rFonts w:hint="default" w:ascii="Times New Roman" w:hAnsi="Times New Roman" w:cs="Times New Roman"/>
                <w:sz w:val="18"/>
                <w:szCs w:val="18"/>
              </w:rPr>
              <w:t>砷含量（As</w:t>
            </w:r>
            <w:r>
              <w:rPr>
                <w:rFonts w:hint="default" w:ascii="Times New Roman" w:hAnsi="Times New Roman" w:cs="Times New Roman"/>
                <w:sz w:val="18"/>
                <w:szCs w:val="18"/>
                <w:vertAlign w:val="subscript"/>
              </w:rPr>
              <w:t>d</w:t>
            </w:r>
            <w:r>
              <w:rPr>
                <w:rFonts w:hint="default" w:ascii="Times New Roman" w:hAnsi="Times New Roman" w:cs="Times New Roman"/>
                <w:sz w:val="18"/>
                <w:szCs w:val="18"/>
              </w:rPr>
              <w:t>），μg/g</w:t>
            </w:r>
          </w:p>
        </w:tc>
        <w:tc>
          <w:tcPr>
            <w:tcW w:w="3469" w:type="dxa"/>
            <w:noWrap w:val="0"/>
            <w:vAlign w:val="center"/>
          </w:tcPr>
          <w:p>
            <w:pPr>
              <w:snapToGrid w:val="0"/>
              <w:spacing w:line="440" w:lineRule="exact"/>
              <w:jc w:val="center"/>
              <w:rPr>
                <w:rFonts w:hint="default" w:ascii="Times New Roman" w:hAnsi="Times New Roman" w:cs="Times New Roman"/>
                <w:bCs/>
                <w:sz w:val="18"/>
                <w:szCs w:val="18"/>
              </w:rPr>
            </w:pPr>
            <w:r>
              <w:rPr>
                <w:rFonts w:hint="default" w:ascii="Times New Roman" w:hAnsi="Times New Roman" w:cs="Times New Roman"/>
                <w:bCs/>
                <w:color w:val="000000"/>
                <w:sz w:val="18"/>
                <w:szCs w:val="18"/>
              </w:rPr>
              <w:t>GB/T 3058</w:t>
            </w:r>
            <w:r>
              <w:rPr>
                <w:rFonts w:hint="eastAsia" w:ascii="Times New Roman" w:hAnsi="Times New Roman" w:cs="Times New Roman"/>
                <w:bCs/>
                <w:color w:val="000000"/>
                <w:sz w:val="18"/>
                <w:szCs w:val="18"/>
                <w:lang w:eastAsia="zh-CN"/>
              </w:rPr>
              <w:t>—</w:t>
            </w:r>
            <w:r>
              <w:rPr>
                <w:rFonts w:hint="default" w:ascii="Times New Roman" w:hAnsi="Times New Roman" w:cs="Times New Roman"/>
                <w:bCs/>
                <w:color w:val="000000"/>
                <w:sz w:val="18"/>
                <w:szCs w:val="18"/>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264" w:type="dxa"/>
            <w:noWrap w:val="0"/>
            <w:vAlign w:val="center"/>
          </w:tcPr>
          <w:p>
            <w:pPr>
              <w:snapToGrid w:val="0"/>
              <w:spacing w:line="440" w:lineRule="exact"/>
              <w:jc w:val="center"/>
              <w:rPr>
                <w:rFonts w:hint="eastAsia" w:ascii="Times New Roman" w:hAnsi="Times New Roman" w:eastAsia="宋体" w:cs="Times New Roman"/>
                <w:bCs/>
                <w:sz w:val="18"/>
                <w:szCs w:val="18"/>
                <w:lang w:eastAsia="zh-CN"/>
              </w:rPr>
            </w:pPr>
            <w:r>
              <w:rPr>
                <w:rFonts w:hint="eastAsia" w:ascii="Times New Roman" w:hAnsi="Times New Roman" w:cs="Times New Roman"/>
                <w:bCs/>
                <w:sz w:val="18"/>
                <w:szCs w:val="18"/>
                <w:lang w:val="en-US" w:eastAsia="zh-CN"/>
              </w:rPr>
              <w:t xml:space="preserve">8 </w:t>
            </w:r>
          </w:p>
        </w:tc>
        <w:tc>
          <w:tcPr>
            <w:tcW w:w="3771" w:type="dxa"/>
            <w:noWrap w:val="0"/>
            <w:vAlign w:val="center"/>
          </w:tcPr>
          <w:p>
            <w:pPr>
              <w:jc w:val="center"/>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eastAsia="zh-CN"/>
              </w:rPr>
              <w:t>汞含量（</w:t>
            </w:r>
            <w:r>
              <w:rPr>
                <w:rFonts w:hint="eastAsia" w:ascii="Times New Roman" w:hAnsi="Times New Roman" w:cs="Times New Roman"/>
                <w:sz w:val="18"/>
                <w:szCs w:val="18"/>
                <w:lang w:val="en-US" w:eastAsia="zh-CN"/>
              </w:rPr>
              <w:t>Hg</w:t>
            </w:r>
            <w:r>
              <w:rPr>
                <w:rFonts w:hint="eastAsia" w:ascii="Times New Roman" w:hAnsi="Times New Roman" w:cs="Times New Roman"/>
                <w:sz w:val="18"/>
                <w:szCs w:val="18"/>
                <w:vertAlign w:val="subscript"/>
                <w:lang w:val="en-US" w:eastAsia="zh-CN"/>
              </w:rPr>
              <w:t>d</w:t>
            </w:r>
            <w:r>
              <w:rPr>
                <w:rFonts w:hint="eastAsia" w:ascii="Times New Roman" w:hAnsi="Times New Roman" w:cs="Times New Roman"/>
                <w:sz w:val="18"/>
                <w:szCs w:val="18"/>
                <w:lang w:eastAsia="zh-CN"/>
              </w:rPr>
              <w:t>），</w:t>
            </w:r>
            <w:r>
              <w:rPr>
                <w:rFonts w:hint="default" w:ascii="Times New Roman" w:hAnsi="Times New Roman" w:cs="Times New Roman"/>
                <w:sz w:val="18"/>
                <w:szCs w:val="18"/>
              </w:rPr>
              <w:t>μg/g</w:t>
            </w:r>
          </w:p>
        </w:tc>
        <w:tc>
          <w:tcPr>
            <w:tcW w:w="3469" w:type="dxa"/>
            <w:noWrap w:val="0"/>
            <w:vAlign w:val="center"/>
          </w:tcPr>
          <w:p>
            <w:pPr>
              <w:snapToGrid w:val="0"/>
              <w:spacing w:line="440" w:lineRule="exact"/>
              <w:jc w:val="center"/>
              <w:rPr>
                <w:rFonts w:hint="default" w:ascii="Times New Roman" w:hAnsi="Times New Roman" w:eastAsia="宋体" w:cs="Times New Roman"/>
                <w:bCs/>
                <w:sz w:val="18"/>
                <w:szCs w:val="18"/>
                <w:lang w:val="en-US" w:eastAsia="zh-CN"/>
              </w:rPr>
            </w:pPr>
            <w:r>
              <w:rPr>
                <w:rFonts w:hint="eastAsia" w:ascii="Times New Roman" w:hAnsi="Times New Roman" w:cs="Times New Roman"/>
                <w:bCs/>
                <w:sz w:val="18"/>
                <w:szCs w:val="18"/>
                <w:lang w:val="en-US" w:eastAsia="zh-CN"/>
              </w:rPr>
              <w:t>GB/T 16659-2024</w:t>
            </w:r>
          </w:p>
        </w:tc>
      </w:tr>
    </w:tbl>
    <w:p>
      <w:pPr>
        <w:adjustRightInd w:val="0"/>
        <w:snapToGrid w:val="0"/>
        <w:spacing w:before="156" w:beforeLines="50"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凡是注日期的文件，其随后所有的修改单（不包括勘误的内容）或修订版不适用于本细则。凡是不注日期的文件，其最新版本适用于本细则。</w:t>
      </w:r>
    </w:p>
    <w:p>
      <w:pPr>
        <w:adjustRightInd w:val="0"/>
        <w:snapToGrid w:val="0"/>
        <w:spacing w:line="360" w:lineRule="auto"/>
        <w:ind w:firstLine="420"/>
        <w:rPr>
          <w:rFonts w:hint="default" w:ascii="Times New Roman" w:hAnsi="Times New Roman" w:eastAsia="黑体" w:cs="Times New Roman"/>
          <w:b/>
          <w:color w:val="000000"/>
          <w:szCs w:val="21"/>
        </w:rPr>
      </w:pPr>
    </w:p>
    <w:p>
      <w:pPr>
        <w:adjustRightInd w:val="0"/>
        <w:snapToGrid w:val="0"/>
        <w:spacing w:line="360" w:lineRule="auto"/>
        <w:rPr>
          <w:rFonts w:hint="default" w:ascii="Times New Roman" w:hAnsi="Times New Roman" w:eastAsia="黑体" w:cs="Times New Roman"/>
          <w:b/>
          <w:bCs/>
          <w:szCs w:val="21"/>
        </w:rPr>
      </w:pPr>
      <w:r>
        <w:rPr>
          <w:rFonts w:hint="default" w:ascii="Times New Roman" w:hAnsi="Times New Roman" w:eastAsia="黑体" w:cs="Times New Roman"/>
          <w:b/>
          <w:bCs/>
          <w:szCs w:val="21"/>
        </w:rPr>
        <w:t>3、判定规则</w:t>
      </w:r>
    </w:p>
    <w:p>
      <w:pPr>
        <w:adjustRightInd w:val="0"/>
        <w:snapToGrid w:val="0"/>
        <w:spacing w:line="360" w:lineRule="auto"/>
        <w:ind w:firstLine="422" w:firstLineChars="200"/>
        <w:rPr>
          <w:rFonts w:hint="default" w:ascii="Times New Roman" w:hAnsi="Times New Roman" w:cs="Times New Roman"/>
          <w:b/>
          <w:color w:val="000000"/>
          <w:szCs w:val="21"/>
        </w:rPr>
      </w:pPr>
      <w:r>
        <w:rPr>
          <w:rFonts w:hint="default" w:ascii="Times New Roman" w:hAnsi="Times New Roman" w:cs="Times New Roman"/>
          <w:b/>
          <w:szCs w:val="21"/>
        </w:rPr>
        <w:t>3.1</w:t>
      </w:r>
      <w:r>
        <w:rPr>
          <w:rFonts w:hint="default" w:ascii="Times New Roman" w:hAnsi="Times New Roman" w:cs="Times New Roman"/>
          <w:b/>
          <w:color w:val="000000"/>
          <w:szCs w:val="21"/>
        </w:rPr>
        <w:t>依据标准</w:t>
      </w:r>
    </w:p>
    <w:p>
      <w:pPr>
        <w:adjustRightInd w:val="0"/>
        <w:snapToGrid w:val="0"/>
        <w:spacing w:line="360" w:lineRule="auto"/>
        <w:ind w:firstLine="420"/>
        <w:rPr>
          <w:rFonts w:hint="eastAsia"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GB 34169-2017  商品煤质量 民用散煤</w:t>
      </w:r>
    </w:p>
    <w:p>
      <w:pPr>
        <w:adjustRightInd w:val="0"/>
        <w:snapToGri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现行有效的企业标准、团体标准、地方标准及产品明示质量要求</w:t>
      </w:r>
    </w:p>
    <w:p>
      <w:pPr>
        <w:adjustRightInd w:val="0"/>
        <w:snapToGrid w:val="0"/>
        <w:spacing w:line="360" w:lineRule="auto"/>
        <w:ind w:firstLine="422" w:firstLineChars="200"/>
        <w:rPr>
          <w:rFonts w:hint="default" w:ascii="Times New Roman" w:hAnsi="Times New Roman" w:cs="Times New Roman"/>
          <w:b/>
          <w:color w:val="000000"/>
          <w:szCs w:val="21"/>
        </w:rPr>
      </w:pPr>
      <w:r>
        <w:rPr>
          <w:rFonts w:hint="default" w:ascii="Times New Roman" w:hAnsi="Times New Roman" w:cs="Times New Roman"/>
          <w:b/>
          <w:szCs w:val="21"/>
        </w:rPr>
        <w:t>3.2</w:t>
      </w:r>
      <w:r>
        <w:rPr>
          <w:rFonts w:hint="default" w:ascii="Times New Roman" w:hAnsi="Times New Roman" w:cs="Times New Roman"/>
          <w:b/>
          <w:color w:val="000000"/>
          <w:szCs w:val="21"/>
        </w:rPr>
        <w:t>判定原则</w:t>
      </w:r>
    </w:p>
    <w:p>
      <w:pPr>
        <w:adjustRightInd w:val="0"/>
        <w:snapToGrid w:val="0"/>
        <w:spacing w:line="360" w:lineRule="auto"/>
        <w:ind w:firstLine="420"/>
        <w:rPr>
          <w:rFonts w:hint="default" w:ascii="Times New Roman" w:hAnsi="Times New Roman" w:cs="Times New Roman"/>
          <w:szCs w:val="21"/>
        </w:rPr>
      </w:pPr>
      <w:bookmarkStart w:id="1" w:name="_GoBack"/>
      <w:bookmarkEnd w:id="1"/>
      <w:r>
        <w:rPr>
          <w:rFonts w:hint="default" w:ascii="Times New Roman" w:hAnsi="Times New Roman" w:cs="Times New Roman"/>
          <w:szCs w:val="21"/>
        </w:rPr>
        <w:t>经检验，检验项目全部合格，判定为本次检验通过；检验项目中任一项或一项以上不符合</w:t>
      </w:r>
      <w:r>
        <w:rPr>
          <w:rFonts w:hint="eastAsia" w:ascii="Times New Roman" w:hAnsi="Times New Roman" w:cs="Times New Roman"/>
          <w:szCs w:val="21"/>
          <w:lang w:eastAsia="zh-CN"/>
        </w:rPr>
        <w:t>GB 34169-2017</w:t>
      </w:r>
      <w:r>
        <w:rPr>
          <w:rFonts w:hint="default" w:ascii="Times New Roman" w:hAnsi="Times New Roman" w:cs="Times New Roman"/>
          <w:szCs w:val="21"/>
        </w:rPr>
        <w:t>《</w:t>
      </w:r>
      <w:r>
        <w:rPr>
          <w:rFonts w:hint="eastAsia" w:ascii="宋体" w:hAnsi="宋体" w:eastAsia="宋体" w:cs="宋体"/>
          <w:b w:val="0"/>
          <w:bCs/>
          <w:color w:val="000000"/>
          <w:szCs w:val="21"/>
          <w:lang w:val="en-US" w:eastAsia="zh-CN"/>
        </w:rPr>
        <w:t>商品煤质量 民用散煤</w:t>
      </w:r>
      <w:r>
        <w:rPr>
          <w:rFonts w:hint="default" w:ascii="Times New Roman" w:hAnsi="Times New Roman" w:cs="Times New Roman"/>
          <w:szCs w:val="21"/>
        </w:rPr>
        <w:t>》标准，则判本次检验不通过。</w:t>
      </w:r>
    </w:p>
    <w:sectPr>
      <w:headerReference r:id="rId3" w:type="default"/>
      <w:footerReference r:id="rId4" w:type="default"/>
      <w:footerReference r:id="rId5" w:type="even"/>
      <w:pgSz w:w="11906" w:h="16838"/>
      <w:pgMar w:top="1985" w:right="1361" w:bottom="1361" w:left="158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CA7AF44-576B-422C-B355-85822B410F9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00000000" w:usb1="00000000" w:usb2="00000000" w:usb3="00000000" w:csb0="00000000" w:csb1="00000000"/>
    <w:embedRegular r:id="rId2" w:fontKey="{AA7CE28E-C1AD-48B4-9B69-795090C9F06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fldChar w:fldCharType="begin"/>
    </w:r>
    <w:r>
      <w:rPr>
        <w:lang w:val="zh-CN"/>
      </w:rPr>
      <w:instrText xml:space="preserve"> PAGE   \* MERGEFORMAT </w:instrText>
    </w:r>
    <w:r>
      <w:rPr>
        <w:lang w:val="zh-CN"/>
      </w:rPr>
      <w:fldChar w:fldCharType="separate"/>
    </w:r>
    <w:r>
      <w:t>2</w:t>
    </w:r>
    <w:r>
      <w:rPr>
        <w:lang w:val="zh-CN"/>
      </w:rPr>
      <w:fldChar w:fldCharType="end"/>
    </w:r>
  </w:p>
  <w:p>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0"/>
      </w:rPr>
    </w:pPr>
    <w:r>
      <w:fldChar w:fldCharType="begin"/>
    </w:r>
    <w:r>
      <w:rPr>
        <w:rStyle w:val="10"/>
      </w:rPr>
      <w:instrText xml:space="preserve">PAGE  </w:instrText>
    </w:r>
    <w:r>
      <w:fldChar w:fldCharType="separate"/>
    </w:r>
    <w:r>
      <w:rPr>
        <w:rStyle w:val="10"/>
      </w:rPr>
      <w:t>2</w:t>
    </w:r>
    <w:r>
      <w:fldChar w:fldCharType="end"/>
    </w:r>
  </w:p>
  <w:p>
    <w:pPr>
      <w:pStyle w:val="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6"/>
      <w:suff w:val="nothing"/>
      <w:lvlText w:val="%1.%2　"/>
      <w:lvlJc w:val="left"/>
      <w:pPr>
        <w:ind w:left="1575"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mMGVhZjU5ZThiMmQ5Yjk2YzgyNTk5ZDBjOTgwM2MifQ=="/>
  </w:docVars>
  <w:rsids>
    <w:rsidRoot w:val="00172A27"/>
    <w:rsid w:val="000278E3"/>
    <w:rsid w:val="00027DDB"/>
    <w:rsid w:val="00051A44"/>
    <w:rsid w:val="00081CBD"/>
    <w:rsid w:val="00082859"/>
    <w:rsid w:val="00084B86"/>
    <w:rsid w:val="00095DC0"/>
    <w:rsid w:val="000976DE"/>
    <w:rsid w:val="000A6615"/>
    <w:rsid w:val="000D2A26"/>
    <w:rsid w:val="000D6592"/>
    <w:rsid w:val="000E5A86"/>
    <w:rsid w:val="000F49FD"/>
    <w:rsid w:val="00102EBA"/>
    <w:rsid w:val="00104F8A"/>
    <w:rsid w:val="00130B39"/>
    <w:rsid w:val="00151F47"/>
    <w:rsid w:val="00156EA4"/>
    <w:rsid w:val="0016030D"/>
    <w:rsid w:val="00162446"/>
    <w:rsid w:val="00171181"/>
    <w:rsid w:val="00172A27"/>
    <w:rsid w:val="001809DD"/>
    <w:rsid w:val="001849D7"/>
    <w:rsid w:val="001A1114"/>
    <w:rsid w:val="00200876"/>
    <w:rsid w:val="002119E7"/>
    <w:rsid w:val="00211D01"/>
    <w:rsid w:val="00220802"/>
    <w:rsid w:val="002270A3"/>
    <w:rsid w:val="00230BB3"/>
    <w:rsid w:val="00232530"/>
    <w:rsid w:val="00253624"/>
    <w:rsid w:val="00270EC9"/>
    <w:rsid w:val="002779E3"/>
    <w:rsid w:val="002A60CB"/>
    <w:rsid w:val="002C5C77"/>
    <w:rsid w:val="002D2C9A"/>
    <w:rsid w:val="002D7634"/>
    <w:rsid w:val="002D7F8A"/>
    <w:rsid w:val="002E0D1D"/>
    <w:rsid w:val="002F3438"/>
    <w:rsid w:val="00312319"/>
    <w:rsid w:val="00315664"/>
    <w:rsid w:val="003203A3"/>
    <w:rsid w:val="00394F59"/>
    <w:rsid w:val="003A7051"/>
    <w:rsid w:val="003B03C4"/>
    <w:rsid w:val="003C388C"/>
    <w:rsid w:val="003D0C12"/>
    <w:rsid w:val="003E61BF"/>
    <w:rsid w:val="003F7D79"/>
    <w:rsid w:val="00407DEB"/>
    <w:rsid w:val="0042267C"/>
    <w:rsid w:val="00427B3F"/>
    <w:rsid w:val="00440056"/>
    <w:rsid w:val="00445E86"/>
    <w:rsid w:val="00453FA9"/>
    <w:rsid w:val="00473EF8"/>
    <w:rsid w:val="00474E04"/>
    <w:rsid w:val="004760EF"/>
    <w:rsid w:val="004968FF"/>
    <w:rsid w:val="004B1BD1"/>
    <w:rsid w:val="004C39F9"/>
    <w:rsid w:val="004D0C5A"/>
    <w:rsid w:val="004E1396"/>
    <w:rsid w:val="00524855"/>
    <w:rsid w:val="0053524C"/>
    <w:rsid w:val="00537B0E"/>
    <w:rsid w:val="00563EBC"/>
    <w:rsid w:val="005649C6"/>
    <w:rsid w:val="005745DD"/>
    <w:rsid w:val="005A3B78"/>
    <w:rsid w:val="005C0E37"/>
    <w:rsid w:val="005D02E3"/>
    <w:rsid w:val="005E1E7A"/>
    <w:rsid w:val="0062152E"/>
    <w:rsid w:val="0063444D"/>
    <w:rsid w:val="0066527B"/>
    <w:rsid w:val="00676724"/>
    <w:rsid w:val="006902B5"/>
    <w:rsid w:val="006A02E9"/>
    <w:rsid w:val="006A10AD"/>
    <w:rsid w:val="006A4DBE"/>
    <w:rsid w:val="006B5068"/>
    <w:rsid w:val="006C59C6"/>
    <w:rsid w:val="006C5CC9"/>
    <w:rsid w:val="006E0592"/>
    <w:rsid w:val="006E1171"/>
    <w:rsid w:val="006F0971"/>
    <w:rsid w:val="006F324D"/>
    <w:rsid w:val="00707E1D"/>
    <w:rsid w:val="00711473"/>
    <w:rsid w:val="00712ED5"/>
    <w:rsid w:val="007139C2"/>
    <w:rsid w:val="0072334C"/>
    <w:rsid w:val="0072798A"/>
    <w:rsid w:val="00740358"/>
    <w:rsid w:val="00744C53"/>
    <w:rsid w:val="00774F50"/>
    <w:rsid w:val="007B3B26"/>
    <w:rsid w:val="007C03E8"/>
    <w:rsid w:val="007E1D28"/>
    <w:rsid w:val="0080678C"/>
    <w:rsid w:val="00857A09"/>
    <w:rsid w:val="00873941"/>
    <w:rsid w:val="008935AA"/>
    <w:rsid w:val="00895BEA"/>
    <w:rsid w:val="008A0484"/>
    <w:rsid w:val="008A3497"/>
    <w:rsid w:val="008E5008"/>
    <w:rsid w:val="008F200D"/>
    <w:rsid w:val="00917A54"/>
    <w:rsid w:val="00921388"/>
    <w:rsid w:val="00921AE9"/>
    <w:rsid w:val="0096066A"/>
    <w:rsid w:val="00974ED1"/>
    <w:rsid w:val="009A33E1"/>
    <w:rsid w:val="009F36EF"/>
    <w:rsid w:val="009F4CC3"/>
    <w:rsid w:val="00A05FD9"/>
    <w:rsid w:val="00A352FA"/>
    <w:rsid w:val="00A43553"/>
    <w:rsid w:val="00A6625A"/>
    <w:rsid w:val="00A908EE"/>
    <w:rsid w:val="00AA71C8"/>
    <w:rsid w:val="00AC5391"/>
    <w:rsid w:val="00AC7600"/>
    <w:rsid w:val="00AE6114"/>
    <w:rsid w:val="00AF3289"/>
    <w:rsid w:val="00B17ACE"/>
    <w:rsid w:val="00B57C1F"/>
    <w:rsid w:val="00BA7746"/>
    <w:rsid w:val="00BD0337"/>
    <w:rsid w:val="00BD1041"/>
    <w:rsid w:val="00BE54EF"/>
    <w:rsid w:val="00BE615A"/>
    <w:rsid w:val="00BF2B8C"/>
    <w:rsid w:val="00C26074"/>
    <w:rsid w:val="00C31148"/>
    <w:rsid w:val="00C45B13"/>
    <w:rsid w:val="00C51EA8"/>
    <w:rsid w:val="00C535FD"/>
    <w:rsid w:val="00C614C4"/>
    <w:rsid w:val="00C66894"/>
    <w:rsid w:val="00C71495"/>
    <w:rsid w:val="00C81E22"/>
    <w:rsid w:val="00C83B0A"/>
    <w:rsid w:val="00C9023B"/>
    <w:rsid w:val="00CA44F5"/>
    <w:rsid w:val="00CE1E0C"/>
    <w:rsid w:val="00CE277E"/>
    <w:rsid w:val="00CF26A1"/>
    <w:rsid w:val="00D24440"/>
    <w:rsid w:val="00D27400"/>
    <w:rsid w:val="00D56867"/>
    <w:rsid w:val="00D77DF9"/>
    <w:rsid w:val="00D86B6C"/>
    <w:rsid w:val="00D963BB"/>
    <w:rsid w:val="00DF6310"/>
    <w:rsid w:val="00E02A7F"/>
    <w:rsid w:val="00E0523D"/>
    <w:rsid w:val="00E07880"/>
    <w:rsid w:val="00E346CA"/>
    <w:rsid w:val="00E47864"/>
    <w:rsid w:val="00E76DD5"/>
    <w:rsid w:val="00E82621"/>
    <w:rsid w:val="00EC5C7A"/>
    <w:rsid w:val="00ED533F"/>
    <w:rsid w:val="00EE0BBC"/>
    <w:rsid w:val="00F0723C"/>
    <w:rsid w:val="00F26D57"/>
    <w:rsid w:val="00F30E8E"/>
    <w:rsid w:val="00F77C9A"/>
    <w:rsid w:val="00F922C3"/>
    <w:rsid w:val="00F97253"/>
    <w:rsid w:val="00FB576C"/>
    <w:rsid w:val="00FD2AA6"/>
    <w:rsid w:val="00FE49BE"/>
    <w:rsid w:val="00FE7E8A"/>
    <w:rsid w:val="02214557"/>
    <w:rsid w:val="023F763D"/>
    <w:rsid w:val="062D2D68"/>
    <w:rsid w:val="07C2642F"/>
    <w:rsid w:val="081359B7"/>
    <w:rsid w:val="09673BA4"/>
    <w:rsid w:val="0C096217"/>
    <w:rsid w:val="0CB56DD3"/>
    <w:rsid w:val="0CD7113C"/>
    <w:rsid w:val="0FD8021F"/>
    <w:rsid w:val="103A7448"/>
    <w:rsid w:val="10A31E96"/>
    <w:rsid w:val="13353FF5"/>
    <w:rsid w:val="13DC36EE"/>
    <w:rsid w:val="14AB2694"/>
    <w:rsid w:val="156548F4"/>
    <w:rsid w:val="159F0A93"/>
    <w:rsid w:val="15EC01DF"/>
    <w:rsid w:val="16015CA5"/>
    <w:rsid w:val="1AF07979"/>
    <w:rsid w:val="1B17226F"/>
    <w:rsid w:val="1C3D34E0"/>
    <w:rsid w:val="1F501BB8"/>
    <w:rsid w:val="1F8074C0"/>
    <w:rsid w:val="200D0C04"/>
    <w:rsid w:val="216F621B"/>
    <w:rsid w:val="21E04EA4"/>
    <w:rsid w:val="22B152BF"/>
    <w:rsid w:val="22DF6C96"/>
    <w:rsid w:val="241214D1"/>
    <w:rsid w:val="2461700C"/>
    <w:rsid w:val="253F2BB2"/>
    <w:rsid w:val="25E33673"/>
    <w:rsid w:val="2A1F4605"/>
    <w:rsid w:val="2A3251C2"/>
    <w:rsid w:val="2AA6150A"/>
    <w:rsid w:val="2CCD4788"/>
    <w:rsid w:val="2CD53B17"/>
    <w:rsid w:val="2CF658F1"/>
    <w:rsid w:val="2DA631D5"/>
    <w:rsid w:val="2DC378EB"/>
    <w:rsid w:val="2EED4B0F"/>
    <w:rsid w:val="2FEA110F"/>
    <w:rsid w:val="30E17AE3"/>
    <w:rsid w:val="31003EEB"/>
    <w:rsid w:val="34A01A38"/>
    <w:rsid w:val="34E541B2"/>
    <w:rsid w:val="352A17E9"/>
    <w:rsid w:val="35C13026"/>
    <w:rsid w:val="36F67AB7"/>
    <w:rsid w:val="37541E42"/>
    <w:rsid w:val="376E0A6D"/>
    <w:rsid w:val="3A516FA0"/>
    <w:rsid w:val="3D7D0D39"/>
    <w:rsid w:val="3F154693"/>
    <w:rsid w:val="3FB027A8"/>
    <w:rsid w:val="3FB202C1"/>
    <w:rsid w:val="422E534B"/>
    <w:rsid w:val="432675B5"/>
    <w:rsid w:val="43CC3447"/>
    <w:rsid w:val="453C1B7B"/>
    <w:rsid w:val="460E0A98"/>
    <w:rsid w:val="46557BB6"/>
    <w:rsid w:val="475D1432"/>
    <w:rsid w:val="475F2FFC"/>
    <w:rsid w:val="49732FE5"/>
    <w:rsid w:val="4B870F6E"/>
    <w:rsid w:val="4BB4072D"/>
    <w:rsid w:val="50A54A91"/>
    <w:rsid w:val="512E43EF"/>
    <w:rsid w:val="51D1541B"/>
    <w:rsid w:val="52282C74"/>
    <w:rsid w:val="57332381"/>
    <w:rsid w:val="58B312C5"/>
    <w:rsid w:val="5904466A"/>
    <w:rsid w:val="594A2A04"/>
    <w:rsid w:val="5AE00619"/>
    <w:rsid w:val="5B3E7DF5"/>
    <w:rsid w:val="5CE25FAC"/>
    <w:rsid w:val="5DFA1C3D"/>
    <w:rsid w:val="5F9333D6"/>
    <w:rsid w:val="60E530F9"/>
    <w:rsid w:val="620362A4"/>
    <w:rsid w:val="627D42BF"/>
    <w:rsid w:val="639F4F94"/>
    <w:rsid w:val="63D04ACA"/>
    <w:rsid w:val="651A323A"/>
    <w:rsid w:val="654A04FC"/>
    <w:rsid w:val="673B4835"/>
    <w:rsid w:val="679B1D06"/>
    <w:rsid w:val="68C77275"/>
    <w:rsid w:val="68CD297C"/>
    <w:rsid w:val="690D1A40"/>
    <w:rsid w:val="69341105"/>
    <w:rsid w:val="6967621D"/>
    <w:rsid w:val="6C1048AA"/>
    <w:rsid w:val="6E337C21"/>
    <w:rsid w:val="6E353420"/>
    <w:rsid w:val="6EBD4B1B"/>
    <w:rsid w:val="6F81115B"/>
    <w:rsid w:val="706B7C10"/>
    <w:rsid w:val="70AD10CF"/>
    <w:rsid w:val="714619A5"/>
    <w:rsid w:val="722E4900"/>
    <w:rsid w:val="72543B39"/>
    <w:rsid w:val="72735FAC"/>
    <w:rsid w:val="73182C74"/>
    <w:rsid w:val="73193962"/>
    <w:rsid w:val="73D91CFC"/>
    <w:rsid w:val="74312AD5"/>
    <w:rsid w:val="74D93A6B"/>
    <w:rsid w:val="77065F00"/>
    <w:rsid w:val="78406976"/>
    <w:rsid w:val="78A95670"/>
    <w:rsid w:val="7A0933C2"/>
    <w:rsid w:val="7A453139"/>
    <w:rsid w:val="7ADC3632"/>
    <w:rsid w:val="7B6314B1"/>
    <w:rsid w:val="7CFA6CDC"/>
    <w:rsid w:val="7D0E1547"/>
    <w:rsid w:val="7E1D641D"/>
    <w:rsid w:val="7F297FCF"/>
    <w:rsid w:val="7F9F60F8"/>
    <w:rsid w:val="7FA57493"/>
    <w:rsid w:val="7FA90A86"/>
    <w:rsid w:val="7FE06FB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w:basedOn w:val="1"/>
    <w:qFormat/>
    <w:uiPriority w:val="0"/>
    <w:pPr>
      <w:spacing w:after="120" w:afterLines="0" w:afterAutospacing="0"/>
    </w:p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qFormat/>
    <w:uiPriority w:val="0"/>
  </w:style>
  <w:style w:type="character" w:customStyle="1" w:styleId="11">
    <w:name w:val="批注框文本 字符"/>
    <w:link w:val="4"/>
    <w:semiHidden/>
    <w:qFormat/>
    <w:uiPriority w:val="99"/>
    <w:rPr>
      <w:kern w:val="2"/>
      <w:sz w:val="18"/>
      <w:szCs w:val="18"/>
    </w:rPr>
  </w:style>
  <w:style w:type="character" w:customStyle="1" w:styleId="12">
    <w:name w:val="页脚 字符"/>
    <w:link w:val="5"/>
    <w:qFormat/>
    <w:uiPriority w:val="99"/>
    <w:rPr>
      <w:kern w:val="2"/>
      <w:sz w:val="18"/>
      <w:szCs w:val="18"/>
    </w:rPr>
  </w:style>
  <w:style w:type="character" w:customStyle="1" w:styleId="13">
    <w:name w:val="页眉 字符"/>
    <w:link w:val="6"/>
    <w:semiHidden/>
    <w:qFormat/>
    <w:uiPriority w:val="99"/>
    <w:rPr>
      <w:kern w:val="2"/>
      <w:sz w:val="18"/>
      <w:szCs w:val="18"/>
    </w:rPr>
  </w:style>
  <w:style w:type="paragraph" w:customStyle="1" w:styleId="1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
    <w:name w:val="列出段落1"/>
    <w:basedOn w:val="1"/>
    <w:qFormat/>
    <w:uiPriority w:val="34"/>
    <w:pPr>
      <w:ind w:firstLine="420" w:firstLineChars="200"/>
    </w:pPr>
    <w:rPr>
      <w:rFonts w:ascii="Calibri" w:hAnsi="Calibri"/>
      <w:szCs w:val="22"/>
    </w:rPr>
  </w:style>
  <w:style w:type="paragraph" w:customStyle="1" w:styleId="16">
    <w:name w:val="一级条标题"/>
    <w:next w:val="14"/>
    <w:qFormat/>
    <w:uiPriority w:val="0"/>
    <w:pPr>
      <w:numPr>
        <w:ilvl w:val="1"/>
        <w:numId w:val="1"/>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17">
    <w:name w:val="正文表标题"/>
    <w:next w:val="1"/>
    <w:qFormat/>
    <w:uiPriority w:val="0"/>
    <w:pPr>
      <w:tabs>
        <w:tab w:val="left" w:pos="360"/>
      </w:tabs>
      <w:spacing w:before="156" w:beforeLines="50" w:after="156" w:afterLines="50"/>
      <w:jc w:val="center"/>
    </w:pPr>
    <w:rPr>
      <w:rFonts w:ascii="黑体" w:hAnsi="Times New Roman" w:eastAsia="黑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Legend (Beijing) Limited</Company>
  <Pages>3</Pages>
  <Words>696</Words>
  <Characters>912</Characters>
  <Lines>7</Lines>
  <Paragraphs>2</Paragraphs>
  <TotalTime>826</TotalTime>
  <ScaleCrop>false</ScaleCrop>
  <LinksUpToDate>false</LinksUpToDate>
  <CharactersWithSpaces>978</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2020-04-01T03:26:00Z</dcterms:created>
  <dc:creator>Legend User</dc:creator>
  <cp:lastModifiedBy>Administrator</cp:lastModifiedBy>
  <cp:lastPrinted>2019-12-05T07:53:00Z</cp:lastPrinted>
  <dcterms:modified xsi:type="dcterms:W3CDTF">2026-09-10T08:20:23Z</dcterms:modified>
  <dc:title>××产品质量监督抽查实施细则</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7B24A348306744259C54D2E9A4824B11_13</vt:lpwstr>
  </property>
  <property fmtid="{D5CDD505-2E9C-101B-9397-08002B2CF9AE}" pid="4" name="KSOTemplateDocerSaveRecord">
    <vt:lpwstr>eyJoZGlkIjoiZjJiYzRjZDg4ODIxMmZkMzVjYzYxNzIzMDEwYjJjY2IiLCJ1c2VySWQiOiI1NzUyMzIxMDIifQ==</vt:lpwstr>
  </property>
</Properties>
</file>