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中共轮台县委员会统一战线工作部2024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CAA94A3">
      <w:r>
        <w:br w:type="page"/>
      </w:r>
    </w:p>
    <w:p w14:paraId="639813E0">
      <w:pPr>
        <w:spacing w:line="640" w:lineRule="exact"/>
        <w:jc w:val="center"/>
        <w:outlineLvl w:val="1"/>
      </w:pPr>
      <w:r>
        <w:rPr>
          <w:rFonts w:ascii="黑体" w:hAnsi="黑体" w:eastAsia="黑体"/>
          <w:sz w:val="32"/>
        </w:rPr>
        <w:t>第一部分 单位概况</w:t>
      </w:r>
    </w:p>
    <w:p w14:paraId="4B86CEA1">
      <w:pPr>
        <w:spacing w:line="640" w:lineRule="exact"/>
        <w:ind w:firstLine="640"/>
        <w:jc w:val="both"/>
        <w:outlineLvl w:val="2"/>
      </w:pPr>
      <w:r>
        <w:rPr>
          <w:rFonts w:ascii="黑体" w:hAnsi="黑体" w:eastAsia="黑体"/>
          <w:sz w:val="32"/>
        </w:rPr>
        <w:t>一、主要职能</w:t>
      </w:r>
    </w:p>
    <w:p w14:paraId="1BF738C6">
      <w:pPr>
        <w:spacing w:line="580" w:lineRule="exact"/>
        <w:ind w:firstLine="640"/>
        <w:jc w:val="both"/>
      </w:pPr>
      <w:r>
        <w:rPr>
          <w:rFonts w:ascii="仿宋_GB2312" w:hAnsi="仿宋_GB2312" w:eastAsia="仿宋_GB2312"/>
          <w:sz w:val="32"/>
        </w:rPr>
        <w:t>（一）贯彻执行中央、自治区、自治州、县关于统一战线和民族</w:t>
      </w:r>
      <w:bookmarkStart w:id="0" w:name="_GoBack"/>
      <w:r>
        <w:rPr>
          <w:rFonts w:ascii="仿宋_GB2312" w:hAnsi="仿宋_GB2312" w:eastAsia="仿宋_GB2312"/>
          <w:sz w:val="32"/>
        </w:rPr>
        <w:t>宗教</w:t>
      </w:r>
      <w:bookmarkEnd w:id="0"/>
      <w:r>
        <w:rPr>
          <w:rFonts w:ascii="仿宋_GB2312" w:hAnsi="仿宋_GB2312" w:eastAsia="仿宋_GB2312"/>
          <w:sz w:val="32"/>
        </w:rPr>
        <w:t>方面的方针政策；做好本县统一战线和民族宗教工作情况的调研，向上级统战部、民宗部门和县委、县人民政府反映情况，研究拟定县委统战部、民族宗教工作的意见、措施，并组织实施。</w:t>
      </w:r>
    </w:p>
    <w:p w14:paraId="3E5C9CDB">
      <w:pPr>
        <w:spacing w:line="580" w:lineRule="exact"/>
        <w:ind w:firstLine="640"/>
        <w:jc w:val="both"/>
      </w:pPr>
      <w:r>
        <w:rPr>
          <w:rFonts w:ascii="仿宋_GB2312" w:hAnsi="仿宋_GB2312" w:eastAsia="仿宋_GB2312"/>
          <w:sz w:val="32"/>
        </w:rPr>
        <w:t>（二）指导统战部、民族与宗教工作，协调检查有关统战、民族、宗教工作重大方针、政策的贯彻落实，联系统一战线各成员；协助有关部门做好少数民族干部的培养和举荐工作；组织开展民族宗教政策的宣传教育，及时发现新情况、新问题，掌握新动态。</w:t>
      </w:r>
    </w:p>
    <w:p w14:paraId="3681E2EE">
      <w:pPr>
        <w:spacing w:line="580" w:lineRule="exact"/>
        <w:ind w:firstLine="640"/>
        <w:jc w:val="both"/>
      </w:pPr>
      <w:r>
        <w:rPr>
          <w:rFonts w:ascii="仿宋_GB2312" w:hAnsi="仿宋_GB2312" w:eastAsia="仿宋_GB2312"/>
          <w:sz w:val="32"/>
        </w:rPr>
        <w:t>（三）负责联系全县民主党派、无党派人士进行政治协商，落实中央和上级党委关于发挥民主党派、无党派人士参政议政和民主监督作用的工作。</w:t>
      </w:r>
    </w:p>
    <w:p w14:paraId="4BBB98FC">
      <w:pPr>
        <w:spacing w:line="640" w:lineRule="exact"/>
        <w:ind w:firstLine="640"/>
        <w:jc w:val="both"/>
        <w:outlineLvl w:val="2"/>
      </w:pPr>
      <w:r>
        <w:rPr>
          <w:rFonts w:ascii="黑体" w:hAnsi="黑体" w:eastAsia="黑体"/>
          <w:sz w:val="32"/>
        </w:rPr>
        <w:t>二、机构设置及人员情况</w:t>
      </w:r>
    </w:p>
    <w:p w14:paraId="4299F443">
      <w:pPr>
        <w:spacing w:line="580" w:lineRule="exact"/>
        <w:ind w:firstLine="640"/>
        <w:jc w:val="both"/>
      </w:pPr>
      <w:r>
        <w:rPr>
          <w:rFonts w:ascii="仿宋_GB2312" w:hAnsi="仿宋_GB2312" w:eastAsia="仿宋_GB2312"/>
          <w:sz w:val="32"/>
        </w:rPr>
        <w:t>中共轮台县委员会统一战线工作部2024年度，实有人数41人，其中：在职人员24人，增加2人；离休人员0人，增加0人；退休人员17人,增加0人。</w:t>
      </w:r>
    </w:p>
    <w:p w14:paraId="298FEB11">
      <w:pPr>
        <w:spacing w:line="580" w:lineRule="exact"/>
        <w:ind w:firstLine="640"/>
        <w:jc w:val="both"/>
      </w:pPr>
      <w:r>
        <w:rPr>
          <w:rFonts w:ascii="仿宋_GB2312" w:hAnsi="仿宋_GB2312" w:eastAsia="仿宋_GB2312"/>
          <w:sz w:val="32"/>
        </w:rPr>
        <w:t>中共轮台县委员会统一战线工作部无下属预算单位，下设4个科室，分别是：统战股、宗教股、民族宗教工作执法队、办公室。</w:t>
      </w:r>
    </w:p>
    <w:p w14:paraId="0CF46FBF"/>
    <w:p w14:paraId="3C22F825">
      <w:pPr>
        <w:spacing w:line="240" w:lineRule="auto"/>
        <w:jc w:val="center"/>
        <w:outlineLvl w:val="1"/>
      </w:pPr>
      <w:r>
        <w:rPr>
          <w:rFonts w:ascii="黑体" w:hAnsi="黑体" w:eastAsia="黑体"/>
          <w:sz w:val="32"/>
        </w:rPr>
        <w:t>第二部分 部门决算情况说明</w:t>
      </w:r>
    </w:p>
    <w:p w14:paraId="46DA5BCF">
      <w:pPr>
        <w:spacing w:line="640" w:lineRule="exact"/>
        <w:ind w:firstLine="640"/>
        <w:jc w:val="both"/>
        <w:outlineLvl w:val="2"/>
      </w:pPr>
      <w:r>
        <w:rPr>
          <w:rFonts w:ascii="黑体" w:hAnsi="黑体" w:eastAsia="黑体"/>
          <w:sz w:val="32"/>
        </w:rPr>
        <w:t>一、收入支出决算总体情况说明</w:t>
      </w:r>
    </w:p>
    <w:p w14:paraId="184E1A15">
      <w:pPr>
        <w:spacing w:line="580" w:lineRule="exact"/>
        <w:ind w:firstLine="640"/>
        <w:jc w:val="both"/>
      </w:pPr>
      <w:r>
        <w:rPr>
          <w:rFonts w:ascii="仿宋_GB2312" w:hAnsi="仿宋_GB2312" w:eastAsia="仿宋_GB2312"/>
          <w:b/>
          <w:sz w:val="32"/>
        </w:rPr>
        <w:t>2024年度收入总计559.67万元，</w:t>
      </w:r>
      <w:r>
        <w:rPr>
          <w:rFonts w:ascii="仿宋_GB2312" w:hAnsi="仿宋_GB2312" w:eastAsia="仿宋_GB2312"/>
          <w:b w:val="0"/>
          <w:sz w:val="32"/>
        </w:rPr>
        <w:t>其中：本年收入合计553.77万元，使用非财政拨款结余（含专用结余）0.00万元，年初结转和结余5.90万元。</w:t>
      </w:r>
    </w:p>
    <w:p w14:paraId="160E2BB6">
      <w:pPr>
        <w:spacing w:line="580" w:lineRule="exact"/>
        <w:ind w:firstLine="640"/>
        <w:jc w:val="both"/>
      </w:pPr>
      <w:r>
        <w:rPr>
          <w:rFonts w:ascii="仿宋_GB2312" w:hAnsi="仿宋_GB2312" w:eastAsia="仿宋_GB2312"/>
          <w:b/>
          <w:sz w:val="32"/>
        </w:rPr>
        <w:t>2024年度支出总计559.67万元，</w:t>
      </w:r>
      <w:r>
        <w:rPr>
          <w:rFonts w:ascii="仿宋_GB2312" w:hAnsi="仿宋_GB2312" w:eastAsia="仿宋_GB2312"/>
          <w:b w:val="0"/>
          <w:sz w:val="32"/>
        </w:rPr>
        <w:t>其中：本年支出合计553.76万元，结余分配0.00万元，年末结转和结余5.90万元。</w:t>
      </w:r>
    </w:p>
    <w:p w14:paraId="7A0AFA7A">
      <w:pPr>
        <w:spacing w:line="580" w:lineRule="exact"/>
        <w:ind w:firstLine="640"/>
        <w:jc w:val="both"/>
      </w:pPr>
      <w:r>
        <w:rPr>
          <w:rFonts w:ascii="仿宋_GB2312" w:hAnsi="仿宋_GB2312" w:eastAsia="仿宋_GB2312"/>
          <w:b w:val="0"/>
          <w:sz w:val="32"/>
        </w:rPr>
        <w:t>收入支出总体与上年相比，增加52.91万元，增长10.44%，主要原因是：本年在职人员增加，在职人员工资调增、社保、公积金基数调增，人员经费增加。本年增加去世退休人员抚恤金支出，导致经费较上年增加。</w:t>
      </w:r>
    </w:p>
    <w:p w14:paraId="20F32E09">
      <w:pPr>
        <w:spacing w:line="640" w:lineRule="exact"/>
        <w:ind w:firstLine="640"/>
        <w:jc w:val="both"/>
        <w:outlineLvl w:val="2"/>
      </w:pPr>
      <w:r>
        <w:rPr>
          <w:rFonts w:ascii="黑体" w:hAnsi="黑体" w:eastAsia="黑体"/>
          <w:sz w:val="32"/>
        </w:rPr>
        <w:t>二、收入决算情况说明</w:t>
      </w:r>
    </w:p>
    <w:p w14:paraId="5549B6D9">
      <w:pPr>
        <w:spacing w:line="580" w:lineRule="exact"/>
        <w:ind w:firstLine="640"/>
        <w:jc w:val="both"/>
      </w:pPr>
      <w:r>
        <w:rPr>
          <w:rFonts w:ascii="仿宋_GB2312" w:hAnsi="仿宋_GB2312" w:eastAsia="仿宋_GB2312"/>
          <w:b/>
          <w:sz w:val="32"/>
        </w:rPr>
        <w:t>本年收入553.77万元，</w:t>
      </w:r>
      <w:r>
        <w:rPr>
          <w:rFonts w:ascii="仿宋_GB2312" w:hAnsi="仿宋_GB2312" w:eastAsia="仿宋_GB2312"/>
          <w:b w:val="0"/>
          <w:sz w:val="32"/>
        </w:rPr>
        <w:t>其中：财政拨款收入553.74万元，占99.99%；上级补助收入0.00万元，占0.00%；事业收入0.00万元，占0.00%；经营收入0.00万元，占0.00%；附属单位上缴收入0.00万元，占0.00%；其他收入0.03万元，占0.005%。</w:t>
      </w:r>
    </w:p>
    <w:p w14:paraId="668AFA07">
      <w:pPr>
        <w:spacing w:line="640" w:lineRule="exact"/>
        <w:ind w:firstLine="640"/>
        <w:jc w:val="both"/>
        <w:outlineLvl w:val="2"/>
      </w:pPr>
      <w:r>
        <w:rPr>
          <w:rFonts w:ascii="黑体" w:hAnsi="黑体" w:eastAsia="黑体"/>
          <w:sz w:val="32"/>
        </w:rPr>
        <w:t>三、支出决算情况说明</w:t>
      </w:r>
    </w:p>
    <w:p w14:paraId="12C02016">
      <w:pPr>
        <w:spacing w:line="580" w:lineRule="exact"/>
        <w:ind w:firstLine="640"/>
        <w:jc w:val="both"/>
      </w:pPr>
      <w:r>
        <w:rPr>
          <w:rFonts w:ascii="仿宋_GB2312" w:hAnsi="仿宋_GB2312" w:eastAsia="仿宋_GB2312"/>
          <w:b/>
          <w:sz w:val="32"/>
        </w:rPr>
        <w:t>本年支出553.76万元，</w:t>
      </w:r>
      <w:r>
        <w:rPr>
          <w:rFonts w:ascii="仿宋_GB2312" w:hAnsi="仿宋_GB2312" w:eastAsia="仿宋_GB2312"/>
          <w:b w:val="0"/>
          <w:sz w:val="32"/>
        </w:rPr>
        <w:t>其中：基本支出553.76万元，占100.00%；项目支出0.00万元，占0.00%；上缴上级支出0.00万元，占0.00%；经营支出0.00万元，占0.00%；对附属单位补助支出0.00万元，占0.00%。</w:t>
      </w:r>
    </w:p>
    <w:p w14:paraId="1710905F">
      <w:pPr>
        <w:spacing w:line="640" w:lineRule="exact"/>
        <w:ind w:firstLine="640"/>
        <w:jc w:val="both"/>
        <w:outlineLvl w:val="2"/>
      </w:pPr>
      <w:r>
        <w:rPr>
          <w:rFonts w:ascii="黑体" w:hAnsi="黑体" w:eastAsia="黑体"/>
          <w:sz w:val="32"/>
        </w:rPr>
        <w:t>四、财政拨款收入支出决算总体情况说明</w:t>
      </w:r>
    </w:p>
    <w:p w14:paraId="5AD4650D">
      <w:pPr>
        <w:spacing w:line="580" w:lineRule="exact"/>
        <w:ind w:firstLine="640"/>
        <w:jc w:val="both"/>
      </w:pPr>
      <w:r>
        <w:rPr>
          <w:rFonts w:ascii="仿宋_GB2312" w:hAnsi="仿宋_GB2312" w:eastAsia="仿宋_GB2312"/>
          <w:b/>
          <w:sz w:val="32"/>
        </w:rPr>
        <w:t>2024年度财政拨款收入总计553.74万元，</w:t>
      </w:r>
      <w:r>
        <w:rPr>
          <w:rFonts w:ascii="仿宋_GB2312" w:hAnsi="仿宋_GB2312" w:eastAsia="仿宋_GB2312"/>
          <w:b w:val="0"/>
          <w:sz w:val="32"/>
        </w:rPr>
        <w:t>其中：年初财政拨款结转和结余0.00万元，本年财政拨款收入553.74万元。</w:t>
      </w:r>
      <w:r>
        <w:rPr>
          <w:rFonts w:ascii="仿宋_GB2312" w:hAnsi="仿宋_GB2312" w:eastAsia="仿宋_GB2312"/>
          <w:b/>
          <w:sz w:val="32"/>
        </w:rPr>
        <w:t>财政拨款支出总计553.74万元，</w:t>
      </w:r>
      <w:r>
        <w:rPr>
          <w:rFonts w:ascii="仿宋_GB2312" w:hAnsi="仿宋_GB2312" w:eastAsia="仿宋_GB2312"/>
          <w:b w:val="0"/>
          <w:sz w:val="32"/>
        </w:rPr>
        <w:t>其中：年末财政拨款结转和结余0.00万元，本年财政拨款支出553.74万元。</w:t>
      </w:r>
    </w:p>
    <w:p w14:paraId="224A0EE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增加52.89万元，增长10.56%，主要原因是：本年在职人员增加，在职人员工资调增、社保、公积金基数调增，人员经费增加。本年增加去世退休人员抚恤金支出，导致经费较上年增加。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年初预算数463.10万元，决算数553.74万元，预决算差异率19.57%，主要原因是：本年在职人员增加，年中追加人员经费及人员工资、社保、公积金基数调增部分资金，导致预决算存在差异。</w:t>
      </w:r>
    </w:p>
    <w:p w14:paraId="0E1ACA35">
      <w:pPr>
        <w:spacing w:line="640" w:lineRule="exact"/>
        <w:ind w:firstLine="640"/>
        <w:jc w:val="both"/>
        <w:outlineLvl w:val="2"/>
      </w:pPr>
      <w:r>
        <w:rPr>
          <w:rFonts w:ascii="黑体" w:hAnsi="黑体" w:eastAsia="黑体"/>
          <w:sz w:val="32"/>
        </w:rPr>
        <w:t>五、一般公共预算财政拨款支出决算情况说明</w:t>
      </w:r>
    </w:p>
    <w:p w14:paraId="212BC990">
      <w:pPr>
        <w:spacing w:line="640" w:lineRule="exact"/>
        <w:ind w:firstLine="640"/>
        <w:jc w:val="both"/>
        <w:outlineLvl w:val="3"/>
      </w:pPr>
      <w:r>
        <w:rPr>
          <w:rFonts w:ascii="楷体_GB2312" w:hAnsi="楷体_GB2312" w:eastAsia="楷体_GB2312"/>
          <w:b/>
          <w:sz w:val="32"/>
        </w:rPr>
        <w:t>（一）一般公共预算财政拨款支出决算总体情况</w:t>
      </w:r>
    </w:p>
    <w:p w14:paraId="42F3E088">
      <w:pPr>
        <w:spacing w:line="580" w:lineRule="exact"/>
        <w:ind w:firstLine="640"/>
        <w:jc w:val="both"/>
      </w:pPr>
      <w:r>
        <w:rPr>
          <w:rFonts w:ascii="仿宋_GB2312" w:hAnsi="仿宋_GB2312" w:eastAsia="仿宋_GB2312"/>
          <w:b/>
          <w:sz w:val="32"/>
        </w:rPr>
        <w:t>2024年度一般公共预算财政拨款支出553.74万元，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增加52.89万元，增长10.56%，主要原因是：本年在职人员增加，在职人员工资调增、社保、公积金基数调增，人员经费增加。本年增加去世退休人员抚恤金支出，导致经费较上年增加。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年初预算数463.10万元，决算数553.74万元，预决算差异率19.57%，主要原因是：本年在职人员增加，年中追加人员经费及人员工资、社保、公积金基数调增部分资金，导致预决算存在差异。</w:t>
      </w:r>
    </w:p>
    <w:p w14:paraId="4D5DFD5B">
      <w:pPr>
        <w:spacing w:line="640" w:lineRule="exact"/>
        <w:ind w:firstLine="640"/>
        <w:jc w:val="both"/>
        <w:outlineLvl w:val="3"/>
      </w:pPr>
      <w:r>
        <w:rPr>
          <w:rFonts w:ascii="楷体_GB2312" w:hAnsi="楷体_GB2312" w:eastAsia="楷体_GB2312"/>
          <w:b/>
          <w:sz w:val="32"/>
        </w:rPr>
        <w:t>（二）一般公共预算财政拨款支出决算结构情况</w:t>
      </w:r>
    </w:p>
    <w:p w14:paraId="3BE185BC">
      <w:pPr>
        <w:spacing w:line="580" w:lineRule="exact"/>
        <w:ind w:firstLine="640"/>
        <w:jc w:val="both"/>
      </w:pPr>
      <w:r>
        <w:rPr>
          <w:rFonts w:ascii="仿宋_GB2312" w:hAnsi="仿宋_GB2312" w:eastAsia="仿宋_GB2312"/>
          <w:b w:val="0"/>
          <w:sz w:val="32"/>
        </w:rPr>
        <w:t>1.一般公共服务支出(类)379.36万元,占68.51%。</w:t>
      </w:r>
    </w:p>
    <w:p w14:paraId="5E2F769B">
      <w:pPr>
        <w:spacing w:line="580" w:lineRule="exact"/>
        <w:ind w:firstLine="640"/>
        <w:jc w:val="both"/>
      </w:pPr>
      <w:r>
        <w:rPr>
          <w:rFonts w:ascii="仿宋_GB2312" w:hAnsi="仿宋_GB2312" w:eastAsia="仿宋_GB2312"/>
          <w:b w:val="0"/>
          <w:sz w:val="32"/>
        </w:rPr>
        <w:t>2.社会保障和就业支出(类)117.12万元,占21.15%。</w:t>
      </w:r>
    </w:p>
    <w:p w14:paraId="5473A783">
      <w:pPr>
        <w:spacing w:line="580" w:lineRule="exact"/>
        <w:ind w:firstLine="640"/>
        <w:jc w:val="both"/>
      </w:pPr>
      <w:r>
        <w:rPr>
          <w:rFonts w:ascii="仿宋_GB2312" w:hAnsi="仿宋_GB2312" w:eastAsia="仿宋_GB2312"/>
          <w:b w:val="0"/>
          <w:sz w:val="32"/>
        </w:rPr>
        <w:t>3.卫生健康支出(类)26.09万元,占4.71%。</w:t>
      </w:r>
    </w:p>
    <w:p w14:paraId="1CEF21DD">
      <w:pPr>
        <w:spacing w:line="580" w:lineRule="exact"/>
        <w:ind w:firstLine="640"/>
        <w:jc w:val="both"/>
      </w:pPr>
      <w:r>
        <w:rPr>
          <w:rFonts w:ascii="仿宋_GB2312" w:hAnsi="仿宋_GB2312" w:eastAsia="仿宋_GB2312"/>
          <w:b w:val="0"/>
          <w:sz w:val="32"/>
        </w:rPr>
        <w:t>4.住房保障支出(类)31.17万元,占5.63%。</w:t>
      </w:r>
    </w:p>
    <w:p w14:paraId="59198C0D">
      <w:pPr>
        <w:spacing w:line="640" w:lineRule="exact"/>
        <w:ind w:firstLine="640"/>
        <w:jc w:val="both"/>
        <w:outlineLvl w:val="3"/>
      </w:pPr>
      <w:r>
        <w:rPr>
          <w:rFonts w:ascii="楷体_GB2312" w:hAnsi="楷体_GB2312" w:eastAsia="楷体_GB2312"/>
          <w:b/>
          <w:sz w:val="32"/>
        </w:rPr>
        <w:t>（三）一般公共预算财政拨款支出决算具体情况</w:t>
      </w:r>
    </w:p>
    <w:p w14:paraId="27C1DE06">
      <w:pPr>
        <w:spacing w:line="580" w:lineRule="exact"/>
        <w:ind w:firstLine="640"/>
        <w:jc w:val="both"/>
      </w:pPr>
      <w:r>
        <w:rPr>
          <w:rFonts w:ascii="仿宋_GB2312" w:hAnsi="仿宋_GB2312" w:eastAsia="仿宋_GB2312"/>
          <w:b w:val="0"/>
          <w:sz w:val="32"/>
        </w:rPr>
        <w:t>1.一般公共服务支出(类)统战事务(款)行政运行(项):支出决算数为218.06万元，比上年决算减少22.92万元，下降9.51%,主要原因是：本年减少取暖费经费支出，导致经费较上年减少。</w:t>
      </w:r>
    </w:p>
    <w:p w14:paraId="79B23C9C">
      <w:pPr>
        <w:spacing w:line="580" w:lineRule="exact"/>
        <w:ind w:firstLine="640"/>
        <w:jc w:val="both"/>
      </w:pPr>
      <w:r>
        <w:rPr>
          <w:rFonts w:ascii="仿宋_GB2312" w:hAnsi="仿宋_GB2312" w:eastAsia="仿宋_GB2312"/>
          <w:b w:val="0"/>
          <w:sz w:val="32"/>
        </w:rPr>
        <w:t>2.一般公共服务支出(类)统战事务(款)宗教事务(项):支出决算数为37.49万元，比上年决算减少22.72万元，下降37.73%,主要原因是：本年减少宗教活动场所修缮费支出。</w:t>
      </w:r>
    </w:p>
    <w:p w14:paraId="299E8441">
      <w:pPr>
        <w:spacing w:line="580" w:lineRule="exact"/>
        <w:ind w:firstLine="640"/>
        <w:jc w:val="both"/>
      </w:pPr>
      <w:r>
        <w:rPr>
          <w:rFonts w:ascii="仿宋_GB2312" w:hAnsi="仿宋_GB2312" w:eastAsia="仿宋_GB2312"/>
          <w:b w:val="0"/>
          <w:sz w:val="32"/>
        </w:rPr>
        <w:t>3.一般公共服务支出(类)统战事务(款)事业运行(项):支出决算数为60.68万元，比上年决算增加21.41万元，增长54.52%,主要原因是：本年新增在职人员，人员经费增加，导致经费较上年有所增加。</w:t>
      </w:r>
    </w:p>
    <w:p w14:paraId="004D236A">
      <w:pPr>
        <w:spacing w:line="580" w:lineRule="exact"/>
        <w:ind w:firstLine="640"/>
        <w:jc w:val="both"/>
      </w:pPr>
      <w:r>
        <w:rPr>
          <w:rFonts w:ascii="仿宋_GB2312" w:hAnsi="仿宋_GB2312" w:eastAsia="仿宋_GB2312"/>
          <w:b w:val="0"/>
          <w:sz w:val="32"/>
        </w:rPr>
        <w:t>4.一般公共服务支出(类)统战事务(款)其他统战事务支出(项):支出决算数为63.14万元，比上年决算减少1.02万元，下降1.59%,主要原因是：本年减少工作队机械租赁费支出，导致其他统战事务支出决算减少。</w:t>
      </w:r>
    </w:p>
    <w:p w14:paraId="2B4437AA">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5.社会保障和就业支出(类)行政事业单位养老支出(款)行政单位离退休(项):支出决算数为74.16万元，比上年决算增加65.69万元，增长775.56%,主要原因是：本年增加去世退休人员抚恤金支出，导致经费较上年增加。</w:t>
      </w:r>
    </w:p>
    <w:p w14:paraId="285E10AA">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35.14万元，比上年决算增加2.13万元，增长6.45%,主要原因是：本年在职人员增加，养老保险缴费较上年增加。</w:t>
      </w:r>
    </w:p>
    <w:p w14:paraId="580C94FA">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7.社会保障和就业支出(类)行政事业单位养老支出(款)机关事业单位职业年金缴费支出(项):支出决算数为7.82万元，比上年决算增加1.23万元，增长18.66%,主要原因是：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本年人员调出，本年变动人员职级较高，职业年金缴费较上年增加。</w:t>
      </w:r>
    </w:p>
    <w:p w14:paraId="22A18055">
      <w:pPr>
        <w:spacing w:line="580" w:lineRule="exact"/>
        <w:ind w:firstLine="640"/>
        <w:jc w:val="both"/>
      </w:pPr>
      <w:r>
        <w:rPr>
          <w:rFonts w:ascii="仿宋_GB2312" w:hAnsi="仿宋_GB2312" w:eastAsia="仿宋_GB2312"/>
          <w:b w:val="0"/>
          <w:sz w:val="32"/>
        </w:rPr>
        <w:t>8.卫生健康支出(类)行政事业单位医疗(款)行政单位医疗(项):支出决算数为13.54万元，比上年决算减少0.76万元，下降5.31%,主要原因是：因退休人员医疗保险制度改革，退休人员基本医疗不再由单位缴纳，导致经费较上年减少。</w:t>
      </w:r>
    </w:p>
    <w:p w14:paraId="157FB245">
      <w:pPr>
        <w:spacing w:line="580" w:lineRule="exact"/>
        <w:ind w:firstLine="640"/>
        <w:jc w:val="both"/>
      </w:pPr>
      <w:r>
        <w:rPr>
          <w:rFonts w:ascii="仿宋_GB2312" w:hAnsi="仿宋_GB2312" w:eastAsia="仿宋_GB2312"/>
          <w:b w:val="0"/>
          <w:sz w:val="32"/>
        </w:rPr>
        <w:t>9.卫生健康支出(类)行政事业单位医疗(款)事业单位医疗(项):支出决算数为7.03万元，比上年决算增加5.20万元，增长284.15%,主要原因是：本年在职人员工资基数调增，医疗缴费基数上涨，相应支出增加。</w:t>
      </w:r>
    </w:p>
    <w:p w14:paraId="798A7DC6">
      <w:pPr>
        <w:spacing w:line="580" w:lineRule="exact"/>
        <w:ind w:firstLine="640"/>
        <w:jc w:val="both"/>
      </w:pPr>
      <w:r>
        <w:rPr>
          <w:rFonts w:ascii="仿宋_GB2312" w:hAnsi="仿宋_GB2312" w:eastAsia="仿宋_GB2312"/>
          <w:b w:val="0"/>
          <w:sz w:val="32"/>
        </w:rPr>
        <w:t>10.卫生健康支出(类)行政事业单位医疗(款)公务员医疗补助(项):支出决算数为5.52万元，比上年决算增加0.03万元，增长0.55%,主要原因是：本年在职人员工资基数调增，医疗缴费基数上涨，相应支出增加。</w:t>
      </w:r>
    </w:p>
    <w:p w14:paraId="6ED18075">
      <w:pPr>
        <w:spacing w:line="580" w:lineRule="exact"/>
        <w:ind w:firstLine="640"/>
        <w:jc w:val="both"/>
      </w:pPr>
      <w:r>
        <w:rPr>
          <w:rFonts w:ascii="仿宋_GB2312" w:hAnsi="仿宋_GB2312" w:eastAsia="仿宋_GB2312"/>
          <w:b w:val="0"/>
          <w:sz w:val="32"/>
        </w:rPr>
        <w:t>11.住房保障支出(类)住房改革支出(款)住房公积金(项):支出决算数为31.17万元，比上年决算增加4.62万元，增长17.40%,主要原因是：本年在职人员增加，住房公积金支出较上年增加。</w:t>
      </w:r>
    </w:p>
    <w:p w14:paraId="7B6A2037">
      <w:pPr>
        <w:spacing w:line="640" w:lineRule="exact"/>
        <w:ind w:firstLine="640"/>
        <w:jc w:val="both"/>
        <w:outlineLvl w:val="2"/>
      </w:pPr>
      <w:r>
        <w:rPr>
          <w:rFonts w:ascii="黑体" w:hAnsi="黑体" w:eastAsia="黑体"/>
          <w:sz w:val="32"/>
        </w:rPr>
        <w:t>六、一般公共预算财政拨款基本支出决算情况说明</w:t>
      </w:r>
    </w:p>
    <w:p w14:paraId="2560CE31">
      <w:pPr>
        <w:spacing w:line="580" w:lineRule="exact"/>
        <w:ind w:firstLine="640"/>
        <w:jc w:val="both"/>
      </w:pPr>
      <w:r>
        <w:rPr>
          <w:rFonts w:ascii="仿宋_GB2312" w:hAnsi="仿宋_GB2312" w:eastAsia="仿宋_GB2312"/>
          <w:b w:val="0"/>
          <w:sz w:val="32"/>
        </w:rPr>
        <w:t>2024年度一般公共预算财政拨款基本支出553.74万元，其中：</w:t>
      </w:r>
      <w:r>
        <w:rPr>
          <w:rFonts w:ascii="仿宋_GB2312" w:hAnsi="仿宋_GB2312" w:eastAsia="仿宋_GB2312"/>
          <w:b/>
          <w:sz w:val="32"/>
        </w:rPr>
        <w:t>人员经费492.07万元，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奖励金。</w:t>
      </w:r>
    </w:p>
    <w:p w14:paraId="6E40B077">
      <w:pPr>
        <w:spacing w:line="580" w:lineRule="exact"/>
        <w:ind w:firstLine="640"/>
        <w:jc w:val="both"/>
      </w:pPr>
      <w:r>
        <w:rPr>
          <w:rFonts w:ascii="仿宋_GB2312" w:hAnsi="仿宋_GB2312" w:eastAsia="仿宋_GB2312"/>
          <w:b/>
          <w:sz w:val="32"/>
        </w:rPr>
        <w:t>公用经费61.68万元，</w:t>
      </w:r>
      <w:r>
        <w:rPr>
          <w:rFonts w:ascii="仿宋_GB2312" w:hAnsi="仿宋_GB2312" w:eastAsia="仿宋_GB2312"/>
          <w:b w:val="0"/>
          <w:sz w:val="32"/>
        </w:rPr>
        <w:t>包括：办公费、印刷费、邮电费、差旅费、维修（护）费、会议费、培训费、公务用车运行维护费、其他交通费用、办公设备购置、专用设备购置。</w:t>
      </w:r>
    </w:p>
    <w:p w14:paraId="3473ECCE">
      <w:pPr>
        <w:spacing w:line="640" w:lineRule="exact"/>
        <w:ind w:firstLine="640"/>
        <w:jc w:val="both"/>
        <w:outlineLvl w:val="2"/>
      </w:pPr>
      <w:r>
        <w:rPr>
          <w:rFonts w:ascii="黑体" w:hAnsi="黑体" w:eastAsia="黑体"/>
          <w:sz w:val="32"/>
        </w:rPr>
        <w:t>七、政府性基金预算财政拨款收入支出决算情况说明</w:t>
      </w:r>
    </w:p>
    <w:p w14:paraId="291CE0E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E345098">
      <w:pPr>
        <w:spacing w:line="640" w:lineRule="exact"/>
        <w:ind w:firstLine="640"/>
        <w:jc w:val="both"/>
        <w:outlineLvl w:val="2"/>
      </w:pPr>
      <w:r>
        <w:rPr>
          <w:rFonts w:ascii="黑体" w:hAnsi="黑体" w:eastAsia="黑体"/>
          <w:sz w:val="32"/>
        </w:rPr>
        <w:t>八、国有资本经营预算财政拨款收入支出决算情况说明</w:t>
      </w:r>
    </w:p>
    <w:p w14:paraId="6BBD1A9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7A46E14">
      <w:pPr>
        <w:spacing w:line="640" w:lineRule="exact"/>
        <w:ind w:firstLine="640"/>
        <w:jc w:val="both"/>
        <w:outlineLvl w:val="2"/>
      </w:pPr>
      <w:r>
        <w:rPr>
          <w:rFonts w:ascii="黑体" w:hAnsi="黑体" w:eastAsia="黑体"/>
          <w:sz w:val="32"/>
        </w:rPr>
        <w:t>九、财政拨款“三公”经费支出决算情况说明</w:t>
      </w:r>
    </w:p>
    <w:p w14:paraId="6F6C3EFC">
      <w:pPr>
        <w:spacing w:line="580" w:lineRule="exact"/>
        <w:ind w:firstLine="640"/>
        <w:jc w:val="both"/>
      </w:pPr>
      <w:r>
        <w:rPr>
          <w:rFonts w:ascii="仿宋_GB2312" w:hAnsi="仿宋_GB2312" w:eastAsia="仿宋_GB2312"/>
          <w:b/>
          <w:sz w:val="32"/>
        </w:rPr>
        <w:t>2024年度财政拨款“三公”经费支出2.79万元，</w:t>
      </w:r>
      <w:r>
        <w:rPr>
          <w:rFonts w:ascii="仿宋_GB2312" w:hAnsi="仿宋_GB2312" w:eastAsia="仿宋_GB2312"/>
          <w:b w:val="0"/>
          <w:sz w:val="32"/>
        </w:rPr>
        <w:t>比上年减少0.52万元，下降15.71%，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2.79万元，占100.00%，比上年减少0.52万元，下降15.71%，主要原因是：严格落实中央八项规定精神，厉行节约，减少公务用车运行维护费。公务接待费支出0.00万元，占0.00%，比上年增加0.00万元，增长0.00%，主要原因是：2023年与2024年均未安排公务接待费支出。</w:t>
      </w:r>
    </w:p>
    <w:p w14:paraId="782B79DC">
      <w:pPr>
        <w:spacing w:line="580" w:lineRule="exact"/>
        <w:ind w:firstLine="640"/>
        <w:jc w:val="both"/>
      </w:pPr>
      <w:r>
        <w:rPr>
          <w:rFonts w:ascii="仿宋_GB2312" w:hAnsi="仿宋_GB2312" w:eastAsia="仿宋_GB2312"/>
          <w:b/>
          <w:sz w:val="32"/>
        </w:rPr>
        <w:t>具体情况如下：</w:t>
      </w:r>
    </w:p>
    <w:p w14:paraId="38507BB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96B2775">
      <w:pPr>
        <w:spacing w:line="580" w:lineRule="exact"/>
        <w:ind w:firstLine="640"/>
        <w:jc w:val="both"/>
      </w:pPr>
      <w:r>
        <w:rPr>
          <w:rFonts w:ascii="仿宋_GB2312" w:hAnsi="仿宋_GB2312" w:eastAsia="仿宋_GB2312"/>
          <w:b w:val="0"/>
          <w:sz w:val="32"/>
        </w:rPr>
        <w:t>公务用车购置及运行维护费2.79万元，其中：公务用车购置费0.00万元，公务用车运行维护费2.79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672B793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39FA43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2.79万元，决算数2.79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2.79万元，决算数2.79万元，预决算差异率0.00%，主要原因是：严格按照预算执行，预决算无差异。公务接待费全年预算数0.00万元，决算数0.00万元，预决算差异率0.00%，主要原因是：本单位无公务接待费。</w:t>
      </w:r>
    </w:p>
    <w:p w14:paraId="383BF26C">
      <w:pPr>
        <w:spacing w:line="640" w:lineRule="exact"/>
        <w:ind w:firstLine="640"/>
        <w:jc w:val="both"/>
        <w:outlineLvl w:val="2"/>
      </w:pPr>
      <w:r>
        <w:rPr>
          <w:rFonts w:ascii="黑体" w:hAnsi="黑体" w:eastAsia="黑体"/>
          <w:sz w:val="32"/>
        </w:rPr>
        <w:t>十、其他重要事项的情况说明</w:t>
      </w:r>
    </w:p>
    <w:p w14:paraId="6E118C6E">
      <w:pPr>
        <w:spacing w:line="640" w:lineRule="exact"/>
        <w:ind w:firstLine="640"/>
        <w:jc w:val="both"/>
        <w:outlineLvl w:val="3"/>
      </w:pPr>
      <w:r>
        <w:rPr>
          <w:rFonts w:ascii="楷体_GB2312" w:hAnsi="楷体_GB2312" w:eastAsia="楷体_GB2312"/>
          <w:b/>
          <w:sz w:val="32"/>
        </w:rPr>
        <w:t>（一）机关运行经费及公用经费支出情况</w:t>
      </w:r>
    </w:p>
    <w:p w14:paraId="46B2F04B">
      <w:pPr>
        <w:spacing w:line="580" w:lineRule="exact"/>
        <w:ind w:firstLine="640"/>
        <w:jc w:val="both"/>
      </w:pPr>
      <w:r>
        <w:rPr>
          <w:rFonts w:ascii="仿宋_GB2312" w:hAnsi="仿宋_GB2312" w:eastAsia="仿宋_GB2312"/>
          <w:b w:val="0"/>
          <w:sz w:val="32"/>
        </w:rPr>
        <w:t>2024年度中共轮台县委员会统一战线工作部（行政单位和参照公务员法管理事业单位）机关运行经费支出61.68万元，比上年减少29.39万元，下降32.27%，主要原因是：本年减少宗教活动场所修缮经费，导致机关运行经费减少。</w:t>
      </w:r>
    </w:p>
    <w:p w14:paraId="60D8573D">
      <w:pPr>
        <w:spacing w:line="640" w:lineRule="exact"/>
        <w:ind w:firstLine="640"/>
        <w:jc w:val="both"/>
        <w:outlineLvl w:val="3"/>
      </w:pPr>
      <w:r>
        <w:rPr>
          <w:rFonts w:ascii="楷体_GB2312" w:hAnsi="楷体_GB2312" w:eastAsia="楷体_GB2312"/>
          <w:b/>
          <w:sz w:val="32"/>
        </w:rPr>
        <w:t>（二）政府采购情况</w:t>
      </w:r>
    </w:p>
    <w:p w14:paraId="218D2AF1">
      <w:pPr>
        <w:spacing w:line="580" w:lineRule="exact"/>
        <w:ind w:firstLine="640"/>
        <w:jc w:val="both"/>
      </w:pPr>
      <w:r>
        <w:rPr>
          <w:rFonts w:ascii="仿宋_GB2312" w:hAnsi="仿宋_GB2312" w:eastAsia="仿宋_GB2312"/>
          <w:b w:val="0"/>
          <w:sz w:val="32"/>
        </w:rPr>
        <w:t>2024年度政府采购支出总额52.53万元，其中：政府采购货物支出7.05万元、政府采购工程支出0.00万元、政府采购服务支出45.48万元。</w:t>
      </w:r>
    </w:p>
    <w:p w14:paraId="406C5B28">
      <w:pPr>
        <w:spacing w:line="580" w:lineRule="exact"/>
        <w:ind w:firstLine="640"/>
        <w:jc w:val="both"/>
      </w:pPr>
      <w:r>
        <w:rPr>
          <w:rFonts w:ascii="仿宋_GB2312" w:hAnsi="仿宋_GB2312" w:eastAsia="仿宋_GB2312"/>
          <w:b w:val="0"/>
          <w:sz w:val="32"/>
        </w:rPr>
        <w:t>授予中小企业合同金额49.29万元，占政府采购支出总额的93.83%，其中：授予小微企业合同金额49.29万元，占政府采购支出总额的93.83%。</w:t>
      </w:r>
    </w:p>
    <w:p w14:paraId="5560FA55">
      <w:pPr>
        <w:spacing w:line="640" w:lineRule="exact"/>
        <w:ind w:firstLine="640"/>
        <w:jc w:val="both"/>
        <w:outlineLvl w:val="3"/>
      </w:pPr>
      <w:r>
        <w:rPr>
          <w:rFonts w:ascii="楷体_GB2312" w:hAnsi="楷体_GB2312" w:eastAsia="楷体_GB2312"/>
          <w:b/>
          <w:sz w:val="32"/>
        </w:rPr>
        <w:t>（三）国有资产占用情况说明</w:t>
      </w:r>
    </w:p>
    <w:p w14:paraId="65EE0213">
      <w:pPr>
        <w:spacing w:line="580" w:lineRule="exact"/>
        <w:ind w:firstLine="640"/>
        <w:jc w:val="both"/>
      </w:pPr>
      <w:r>
        <w:rPr>
          <w:rFonts w:ascii="仿宋_GB2312" w:hAnsi="仿宋_GB2312" w:eastAsia="仿宋_GB2312"/>
          <w:b w:val="0"/>
          <w:sz w:val="32"/>
        </w:rPr>
        <w:t>截至2024年12月31日，房屋0.00平方米，价值0.00万元。车辆3辆，价值44.48万元，其中：副部（省）级及以上领导用车0辆、主要负责人用车0辆、机要通信用车0辆、应急保障用车0辆、执法执勤用车0辆、特种专业技术用车0辆、离退休干部服务用车0辆、其他用车3辆，其他用车主要是：用于日常公务出行，基层调研走访等工作开展的普通公务用车。单价100万元（含）以上设备（不含车辆）0台（套）。</w:t>
      </w:r>
    </w:p>
    <w:p w14:paraId="03DB34EA">
      <w:pPr>
        <w:spacing w:line="640" w:lineRule="exact"/>
        <w:ind w:firstLine="640"/>
        <w:jc w:val="both"/>
        <w:outlineLvl w:val="2"/>
      </w:pPr>
      <w:r>
        <w:rPr>
          <w:rFonts w:ascii="黑体" w:hAnsi="黑体" w:eastAsia="黑体"/>
          <w:sz w:val="32"/>
        </w:rPr>
        <w:t>十一、预算绩效的情况说明</w:t>
      </w:r>
    </w:p>
    <w:p w14:paraId="6056C32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559.67万元，实际执行总额553.76万元；预算绩效评价项目0个，全年预算数0.00万元，全年执行数0.00万元。预算绩效管理取得的成效：本单位无项目绩效自评表。发现的问题及原因：本单位无项目绩效自评表。下一步改进措施：本单位无项目绩效自评表。具体附整体支出绩效自评表。</w:t>
      </w:r>
    </w:p>
    <w:p w14:paraId="3C159F9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8814A9D">
        <w:tblPrEx>
          <w:tblCellMar>
            <w:top w:w="0" w:type="dxa"/>
            <w:left w:w="108" w:type="dxa"/>
            <w:bottom w:w="0" w:type="dxa"/>
            <w:right w:w="108" w:type="dxa"/>
          </w:tblCellMar>
        </w:tblPrEx>
        <w:tc>
          <w:tcPr>
            <w:tcW w:w="8840" w:type="dxa"/>
            <w:gridSpan w:val="8"/>
            <w:vAlign w:val="center"/>
          </w:tcPr>
          <w:p w14:paraId="54654E29">
            <w:pPr>
              <w:jc w:val="center"/>
            </w:pPr>
            <w:r>
              <w:rPr>
                <w:rFonts w:ascii="宋体" w:hAnsi="宋体" w:eastAsia="宋体"/>
                <w:sz w:val="24"/>
              </w:rPr>
              <w:t>单位整体支出绩效自评表</w:t>
            </w:r>
          </w:p>
        </w:tc>
      </w:tr>
      <w:tr w14:paraId="10B9CAEB">
        <w:tblPrEx>
          <w:tblCellMar>
            <w:top w:w="0" w:type="dxa"/>
            <w:left w:w="108" w:type="dxa"/>
            <w:bottom w:w="0" w:type="dxa"/>
            <w:right w:w="108" w:type="dxa"/>
          </w:tblCellMar>
        </w:tblPrEx>
        <w:tc>
          <w:tcPr>
            <w:tcW w:w="8840" w:type="dxa"/>
            <w:gridSpan w:val="8"/>
            <w:vAlign w:val="center"/>
          </w:tcPr>
          <w:p w14:paraId="3601EE4E">
            <w:pPr>
              <w:jc w:val="center"/>
            </w:pPr>
            <w:r>
              <w:rPr>
                <w:rFonts w:ascii="宋体" w:hAnsi="宋体" w:eastAsia="宋体"/>
                <w:sz w:val="24"/>
              </w:rPr>
              <w:t>（2024年度）</w:t>
            </w:r>
          </w:p>
        </w:tc>
      </w:tr>
      <w:tr w14:paraId="553A80B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E3452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04B0CD">
            <w:pPr>
              <w:jc w:val="center"/>
            </w:pPr>
            <w:r>
              <w:rPr>
                <w:rFonts w:ascii="宋体" w:hAnsi="宋体" w:eastAsia="宋体"/>
                <w:sz w:val="16"/>
              </w:rPr>
              <w:t>中共轮台县委员会统一战线工作部</w:t>
            </w:r>
          </w:p>
        </w:tc>
      </w:tr>
      <w:tr w14:paraId="3D80AF0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DBE4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B4489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E6D8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F9B45">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80CE5">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2F18F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4B8C5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0633EB">
            <w:pPr>
              <w:jc w:val="center"/>
            </w:pPr>
            <w:r>
              <w:rPr>
                <w:rFonts w:ascii="宋体" w:hAnsi="宋体" w:eastAsia="宋体"/>
                <w:sz w:val="16"/>
              </w:rPr>
              <w:t>得分</w:t>
            </w:r>
          </w:p>
        </w:tc>
      </w:tr>
      <w:tr w14:paraId="2A78A7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5EF54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E6599">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E89FA">
            <w:pPr>
              <w:jc w:val="center"/>
            </w:pPr>
            <w:r>
              <w:rPr>
                <w:rFonts w:ascii="宋体" w:hAnsi="宋体" w:eastAsia="宋体"/>
                <w:sz w:val="16"/>
              </w:rPr>
              <w:t>463.10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671A7B">
            <w:pPr>
              <w:jc w:val="center"/>
            </w:pPr>
            <w:r>
              <w:rPr>
                <w:rFonts w:ascii="宋体" w:hAnsi="宋体" w:eastAsia="宋体"/>
                <w:sz w:val="16"/>
              </w:rPr>
              <w:t>559.67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42A08A">
            <w:pPr>
              <w:jc w:val="center"/>
            </w:pPr>
            <w:r>
              <w:rPr>
                <w:rFonts w:ascii="宋体" w:hAnsi="宋体" w:eastAsia="宋体"/>
                <w:sz w:val="16"/>
              </w:rPr>
              <w:t>553.76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AE6A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641157">
            <w:pPr>
              <w:jc w:val="center"/>
              <w:rPr>
                <w:rFonts w:hint="eastAsia" w:eastAsia="宋体"/>
                <w:lang w:val="en-US" w:eastAsia="zh-CN"/>
              </w:rPr>
            </w:pPr>
            <w:r>
              <w:rPr>
                <w:rFonts w:ascii="宋体" w:hAnsi="宋体" w:eastAsia="宋体"/>
                <w:sz w:val="16"/>
              </w:rPr>
              <w:t>98.94</w:t>
            </w:r>
            <w:r>
              <w:rPr>
                <w:rFonts w:hint="eastAsia" w:ascii="宋体" w:hAnsi="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476BFC">
            <w:pPr>
              <w:jc w:val="center"/>
            </w:pPr>
            <w:r>
              <w:rPr>
                <w:rFonts w:ascii="宋体" w:hAnsi="宋体" w:eastAsia="宋体"/>
                <w:sz w:val="16"/>
              </w:rPr>
              <w:t>9.89</w:t>
            </w:r>
          </w:p>
        </w:tc>
      </w:tr>
      <w:tr w14:paraId="7595EE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16000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D031F">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77C28">
            <w:pPr>
              <w:jc w:val="center"/>
            </w:pPr>
            <w:r>
              <w:rPr>
                <w:rFonts w:ascii="宋体" w:hAnsi="宋体" w:eastAsia="宋体"/>
                <w:sz w:val="16"/>
              </w:rPr>
              <w:t>33.99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81527">
            <w:pPr>
              <w:jc w:val="center"/>
            </w:pPr>
            <w:r>
              <w:rPr>
                <w:rFonts w:ascii="宋体" w:hAnsi="宋体" w:eastAsia="宋体"/>
                <w:sz w:val="16"/>
              </w:rPr>
              <w:t>104.00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CD8BE">
            <w:pPr>
              <w:jc w:val="center"/>
            </w:pPr>
            <w:r>
              <w:rPr>
                <w:rFonts w:ascii="宋体" w:hAnsi="宋体" w:eastAsia="宋体"/>
                <w:sz w:val="16"/>
              </w:rPr>
              <w:t>104.00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F577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6017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DEA31">
            <w:pPr>
              <w:jc w:val="center"/>
            </w:pPr>
            <w:r>
              <w:rPr>
                <w:rFonts w:ascii="宋体" w:hAnsi="宋体" w:eastAsia="宋体"/>
                <w:sz w:val="16"/>
              </w:rPr>
              <w:t>—</w:t>
            </w:r>
          </w:p>
        </w:tc>
      </w:tr>
      <w:tr w14:paraId="2A4D18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6E799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D4E62">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E3DFC7">
            <w:pPr>
              <w:jc w:val="center"/>
            </w:pPr>
            <w:r>
              <w:rPr>
                <w:rFonts w:ascii="宋体" w:hAnsi="宋体" w:eastAsia="宋体"/>
                <w:sz w:val="16"/>
              </w:rPr>
              <w:t>429.11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0E9F76">
            <w:pPr>
              <w:jc w:val="center"/>
            </w:pPr>
            <w:r>
              <w:rPr>
                <w:rFonts w:ascii="宋体" w:hAnsi="宋体" w:eastAsia="宋体"/>
                <w:sz w:val="16"/>
              </w:rPr>
              <w:t>449.75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5811D">
            <w:pPr>
              <w:jc w:val="center"/>
            </w:pPr>
            <w:r>
              <w:rPr>
                <w:rFonts w:ascii="宋体" w:hAnsi="宋体" w:eastAsia="宋体"/>
                <w:sz w:val="16"/>
              </w:rPr>
              <w:t>449.75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419B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73D67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2C1135">
            <w:pPr>
              <w:jc w:val="center"/>
            </w:pPr>
            <w:r>
              <w:rPr>
                <w:rFonts w:ascii="宋体" w:hAnsi="宋体" w:eastAsia="宋体"/>
                <w:sz w:val="16"/>
              </w:rPr>
              <w:t>—</w:t>
            </w:r>
          </w:p>
        </w:tc>
      </w:tr>
      <w:tr w14:paraId="1E3712C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15D34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18F76E">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CB07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28723">
            <w:pPr>
              <w:jc w:val="center"/>
            </w:pPr>
            <w:r>
              <w:rPr>
                <w:rFonts w:ascii="宋体" w:hAnsi="宋体" w:eastAsia="宋体"/>
                <w:sz w:val="16"/>
              </w:rPr>
              <w:t>5.92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451A1">
            <w:pPr>
              <w:jc w:val="center"/>
            </w:pPr>
            <w:r>
              <w:rPr>
                <w:rFonts w:ascii="宋体" w:hAnsi="宋体" w:eastAsia="宋体"/>
                <w:sz w:val="16"/>
              </w:rPr>
              <w:t>0.01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0B3E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2143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9CA2D">
            <w:pPr>
              <w:jc w:val="center"/>
            </w:pPr>
            <w:r>
              <w:rPr>
                <w:rFonts w:ascii="宋体" w:hAnsi="宋体" w:eastAsia="宋体"/>
                <w:sz w:val="16"/>
              </w:rPr>
              <w:t>—</w:t>
            </w:r>
          </w:p>
        </w:tc>
      </w:tr>
      <w:tr w14:paraId="200A6D2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0F7A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2CB6D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E46302">
            <w:pPr>
              <w:jc w:val="center"/>
            </w:pPr>
            <w:r>
              <w:rPr>
                <w:rFonts w:ascii="宋体" w:hAnsi="宋体" w:eastAsia="宋体"/>
                <w:sz w:val="16"/>
              </w:rPr>
              <w:t>实际完成情况</w:t>
            </w:r>
          </w:p>
        </w:tc>
      </w:tr>
      <w:tr w14:paraId="4548377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BB427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F35E2F">
            <w:pPr>
              <w:jc w:val="both"/>
            </w:pPr>
            <w:r>
              <w:rPr>
                <w:rFonts w:ascii="宋体" w:hAnsi="宋体" w:eastAsia="宋体"/>
                <w:sz w:val="16"/>
              </w:rPr>
              <w:t>贯彻执行中央、自治区、自治州、县关于统一战线和民族宗教方面的方针政策；做好本县统一战线和民族宗教工作情况的调研，向上级统战、民宗部门和县委、县人民政府反映情况，研究拟定县统战、民族宗教工作的意见、措施、并组织实施。</w:t>
            </w:r>
            <w:r>
              <w:rPr>
                <w:rFonts w:ascii="宋体" w:hAnsi="宋体" w:eastAsia="宋体"/>
                <w:sz w:val="16"/>
              </w:rPr>
              <w:br w:type="textWrapping"/>
            </w:r>
            <w:r>
              <w:rPr>
                <w:rFonts w:ascii="宋体" w:hAnsi="宋体" w:eastAsia="宋体"/>
                <w:sz w:val="16"/>
              </w:rPr>
              <w:t>1：做好本县统一战线和民族宗教工作情况的调研，研究拟定县统战、民族宗教工作的意见、措施、并组织实施，组织开展民族团结一家亲和民族团结联谊活动不少于6次；</w:t>
            </w:r>
            <w:r>
              <w:rPr>
                <w:rFonts w:ascii="宋体" w:hAnsi="宋体" w:eastAsia="宋体"/>
                <w:sz w:val="16"/>
              </w:rPr>
              <w:br w:type="textWrapping"/>
            </w:r>
            <w:r>
              <w:rPr>
                <w:rFonts w:ascii="宋体" w:hAnsi="宋体" w:eastAsia="宋体"/>
                <w:sz w:val="16"/>
              </w:rPr>
              <w:t>2：组织开展民族宗教政策的宣传教育8次，及时发现新情况、新问题、掌握新动态，提升宗教人士素质。</w:t>
            </w:r>
            <w:r>
              <w:rPr>
                <w:rFonts w:ascii="宋体" w:hAnsi="宋体" w:eastAsia="宋体"/>
                <w:sz w:val="16"/>
              </w:rPr>
              <w:br w:type="textWrapping"/>
            </w:r>
            <w:r>
              <w:rPr>
                <w:rFonts w:ascii="宋体" w:hAnsi="宋体" w:eastAsia="宋体"/>
                <w:sz w:val="16"/>
              </w:rPr>
              <w:t>3：组织14名宗教人士开展国语培训5次，提升宗教人士国语水平，达到年底之前考上普通话考试的效率。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B04DC5">
            <w:pPr>
              <w:jc w:val="both"/>
            </w:pPr>
            <w:r>
              <w:rPr>
                <w:rFonts w:ascii="宋体" w:hAnsi="宋体" w:eastAsia="宋体"/>
                <w:sz w:val="16"/>
              </w:rPr>
              <w:t>1；围绕“民族团结一家亲和民族团结联谊活动”要求，结合本单位实际开展了6次民族团结文艺汇演、结对认亲座谈会、共庆传统节日等活动，有效增进了</w:t>
            </w:r>
            <w:r>
              <w:rPr>
                <w:rFonts w:hint="eastAsia" w:ascii="宋体" w:hAnsi="宋体"/>
                <w:sz w:val="16"/>
                <w:lang w:eastAsia="zh-CN"/>
              </w:rPr>
              <w:t>各族群众</w:t>
            </w:r>
            <w:r>
              <w:rPr>
                <w:rFonts w:ascii="宋体" w:hAnsi="宋体" w:eastAsia="宋体"/>
                <w:sz w:val="16"/>
              </w:rPr>
              <w:t>的交往交流交融。</w:t>
            </w:r>
            <w:r>
              <w:rPr>
                <w:rFonts w:ascii="宋体" w:hAnsi="宋体" w:eastAsia="宋体"/>
                <w:sz w:val="16"/>
              </w:rPr>
              <w:br w:type="textWrapping"/>
            </w:r>
            <w:r>
              <w:rPr>
                <w:rFonts w:ascii="宋体" w:hAnsi="宋体" w:eastAsia="宋体"/>
                <w:sz w:val="16"/>
              </w:rPr>
              <w:t>2；以民族宗教政策法规为重点，通过专题讲座、入户宣讲等多种形式，已完成组织开展民族宗教政策宣传教育8次，进一步提升了各族群众对民族宗教政策的知晓率和认同感。</w:t>
            </w:r>
            <w:r>
              <w:rPr>
                <w:rFonts w:ascii="宋体" w:hAnsi="宋体" w:eastAsia="宋体"/>
                <w:sz w:val="16"/>
              </w:rPr>
              <w:br w:type="textWrapping"/>
            </w:r>
            <w:r>
              <w:rPr>
                <w:rFonts w:ascii="宋体" w:hAnsi="宋体" w:eastAsia="宋体"/>
                <w:sz w:val="16"/>
              </w:rPr>
              <w:t>3.已完成针对14名宗教人士开展国语强化培训，制定专项培训计划，共组织集中培训5次，邀请专业教师围绕普通话发音、日常交流、政策文件解读等内容进行授课，14名宗教人士均参加普通话水平测试，整体国语应用能力得到显著提升。</w:t>
            </w:r>
          </w:p>
        </w:tc>
      </w:tr>
      <w:tr w14:paraId="38860B1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2582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97090">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4EF91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26CF1">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5FE9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3CB66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F1D33">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53906">
            <w:pPr>
              <w:jc w:val="center"/>
            </w:pPr>
            <w:r>
              <w:rPr>
                <w:rFonts w:ascii="宋体" w:hAnsi="宋体" w:eastAsia="宋体"/>
                <w:sz w:val="16"/>
              </w:rPr>
              <w:t>得分</w:t>
            </w:r>
          </w:p>
        </w:tc>
      </w:tr>
      <w:tr w14:paraId="7DB4AB2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0728E">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C34A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E19A03">
            <w:pPr>
              <w:jc w:val="center"/>
            </w:pPr>
            <w:r>
              <w:rPr>
                <w:rFonts w:ascii="宋体" w:hAnsi="宋体" w:eastAsia="宋体"/>
                <w:sz w:val="16"/>
              </w:rPr>
              <w:t>开展民族团结一家亲和民族团结联谊活动次数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DE62A">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D990CF">
            <w:pPr>
              <w:jc w:val="center"/>
            </w:pPr>
            <w:r>
              <w:rPr>
                <w:rFonts w:ascii="宋体" w:hAnsi="宋体" w:eastAsia="宋体"/>
                <w:sz w:val="16"/>
              </w:rPr>
              <w:t>轮台县统战民族宗教工资计划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4C0D8">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A68BC">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D74B8">
            <w:pPr>
              <w:jc w:val="center"/>
            </w:pPr>
            <w:r>
              <w:rPr>
                <w:rFonts w:ascii="宋体" w:hAnsi="宋体" w:eastAsia="宋体"/>
                <w:sz w:val="16"/>
              </w:rPr>
              <w:t>20</w:t>
            </w:r>
          </w:p>
        </w:tc>
      </w:tr>
      <w:tr w14:paraId="59AC866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4ABE6">
            <w:pPr>
              <w:jc w:val="center"/>
            </w:p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964BE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CA009">
            <w:pPr>
              <w:jc w:val="center"/>
            </w:pPr>
            <w:r>
              <w:rPr>
                <w:rFonts w:ascii="宋体" w:hAnsi="宋体" w:eastAsia="宋体"/>
                <w:sz w:val="16"/>
              </w:rPr>
              <w:t>加强宗教人士国语培训次数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05B34">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6DC662">
            <w:pPr>
              <w:jc w:val="center"/>
            </w:pPr>
            <w:r>
              <w:rPr>
                <w:rFonts w:ascii="宋体" w:hAnsi="宋体" w:eastAsia="宋体"/>
                <w:sz w:val="16"/>
              </w:rPr>
              <w:t>轮台县统战民族宗教工资计划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246EC8">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7A4E9">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213000">
            <w:pPr>
              <w:jc w:val="center"/>
            </w:pPr>
            <w:r>
              <w:rPr>
                <w:rFonts w:ascii="宋体" w:hAnsi="宋体" w:eastAsia="宋体"/>
                <w:sz w:val="16"/>
              </w:rPr>
              <w:t>25</w:t>
            </w:r>
          </w:p>
        </w:tc>
      </w:tr>
      <w:tr w14:paraId="638ECC8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0354E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F0B49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7FFC2">
            <w:pPr>
              <w:jc w:val="center"/>
            </w:pPr>
            <w:r>
              <w:rPr>
                <w:rFonts w:ascii="宋体" w:hAnsi="宋体" w:eastAsia="宋体"/>
                <w:sz w:val="16"/>
              </w:rPr>
              <w:t>加强宗教人士国语培训人数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6275B">
            <w:pPr>
              <w:jc w:val="center"/>
            </w:pPr>
            <w:r>
              <w:rPr>
                <w:rFonts w:ascii="宋体" w:hAnsi="宋体" w:eastAsia="宋体"/>
                <w:sz w:val="16"/>
              </w:rPr>
              <w:t>≥14人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43FE09">
            <w:pPr>
              <w:jc w:val="center"/>
            </w:pPr>
            <w:r>
              <w:rPr>
                <w:rFonts w:ascii="宋体" w:hAnsi="宋体" w:eastAsia="宋体"/>
                <w:sz w:val="16"/>
              </w:rPr>
              <w:t>轮台县统战民族宗教工资计划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9FD59">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EE1F7">
            <w:pPr>
              <w:jc w:val="center"/>
            </w:pPr>
            <w:r>
              <w:rPr>
                <w:rFonts w:ascii="宋体" w:hAnsi="宋体" w:eastAsia="宋体"/>
                <w:sz w:val="16"/>
              </w:rPr>
              <w:t>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F5C036">
            <w:pPr>
              <w:jc w:val="center"/>
            </w:pPr>
            <w:r>
              <w:rPr>
                <w:rFonts w:ascii="宋体" w:hAnsi="宋体" w:eastAsia="宋体"/>
                <w:sz w:val="16"/>
              </w:rPr>
              <w:t>20</w:t>
            </w:r>
          </w:p>
        </w:tc>
      </w:tr>
      <w:tr w14:paraId="3445C8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136D2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C9496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97E44F">
            <w:pPr>
              <w:jc w:val="center"/>
            </w:pPr>
            <w:r>
              <w:rPr>
                <w:rFonts w:ascii="宋体" w:hAnsi="宋体" w:eastAsia="宋体"/>
                <w:sz w:val="16"/>
              </w:rPr>
              <w:t>民族宗教政策宣传教育次数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B6FF6D">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775714">
            <w:pPr>
              <w:jc w:val="center"/>
            </w:pPr>
            <w:r>
              <w:rPr>
                <w:rFonts w:ascii="宋体" w:hAnsi="宋体" w:eastAsia="宋体"/>
                <w:sz w:val="16"/>
              </w:rPr>
              <w:t>轮台县统战民族宗教工资计划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76F19D">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FD1B97">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6AF5B0">
            <w:pPr>
              <w:jc w:val="center"/>
            </w:pPr>
            <w:r>
              <w:rPr>
                <w:rFonts w:ascii="宋体" w:hAnsi="宋体" w:eastAsia="宋体"/>
                <w:sz w:val="16"/>
              </w:rPr>
              <w:t>25</w:t>
            </w:r>
          </w:p>
        </w:tc>
      </w:tr>
    </w:tbl>
    <w:p w14:paraId="0835F2B0">
      <w:r>
        <w:br w:type="page"/>
      </w:r>
    </w:p>
    <w:p w14:paraId="6D468F62">
      <w:pPr>
        <w:spacing w:line="640" w:lineRule="exact"/>
        <w:ind w:firstLine="640"/>
        <w:jc w:val="both"/>
        <w:outlineLvl w:val="2"/>
      </w:pPr>
      <w:r>
        <w:rPr>
          <w:rFonts w:ascii="黑体" w:hAnsi="黑体" w:eastAsia="黑体"/>
          <w:sz w:val="32"/>
        </w:rPr>
        <w:t>十二、其他需说明的事项</w:t>
      </w:r>
    </w:p>
    <w:p w14:paraId="2F89AFEB">
      <w:pPr>
        <w:spacing w:line="580" w:lineRule="exact"/>
        <w:ind w:firstLine="640"/>
        <w:jc w:val="both"/>
      </w:pPr>
      <w:r>
        <w:rPr>
          <w:rFonts w:ascii="仿宋_GB2312" w:hAnsi="仿宋_GB2312" w:eastAsia="仿宋_GB2312"/>
          <w:b w:val="0"/>
          <w:sz w:val="32"/>
        </w:rPr>
        <w:t>本单位无其他需说明的事项。</w:t>
      </w:r>
    </w:p>
    <w:p w14:paraId="5B5F031E">
      <w:r>
        <w:br w:type="page"/>
      </w:r>
    </w:p>
    <w:p w14:paraId="76D8399D">
      <w:pPr>
        <w:spacing w:line="240" w:lineRule="auto"/>
        <w:jc w:val="center"/>
        <w:outlineLvl w:val="1"/>
      </w:pPr>
      <w:r>
        <w:rPr>
          <w:rFonts w:ascii="黑体" w:hAnsi="黑体" w:eastAsia="黑体"/>
          <w:sz w:val="32"/>
        </w:rPr>
        <w:t>第三部分 专业名词解释</w:t>
      </w:r>
    </w:p>
    <w:p w14:paraId="50DE67D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853F73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D61B48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188CAD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5B8DA4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F88B63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094713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E84C81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20CAED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071FA0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A71F22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1F4BFC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0F05D2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4FB6E8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C44A6C8">
      <w:r>
        <w:br w:type="page"/>
      </w:r>
    </w:p>
    <w:p w14:paraId="77C2A1EF">
      <w:pPr>
        <w:spacing w:line="240" w:lineRule="auto"/>
        <w:jc w:val="center"/>
        <w:outlineLvl w:val="1"/>
      </w:pPr>
      <w:r>
        <w:rPr>
          <w:rFonts w:ascii="黑体" w:hAnsi="黑体" w:eastAsia="黑体"/>
          <w:sz w:val="32"/>
        </w:rPr>
        <w:t>第四部分 部门决算报表（见附表）</w:t>
      </w:r>
    </w:p>
    <w:p w14:paraId="7ABCCB97">
      <w:pPr>
        <w:spacing w:line="240" w:lineRule="auto"/>
        <w:ind w:firstLine="640"/>
        <w:jc w:val="both"/>
      </w:pPr>
      <w:r>
        <w:rPr>
          <w:rFonts w:ascii="仿宋_GB2312" w:hAnsi="仿宋_GB2312" w:eastAsia="仿宋_GB2312"/>
          <w:b w:val="0"/>
          <w:sz w:val="32"/>
        </w:rPr>
        <w:t>一、《收入支出决算总表》</w:t>
      </w:r>
    </w:p>
    <w:p w14:paraId="0D02FC7C">
      <w:pPr>
        <w:spacing w:line="240" w:lineRule="auto"/>
        <w:ind w:firstLine="640"/>
        <w:jc w:val="both"/>
      </w:pPr>
      <w:r>
        <w:rPr>
          <w:rFonts w:ascii="仿宋_GB2312" w:hAnsi="仿宋_GB2312" w:eastAsia="仿宋_GB2312"/>
          <w:b w:val="0"/>
          <w:sz w:val="32"/>
        </w:rPr>
        <w:t>二、《收入决算表》</w:t>
      </w:r>
    </w:p>
    <w:p w14:paraId="309DDB95">
      <w:pPr>
        <w:spacing w:line="240" w:lineRule="auto"/>
        <w:ind w:firstLine="640"/>
        <w:jc w:val="both"/>
      </w:pPr>
      <w:r>
        <w:rPr>
          <w:rFonts w:ascii="仿宋_GB2312" w:hAnsi="仿宋_GB2312" w:eastAsia="仿宋_GB2312"/>
          <w:b w:val="0"/>
          <w:sz w:val="32"/>
        </w:rPr>
        <w:t>三、《支出决算表》</w:t>
      </w:r>
    </w:p>
    <w:p w14:paraId="77B80D00">
      <w:pPr>
        <w:spacing w:line="240" w:lineRule="auto"/>
        <w:ind w:firstLine="640"/>
        <w:jc w:val="both"/>
      </w:pPr>
      <w:r>
        <w:rPr>
          <w:rFonts w:ascii="仿宋_GB2312" w:hAnsi="仿宋_GB2312" w:eastAsia="仿宋_GB2312"/>
          <w:b w:val="0"/>
          <w:sz w:val="32"/>
        </w:rPr>
        <w:t>四、《财政拨款收入支出决算总表》</w:t>
      </w:r>
    </w:p>
    <w:p w14:paraId="7E59BB3C">
      <w:pPr>
        <w:spacing w:line="240" w:lineRule="auto"/>
        <w:ind w:firstLine="640"/>
        <w:jc w:val="both"/>
      </w:pPr>
      <w:r>
        <w:rPr>
          <w:rFonts w:ascii="仿宋_GB2312" w:hAnsi="仿宋_GB2312" w:eastAsia="仿宋_GB2312"/>
          <w:b w:val="0"/>
          <w:sz w:val="32"/>
        </w:rPr>
        <w:t>五、《一般公共预算财政拨款支出决算表》</w:t>
      </w:r>
    </w:p>
    <w:p w14:paraId="6CE1A334">
      <w:pPr>
        <w:spacing w:line="240" w:lineRule="auto"/>
        <w:ind w:firstLine="640"/>
        <w:jc w:val="both"/>
      </w:pPr>
      <w:r>
        <w:rPr>
          <w:rFonts w:ascii="仿宋_GB2312" w:hAnsi="仿宋_GB2312" w:eastAsia="仿宋_GB2312"/>
          <w:b w:val="0"/>
          <w:sz w:val="32"/>
        </w:rPr>
        <w:t>六、《一般公共预算财政拨款基本支出决算表》</w:t>
      </w:r>
    </w:p>
    <w:p w14:paraId="7F4B22ED">
      <w:pPr>
        <w:spacing w:line="240" w:lineRule="auto"/>
        <w:ind w:firstLine="640"/>
        <w:jc w:val="both"/>
      </w:pPr>
      <w:r>
        <w:rPr>
          <w:rFonts w:ascii="仿宋_GB2312" w:hAnsi="仿宋_GB2312" w:eastAsia="仿宋_GB2312"/>
          <w:b w:val="0"/>
          <w:sz w:val="32"/>
        </w:rPr>
        <w:t>七、《政府性基金预算财政拨款收入支出决算表》</w:t>
      </w:r>
    </w:p>
    <w:p w14:paraId="680F43FF">
      <w:pPr>
        <w:spacing w:line="240" w:lineRule="auto"/>
        <w:ind w:firstLine="640"/>
        <w:jc w:val="both"/>
      </w:pPr>
      <w:r>
        <w:rPr>
          <w:rFonts w:ascii="仿宋_GB2312" w:hAnsi="仿宋_GB2312" w:eastAsia="仿宋_GB2312"/>
          <w:b w:val="0"/>
          <w:sz w:val="32"/>
        </w:rPr>
        <w:t>八、《国有资本经营预算财政拨款收入支出决算表》</w:t>
      </w:r>
    </w:p>
    <w:p w14:paraId="4339B6AD">
      <w:pPr>
        <w:spacing w:line="240" w:lineRule="auto"/>
        <w:ind w:firstLine="640"/>
        <w:jc w:val="both"/>
      </w:pPr>
      <w:r>
        <w:rPr>
          <w:rFonts w:ascii="仿宋_GB2312" w:hAnsi="仿宋_GB2312" w:eastAsia="仿宋_GB2312"/>
          <w:b w:val="0"/>
          <w:sz w:val="32"/>
        </w:rPr>
        <w:t>九、《财政拨款“三公”经费支出决算表》</w:t>
      </w:r>
    </w:p>
    <w:p w14:paraId="655246D4">
      <w:pPr>
        <w:spacing w:line="240" w:lineRule="auto"/>
        <w:ind w:firstLine="640"/>
        <w:jc w:val="both"/>
      </w:pPr>
    </w:p>
    <w:p w14:paraId="32D62B6C">
      <w:pPr>
        <w:spacing w:line="240" w:lineRule="auto"/>
        <w:ind w:firstLine="640"/>
        <w:jc w:val="both"/>
      </w:pPr>
    </w:p>
    <w:p w14:paraId="02121835">
      <w:pPr>
        <w:spacing w:line="240" w:lineRule="auto"/>
        <w:ind w:firstLine="640"/>
        <w:jc w:val="both"/>
      </w:pPr>
    </w:p>
    <w:p w14:paraId="41A1D5D8">
      <w:pPr>
        <w:spacing w:line="240" w:lineRule="auto"/>
        <w:ind w:firstLine="640"/>
        <w:jc w:val="both"/>
      </w:pPr>
    </w:p>
    <w:p w14:paraId="665A14F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0A28A5"/>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6671</Words>
  <Characters>7441</Characters>
  <Lines>0</Lines>
  <Paragraphs>0</Paragraphs>
  <TotalTime>2</TotalTime>
  <ScaleCrop>false</ScaleCrop>
  <LinksUpToDate>false</LinksUpToDate>
  <CharactersWithSpaces>7451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2025-09-15T12:07:11Z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